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4"/>
          <w:szCs w:val="24"/>
        </w:rPr>
      </w:pPr>
      <w:r>
        <w:rPr>
          <w:rFonts w:ascii="宋体" w:hAnsi="宋体" w:eastAsia="宋体" w:cs="宋体"/>
          <w:kern w:val="0"/>
          <w:sz w:val="24"/>
          <w:szCs w:val="24"/>
          <w:lang w:bidi="ar"/>
        </w:rPr>
        <w:pict>
          <v:shape id="图片 1" o:spid="_x0000_s1035" o:spt="75" alt="IMG_256" type="#_x0000_t75" style="position:absolute;left:0pt;margin-left:0pt;margin-top:1.6pt;height:40.8pt;width:57.8pt;mso-wrap-distance-bottom:0pt;mso-wrap-distance-left:9pt;mso-wrap-distance-right:9pt;mso-wrap-distance-top:0pt;z-index:251661312;mso-width-relative:page;mso-height-relative:page;" filled="f" o:preferrelative="t" stroked="f" coordsize="21600,21600">
            <v:path/>
            <v:fill on="f" focussize="0,0"/>
            <v:stroke on="f"/>
            <v:imagedata r:id="rId15" cropbottom="9016f" o:title="IMG_256"/>
            <o:lock v:ext="edit" aspectratio="t"/>
            <w10:wrap type="square"/>
          </v:shape>
        </w:pict>
      </w:r>
      <w:r>
        <w:rPr>
          <w:rFonts w:hint="eastAsia" w:ascii="宋体" w:hAnsi="宋体" w:eastAsia="宋体" w:cs="宋体"/>
          <w:kern w:val="0"/>
          <w:sz w:val="52"/>
          <w:szCs w:val="52"/>
        </w:rPr>
        <w:t>广西元强建设项目管理有限公司</w:t>
      </w:r>
    </w:p>
    <w:tbl>
      <w:tblPr>
        <w:tblStyle w:val="44"/>
        <w:tblW w:w="0" w:type="auto"/>
        <w:tblInd w:w="3"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3"/>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833" w:type="dxa"/>
            <w:noWrap w:val="0"/>
            <w:vAlign w:val="top"/>
          </w:tcPr>
          <w:p>
            <w:pPr>
              <w:tabs>
                <w:tab w:val="left" w:pos="-30"/>
              </w:tabs>
              <w:spacing w:line="400" w:lineRule="exact"/>
              <w:rPr>
                <w:rFonts w:hint="eastAsia" w:ascii="宋体" w:hAnsi="宋体" w:eastAsia="宋体" w:cs="Times New Roman"/>
                <w:sz w:val="24"/>
              </w:rPr>
            </w:pPr>
          </w:p>
        </w:tc>
      </w:tr>
    </w:tbl>
    <w:p>
      <w:pPr>
        <w:spacing w:line="360" w:lineRule="auto"/>
        <w:rPr>
          <w:rFonts w:hint="eastAsia" w:ascii="宋体" w:hAnsi="宋体" w:eastAsia="宋体" w:cs="Times New Roman"/>
          <w:b/>
          <w:bCs/>
          <w:sz w:val="72"/>
          <w:szCs w:val="72"/>
        </w:rPr>
      </w:pPr>
    </w:p>
    <w:p>
      <w:pPr>
        <w:spacing w:line="1000" w:lineRule="exact"/>
        <w:jc w:val="center"/>
        <w:rPr>
          <w:rFonts w:hint="eastAsia" w:ascii="宋体" w:hAnsi="宋体" w:eastAsia="宋体" w:cs="Times New Roman"/>
          <w:b/>
          <w:bCs/>
          <w:sz w:val="84"/>
          <w:szCs w:val="84"/>
        </w:rPr>
      </w:pPr>
      <w:r>
        <w:rPr>
          <w:rFonts w:hint="eastAsia" w:ascii="宋体" w:hAnsi="宋体" w:eastAsia="宋体" w:cs="Times New Roman"/>
          <w:b/>
          <w:bCs/>
          <w:sz w:val="84"/>
          <w:szCs w:val="84"/>
        </w:rPr>
        <w:t>竞争性磋商文件</w:t>
      </w:r>
    </w:p>
    <w:p>
      <w:pPr>
        <w:spacing w:line="1000" w:lineRule="exact"/>
        <w:jc w:val="center"/>
        <w:rPr>
          <w:rFonts w:hint="eastAsia" w:ascii="宋体" w:hAnsi="宋体" w:eastAsia="宋体" w:cs="Times New Roman"/>
          <w:b/>
          <w:bCs/>
          <w:sz w:val="48"/>
          <w:szCs w:val="48"/>
        </w:rPr>
      </w:pPr>
    </w:p>
    <w:p>
      <w:pPr>
        <w:spacing w:line="1000" w:lineRule="exact"/>
        <w:jc w:val="center"/>
        <w:rPr>
          <w:rFonts w:hint="eastAsia" w:ascii="宋体" w:hAnsi="宋体" w:eastAsia="宋体" w:cs="Times New Roman"/>
          <w:b/>
          <w:bCs/>
          <w:sz w:val="48"/>
          <w:szCs w:val="48"/>
        </w:rPr>
      </w:pPr>
    </w:p>
    <w:p>
      <w:pPr>
        <w:spacing w:line="900" w:lineRule="exact"/>
        <w:rPr>
          <w:rFonts w:hint="eastAsia" w:ascii="宋体" w:hAnsi="宋体" w:eastAsia="宋体" w:cs="宋体"/>
          <w:b/>
          <w:bCs/>
          <w:spacing w:val="-17"/>
          <w:sz w:val="32"/>
          <w:szCs w:val="32"/>
        </w:rPr>
      </w:pPr>
      <w:r>
        <w:rPr>
          <w:rFonts w:hint="eastAsia" w:ascii="宋体" w:hAnsi="宋体" w:eastAsia="宋体" w:cs="宋体"/>
          <w:b/>
          <w:bCs/>
          <w:spacing w:val="-17"/>
          <w:sz w:val="32"/>
          <w:szCs w:val="32"/>
        </w:rPr>
        <w:t xml:space="preserve">项目名称：田林县乐里镇新市社区、河南社区灯光改造工程项目（标段一） </w:t>
      </w:r>
    </w:p>
    <w:p>
      <w:pPr>
        <w:spacing w:line="900" w:lineRule="exact"/>
        <w:rPr>
          <w:rFonts w:hint="eastAsia" w:ascii="宋体" w:hAnsi="宋体" w:eastAsia="宋体" w:cs="宋体"/>
          <w:b/>
          <w:bCs/>
          <w:spacing w:val="-17"/>
          <w:sz w:val="32"/>
          <w:szCs w:val="32"/>
        </w:rPr>
      </w:pPr>
    </w:p>
    <w:p>
      <w:pPr>
        <w:spacing w:line="900" w:lineRule="exact"/>
        <w:rPr>
          <w:rFonts w:hint="eastAsia" w:ascii="宋体" w:hAnsi="宋体" w:eastAsia="宋体" w:cs="宋体"/>
          <w:b/>
          <w:bCs/>
          <w:sz w:val="32"/>
          <w:szCs w:val="32"/>
        </w:rPr>
      </w:pPr>
      <w:r>
        <w:rPr>
          <w:rFonts w:hint="eastAsia" w:ascii="宋体" w:hAnsi="宋体" w:eastAsia="宋体" w:cs="宋体"/>
          <w:b/>
          <w:bCs/>
          <w:sz w:val="32"/>
          <w:szCs w:val="32"/>
        </w:rPr>
        <w:t>项目编号：BSZC202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-C2-290</w:t>
      </w:r>
      <w:r>
        <w:rPr>
          <w:rFonts w:hint="eastAsia" w:ascii="宋体" w:hAnsi="宋体" w:eastAsia="宋体" w:cs="宋体"/>
          <w:b/>
          <w:bCs/>
          <w:sz w:val="32"/>
          <w:szCs w:val="32"/>
          <w:lang w:val="en-US" w:eastAsia="zh-CN"/>
        </w:rPr>
        <w:t>001</w:t>
      </w:r>
      <w:r>
        <w:rPr>
          <w:rFonts w:hint="eastAsia" w:ascii="宋体" w:hAnsi="宋体" w:eastAsia="宋体" w:cs="宋体"/>
          <w:b/>
          <w:bCs/>
          <w:sz w:val="32"/>
          <w:szCs w:val="32"/>
        </w:rPr>
        <w:t>-GXYQ</w:t>
      </w: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rPr>
          <w:rFonts w:hint="eastAsia" w:ascii="宋体" w:hAnsi="宋体" w:eastAsia="宋体" w:cs="Times New Roman"/>
          <w:b/>
          <w:sz w:val="32"/>
        </w:rPr>
      </w:pPr>
      <w:r>
        <w:rPr>
          <w:rFonts w:hint="eastAsia" w:ascii="宋体" w:hAnsi="宋体" w:eastAsia="宋体" w:cs="Times New Roman"/>
          <w:kern w:val="0"/>
          <w:sz w:val="32"/>
        </w:rPr>
        <w:pict>
          <v:line id="直线 2" o:spid="_x0000_s1036" o:spt="20" style="position:absolute;left:0pt;margin-left:-2.45pt;margin-top:9.35pt;height:0.05pt;width:479.25pt;mso-wrap-distance-bottom:0pt;mso-wrap-distance-top:0pt;z-index:251660288;mso-width-relative:page;mso-height-relative:page;" filled="f" stroked="t" coordsize="21600,21600">
            <v:path arrowok="t"/>
            <v:fill on="f" focussize="0,0"/>
            <v:stroke weight="1.5pt"/>
            <v:imagedata o:title=""/>
            <o:lock v:ext="edit" grouping="f" rotation="f" text="f" aspectratio="f"/>
            <w10:wrap type="topAndBottom"/>
          </v:line>
        </w:pict>
      </w:r>
      <w:r>
        <w:rPr>
          <w:rFonts w:hint="eastAsia" w:ascii="宋体" w:hAnsi="宋体" w:eastAsia="宋体" w:cs="Times New Roman"/>
          <w:b/>
          <w:sz w:val="32"/>
        </w:rPr>
        <w:t xml:space="preserve">采 </w:t>
      </w:r>
      <w:r>
        <w:rPr>
          <w:rFonts w:hint="eastAsia" w:ascii="宋体" w:hAnsi="宋体" w:eastAsia="宋体" w:cs="宋体"/>
          <w:b/>
          <w:sz w:val="32"/>
          <w:szCs w:val="32"/>
        </w:rPr>
        <w:t>购 人：田林县</w:t>
      </w:r>
      <w:r>
        <w:rPr>
          <w:rFonts w:hint="eastAsia" w:ascii="宋体" w:hAnsi="宋体" w:eastAsia="宋体" w:cs="宋体"/>
          <w:b/>
          <w:sz w:val="32"/>
          <w:szCs w:val="32"/>
          <w:lang w:val="en-US" w:eastAsia="zh-CN"/>
        </w:rPr>
        <w:t>住房和城乡建设局</w:t>
      </w:r>
      <w:r>
        <w:rPr>
          <w:rFonts w:hint="eastAsia" w:ascii="宋体" w:hAnsi="宋体" w:eastAsia="宋体" w:cs="宋体"/>
          <w:b/>
          <w:sz w:val="32"/>
          <w:szCs w:val="32"/>
        </w:rPr>
        <w:t>(盖章)</w:t>
      </w:r>
    </w:p>
    <w:p>
      <w:pPr>
        <w:rPr>
          <w:rFonts w:hint="eastAsia" w:ascii="宋体" w:hAnsi="宋体" w:eastAsia="宋体" w:cs="Times New Roman"/>
          <w:b/>
          <w:sz w:val="32"/>
        </w:rPr>
      </w:pPr>
    </w:p>
    <w:p>
      <w:pPr>
        <w:rPr>
          <w:rFonts w:hint="eastAsia" w:ascii="宋体" w:hAnsi="宋体" w:eastAsia="宋体" w:cs="Times New Roman"/>
          <w:b/>
          <w:sz w:val="32"/>
        </w:rPr>
      </w:pPr>
    </w:p>
    <w:p>
      <w:pPr>
        <w:jc w:val="left"/>
        <w:rPr>
          <w:rFonts w:hint="eastAsia" w:ascii="宋体" w:hAnsi="宋体" w:eastAsia="宋体" w:cs="Times New Roman"/>
          <w:b/>
          <w:sz w:val="32"/>
        </w:rPr>
      </w:pPr>
      <w:r>
        <w:rPr>
          <w:rFonts w:hint="eastAsia" w:ascii="宋体" w:hAnsi="宋体" w:eastAsia="宋体" w:cs="Times New Roman"/>
          <w:b/>
          <w:sz w:val="32"/>
        </w:rPr>
        <w:t>采购代理机构：广西元强建设项目管理有限公司(盖章)</w:t>
      </w:r>
    </w:p>
    <w:p>
      <w:pPr>
        <w:ind w:firstLine="2393" w:firstLineChars="745"/>
        <w:rPr>
          <w:lang w:val="en-US" w:eastAsia="zh-CN"/>
        </w:rPr>
        <w:sectPr>
          <w:headerReference r:id="rId4" w:type="first"/>
          <w:headerReference r:id="rId3" w:type="default"/>
          <w:footerReference r:id="rId5" w:type="default"/>
          <w:footerReference r:id="rId6" w:type="even"/>
          <w:pgSz w:w="11906" w:h="16838"/>
          <w:pgMar w:top="1304" w:right="1134" w:bottom="850" w:left="1418" w:header="851" w:footer="737" w:gutter="284"/>
          <w:pgNumType w:start="0"/>
          <w:cols w:space="720" w:num="1"/>
          <w:titlePg/>
          <w:docGrid w:type="lines" w:linePitch="312" w:charSpace="0"/>
        </w:sectPr>
      </w:pPr>
      <w:r>
        <w:rPr>
          <w:rFonts w:hint="eastAsia" w:ascii="宋体" w:hAnsi="宋体" w:eastAsia="宋体" w:cs="Times New Roman"/>
          <w:b/>
          <w:sz w:val="32"/>
        </w:rPr>
        <w:t>日期：二〇二</w:t>
      </w:r>
      <w:r>
        <w:rPr>
          <w:rFonts w:hint="eastAsia" w:ascii="宋体" w:hAnsi="宋体" w:eastAsia="宋体" w:cs="Times New Roman"/>
          <w:b/>
          <w:sz w:val="32"/>
          <w:lang w:val="en-US" w:eastAsia="zh-CN"/>
        </w:rPr>
        <w:t>四</w:t>
      </w:r>
      <w:r>
        <w:rPr>
          <w:rFonts w:hint="eastAsia" w:ascii="宋体" w:hAnsi="宋体" w:eastAsia="宋体" w:cs="Times New Roman"/>
          <w:b/>
          <w:sz w:val="32"/>
        </w:rPr>
        <w:t>年</w:t>
      </w:r>
      <w:r>
        <w:rPr>
          <w:rFonts w:hint="eastAsia" w:ascii="宋体" w:hAnsi="宋体" w:eastAsia="宋体" w:cs="Times New Roman"/>
          <w:b/>
          <w:sz w:val="32"/>
          <w:lang w:val="en-US" w:eastAsia="zh-CN"/>
        </w:rPr>
        <w:t>一</w:t>
      </w:r>
      <w:r>
        <w:rPr>
          <w:rFonts w:hint="eastAsia" w:ascii="宋体" w:hAnsi="宋体" w:eastAsia="宋体" w:cs="Times New Roman"/>
          <w:b/>
          <w:sz w:val="32"/>
        </w:rPr>
        <w:t>月</w:t>
      </w:r>
    </w:p>
    <w:p>
      <w:pPr>
        <w:spacing w:line="600" w:lineRule="auto"/>
        <w:jc w:val="center"/>
        <w:rPr>
          <w:rFonts w:ascii="宋体" w:hAnsi="宋体" w:cs="宋体"/>
          <w:b/>
          <w:bCs/>
          <w:sz w:val="36"/>
          <w:szCs w:val="36"/>
        </w:rPr>
      </w:pPr>
      <w:r>
        <w:rPr>
          <w:rFonts w:hint="eastAsia" w:ascii="宋体" w:hAnsi="宋体" w:cs="宋体"/>
          <w:b/>
          <w:bCs/>
          <w:sz w:val="36"/>
          <w:szCs w:val="36"/>
        </w:rPr>
        <w:t>目  录</w:t>
      </w:r>
    </w:p>
    <w:p>
      <w:pPr>
        <w:pStyle w:val="30"/>
        <w:tabs>
          <w:tab w:val="right" w:leader="dot" w:pos="9746"/>
        </w:tabs>
        <w:rPr>
          <w:rFonts w:ascii="宋体" w:hAnsi="宋体" w:cs="宋体"/>
          <w:sz w:val="22"/>
          <w:szCs w:val="22"/>
        </w:rPr>
      </w:pPr>
      <w:r>
        <w:rPr>
          <w:rFonts w:hint="eastAsia" w:ascii="宋体" w:hAnsi="宋体" w:cs="宋体"/>
          <w:b w:val="0"/>
          <w:spacing w:val="4"/>
          <w:sz w:val="22"/>
        </w:rPr>
        <w:fldChar w:fldCharType="begin"/>
      </w:r>
      <w:r>
        <w:rPr>
          <w:rFonts w:hint="eastAsia" w:ascii="宋体" w:hAnsi="宋体" w:cs="宋体"/>
          <w:b w:val="0"/>
          <w:spacing w:val="4"/>
          <w:sz w:val="22"/>
        </w:rPr>
        <w:instrText xml:space="preserve"> TOC \o "1-3" \h \z \u </w:instrText>
      </w:r>
      <w:r>
        <w:rPr>
          <w:rFonts w:hint="eastAsia" w:ascii="宋体" w:hAnsi="宋体" w:cs="宋体"/>
          <w:b w:val="0"/>
          <w:spacing w:val="4"/>
          <w:sz w:val="22"/>
        </w:rPr>
        <w:fldChar w:fldCharType="separate"/>
      </w:r>
      <w:r>
        <w:fldChar w:fldCharType="begin"/>
      </w:r>
      <w:r>
        <w:instrText xml:space="preserve"> HYPERLINK \l "_Toc26443" </w:instrText>
      </w:r>
      <w:r>
        <w:fldChar w:fldCharType="separate"/>
      </w:r>
      <w:r>
        <w:rPr>
          <w:rFonts w:hint="eastAsia" w:ascii="宋体" w:hAnsi="宋体" w:cs="宋体"/>
          <w:sz w:val="22"/>
          <w:szCs w:val="22"/>
        </w:rPr>
        <w:t>第一章 竞争性磋商公告</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_Toc26443 \h </w:instrText>
      </w:r>
      <w:r>
        <w:rPr>
          <w:rFonts w:hint="eastAsia" w:ascii="宋体" w:hAnsi="宋体" w:cs="宋体"/>
          <w:sz w:val="22"/>
          <w:szCs w:val="22"/>
        </w:rPr>
        <w:fldChar w:fldCharType="separate"/>
      </w:r>
      <w:r>
        <w:rPr>
          <w:rFonts w:hint="eastAsia" w:ascii="宋体" w:hAnsi="宋体" w:cs="宋体"/>
          <w:sz w:val="22"/>
          <w:szCs w:val="22"/>
        </w:rPr>
        <w:t>2</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"_Toc32420" </w:instrText>
      </w:r>
      <w:r>
        <w:fldChar w:fldCharType="separate"/>
      </w:r>
      <w:r>
        <w:rPr>
          <w:rFonts w:hint="eastAsia" w:ascii="宋体" w:hAnsi="宋体" w:cs="宋体"/>
          <w:sz w:val="22"/>
          <w:szCs w:val="22"/>
        </w:rPr>
        <w:t>第二章  供应商须知</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_Toc32420 \h </w:instrText>
      </w:r>
      <w:r>
        <w:rPr>
          <w:rFonts w:hint="eastAsia" w:ascii="宋体" w:hAnsi="宋体" w:cs="宋体"/>
          <w:sz w:val="22"/>
          <w:szCs w:val="22"/>
        </w:rPr>
        <w:fldChar w:fldCharType="separate"/>
      </w:r>
      <w:r>
        <w:rPr>
          <w:rFonts w:hint="eastAsia" w:ascii="宋体" w:hAnsi="宋体" w:cs="宋体"/>
          <w:sz w:val="22"/>
          <w:szCs w:val="22"/>
        </w:rPr>
        <w:t>4</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"_Toc6767" </w:instrText>
      </w:r>
      <w:r>
        <w:fldChar w:fldCharType="separate"/>
      </w:r>
      <w:r>
        <w:rPr>
          <w:rFonts w:hint="eastAsia" w:ascii="宋体" w:hAnsi="宋体" w:cs="宋体"/>
          <w:sz w:val="22"/>
          <w:szCs w:val="22"/>
        </w:rPr>
        <w:t>供应商须知前附表</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_Toc6767 \h </w:instrText>
      </w:r>
      <w:r>
        <w:rPr>
          <w:rFonts w:hint="eastAsia" w:ascii="宋体" w:hAnsi="宋体" w:cs="宋体"/>
          <w:sz w:val="22"/>
          <w:szCs w:val="22"/>
        </w:rPr>
        <w:fldChar w:fldCharType="separate"/>
      </w:r>
      <w:r>
        <w:rPr>
          <w:rFonts w:hint="eastAsia" w:ascii="宋体" w:hAnsi="宋体" w:cs="宋体"/>
          <w:sz w:val="22"/>
          <w:szCs w:val="22"/>
        </w:rPr>
        <w:t>4</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"_Toc14395" </w:instrText>
      </w:r>
      <w:r>
        <w:fldChar w:fldCharType="separate"/>
      </w:r>
      <w:r>
        <w:rPr>
          <w:rFonts w:hint="eastAsia" w:ascii="宋体" w:hAnsi="宋体" w:cs="宋体"/>
          <w:sz w:val="22"/>
          <w:szCs w:val="22"/>
        </w:rPr>
        <w:t>一、总则</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_Toc14395 \h </w:instrText>
      </w:r>
      <w:r>
        <w:rPr>
          <w:rFonts w:hint="eastAsia" w:ascii="宋体" w:hAnsi="宋体" w:cs="宋体"/>
          <w:sz w:val="22"/>
          <w:szCs w:val="22"/>
        </w:rPr>
        <w:fldChar w:fldCharType="separate"/>
      </w:r>
      <w:r>
        <w:rPr>
          <w:rFonts w:hint="eastAsia" w:ascii="宋体" w:hAnsi="宋体" w:cs="宋体"/>
          <w:sz w:val="22"/>
          <w:szCs w:val="22"/>
        </w:rPr>
        <w:t>7</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"_Toc1854" </w:instrText>
      </w:r>
      <w:r>
        <w:fldChar w:fldCharType="separate"/>
      </w:r>
      <w:r>
        <w:rPr>
          <w:rFonts w:hint="eastAsia" w:ascii="宋体" w:hAnsi="宋体" w:cs="宋体"/>
          <w:sz w:val="22"/>
          <w:szCs w:val="22"/>
        </w:rPr>
        <w:t>二、竞争性磋商文件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_Toc1854 \h </w:instrText>
      </w:r>
      <w:r>
        <w:rPr>
          <w:rFonts w:hint="eastAsia" w:ascii="宋体" w:hAnsi="宋体" w:cs="宋体"/>
          <w:sz w:val="22"/>
          <w:szCs w:val="22"/>
        </w:rPr>
        <w:fldChar w:fldCharType="separate"/>
      </w:r>
      <w:r>
        <w:rPr>
          <w:rFonts w:hint="eastAsia" w:ascii="宋体" w:hAnsi="宋体" w:cs="宋体"/>
          <w:sz w:val="22"/>
          <w:szCs w:val="22"/>
        </w:rPr>
        <w:t>7</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"_Toc27956" </w:instrText>
      </w:r>
      <w:r>
        <w:fldChar w:fldCharType="separate"/>
      </w:r>
      <w:r>
        <w:rPr>
          <w:rFonts w:hint="eastAsia" w:ascii="宋体" w:hAnsi="宋体" w:cs="宋体"/>
          <w:sz w:val="22"/>
          <w:szCs w:val="22"/>
        </w:rPr>
        <w:t>三、响应文件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_Toc27956 \h </w:instrText>
      </w:r>
      <w:r>
        <w:rPr>
          <w:rFonts w:hint="eastAsia" w:ascii="宋体" w:hAnsi="宋体" w:cs="宋体"/>
          <w:sz w:val="22"/>
          <w:szCs w:val="22"/>
        </w:rPr>
        <w:fldChar w:fldCharType="separate"/>
      </w:r>
      <w:r>
        <w:rPr>
          <w:rFonts w:hint="eastAsia" w:ascii="宋体" w:hAnsi="宋体" w:cs="宋体"/>
          <w:sz w:val="22"/>
          <w:szCs w:val="22"/>
        </w:rPr>
        <w:t>8</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"_Toc7616" </w:instrText>
      </w:r>
      <w:r>
        <w:fldChar w:fldCharType="separate"/>
      </w:r>
      <w:r>
        <w:rPr>
          <w:rFonts w:hint="eastAsia" w:ascii="宋体" w:hAnsi="宋体" w:cs="宋体"/>
          <w:sz w:val="22"/>
          <w:szCs w:val="22"/>
        </w:rPr>
        <w:t>四、竞标</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_Toc7616 \h </w:instrText>
      </w:r>
      <w:r>
        <w:rPr>
          <w:rFonts w:hint="eastAsia" w:ascii="宋体" w:hAnsi="宋体" w:cs="宋体"/>
          <w:sz w:val="22"/>
          <w:szCs w:val="22"/>
        </w:rPr>
        <w:fldChar w:fldCharType="separate"/>
      </w:r>
      <w:r>
        <w:rPr>
          <w:rFonts w:hint="eastAsia" w:ascii="宋体" w:hAnsi="宋体" w:cs="宋体"/>
          <w:sz w:val="22"/>
          <w:szCs w:val="22"/>
        </w:rPr>
        <w:t>10</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"_Toc4734" </w:instrText>
      </w:r>
      <w:r>
        <w:fldChar w:fldCharType="separate"/>
      </w:r>
      <w:r>
        <w:rPr>
          <w:rFonts w:hint="eastAsia" w:ascii="宋体" w:hAnsi="宋体" w:cs="宋体"/>
          <w:sz w:val="22"/>
          <w:szCs w:val="22"/>
        </w:rPr>
        <w:t>五、评审及磋商</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_Toc4734 \h </w:instrText>
      </w:r>
      <w:r>
        <w:rPr>
          <w:rFonts w:hint="eastAsia" w:ascii="宋体" w:hAnsi="宋体" w:cs="宋体"/>
          <w:sz w:val="22"/>
          <w:szCs w:val="22"/>
        </w:rPr>
        <w:fldChar w:fldCharType="separate"/>
      </w:r>
      <w:r>
        <w:rPr>
          <w:rFonts w:hint="eastAsia" w:ascii="宋体" w:hAnsi="宋体" w:cs="宋体"/>
          <w:sz w:val="22"/>
          <w:szCs w:val="22"/>
        </w:rPr>
        <w:t>11</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"_Toc22546" </w:instrText>
      </w:r>
      <w:r>
        <w:fldChar w:fldCharType="separate"/>
      </w:r>
      <w:r>
        <w:rPr>
          <w:rFonts w:hint="eastAsia" w:ascii="宋体" w:hAnsi="宋体" w:cs="宋体"/>
          <w:sz w:val="22"/>
          <w:szCs w:val="22"/>
        </w:rPr>
        <w:t>七、合同授予</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_Toc22546 \h </w:instrText>
      </w:r>
      <w:r>
        <w:rPr>
          <w:rFonts w:hint="eastAsia" w:ascii="宋体" w:hAnsi="宋体" w:cs="宋体"/>
          <w:sz w:val="22"/>
          <w:szCs w:val="22"/>
        </w:rPr>
        <w:fldChar w:fldCharType="separate"/>
      </w:r>
      <w:r>
        <w:rPr>
          <w:rFonts w:hint="eastAsia" w:ascii="宋体" w:hAnsi="宋体" w:cs="宋体"/>
          <w:sz w:val="22"/>
          <w:szCs w:val="22"/>
        </w:rPr>
        <w:t>12</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"_Toc14110" </w:instrText>
      </w:r>
      <w:r>
        <w:fldChar w:fldCharType="separate"/>
      </w:r>
      <w:r>
        <w:rPr>
          <w:rFonts w:hint="eastAsia" w:ascii="宋体" w:hAnsi="宋体" w:cs="宋体"/>
          <w:sz w:val="22"/>
          <w:szCs w:val="22"/>
        </w:rPr>
        <w:t>八、其他</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_Toc14110 \h </w:instrText>
      </w:r>
      <w:r>
        <w:rPr>
          <w:rFonts w:hint="eastAsia" w:ascii="宋体" w:hAnsi="宋体" w:cs="宋体"/>
          <w:sz w:val="22"/>
          <w:szCs w:val="22"/>
        </w:rPr>
        <w:fldChar w:fldCharType="separate"/>
      </w:r>
      <w:r>
        <w:rPr>
          <w:rFonts w:hint="eastAsia" w:ascii="宋体" w:hAnsi="宋体" w:cs="宋体"/>
          <w:sz w:val="22"/>
          <w:szCs w:val="22"/>
        </w:rPr>
        <w:t>13</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"_Toc30991" </w:instrText>
      </w:r>
      <w:r>
        <w:fldChar w:fldCharType="separate"/>
      </w:r>
      <w:r>
        <w:rPr>
          <w:rFonts w:hint="eastAsia" w:ascii="宋体" w:hAnsi="宋体" w:cs="宋体"/>
          <w:sz w:val="22"/>
          <w:szCs w:val="22"/>
        </w:rPr>
        <w:t>第三章  评审程序、评审方法和评审标准</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_Toc30991 \h </w:instrText>
      </w:r>
      <w:r>
        <w:rPr>
          <w:rFonts w:hint="eastAsia" w:ascii="宋体" w:hAnsi="宋体" w:cs="宋体"/>
          <w:sz w:val="22"/>
          <w:szCs w:val="22"/>
        </w:rPr>
        <w:fldChar w:fldCharType="separate"/>
      </w:r>
      <w:r>
        <w:rPr>
          <w:rFonts w:hint="eastAsia" w:ascii="宋体" w:hAnsi="宋体" w:cs="宋体"/>
          <w:sz w:val="22"/>
          <w:szCs w:val="22"/>
        </w:rPr>
        <w:t>15</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"_Toc2731" </w:instrText>
      </w:r>
      <w:r>
        <w:fldChar w:fldCharType="separate"/>
      </w:r>
      <w:r>
        <w:rPr>
          <w:rFonts w:hint="eastAsia" w:ascii="宋体" w:hAnsi="宋体" w:cs="宋体"/>
          <w:sz w:val="22"/>
          <w:szCs w:val="22"/>
        </w:rPr>
        <w:t>第四章  报价编制说明及依据</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_Toc2731 \h </w:instrText>
      </w:r>
      <w:r>
        <w:rPr>
          <w:rFonts w:hint="eastAsia" w:ascii="宋体" w:hAnsi="宋体" w:cs="宋体"/>
          <w:sz w:val="22"/>
          <w:szCs w:val="22"/>
        </w:rPr>
        <w:fldChar w:fldCharType="separate"/>
      </w:r>
      <w:r>
        <w:rPr>
          <w:rFonts w:hint="eastAsia" w:ascii="宋体" w:hAnsi="宋体" w:cs="宋体"/>
          <w:sz w:val="22"/>
          <w:szCs w:val="22"/>
        </w:rPr>
        <w:t>22</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"_Toc12664" </w:instrText>
      </w:r>
      <w:r>
        <w:fldChar w:fldCharType="separate"/>
      </w:r>
      <w:r>
        <w:rPr>
          <w:rFonts w:hint="eastAsia" w:ascii="宋体" w:hAnsi="宋体" w:cs="宋体"/>
          <w:sz w:val="22"/>
          <w:szCs w:val="22"/>
        </w:rPr>
        <w:t>第五章  合同条款及格式</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_Toc12664 \h </w:instrText>
      </w:r>
      <w:r>
        <w:rPr>
          <w:rFonts w:hint="eastAsia" w:ascii="宋体" w:hAnsi="宋体" w:cs="宋体"/>
          <w:sz w:val="22"/>
          <w:szCs w:val="22"/>
        </w:rPr>
        <w:fldChar w:fldCharType="separate"/>
      </w:r>
      <w:r>
        <w:rPr>
          <w:rFonts w:hint="eastAsia" w:ascii="宋体" w:hAnsi="宋体" w:cs="宋体"/>
          <w:sz w:val="22"/>
          <w:szCs w:val="22"/>
        </w:rPr>
        <w:t>25</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"_Toc17503" </w:instrText>
      </w:r>
      <w:r>
        <w:fldChar w:fldCharType="separate"/>
      </w:r>
      <w:r>
        <w:rPr>
          <w:rFonts w:hint="eastAsia" w:ascii="宋体" w:hAnsi="宋体" w:cs="宋体"/>
          <w:bCs w:val="0"/>
          <w:sz w:val="22"/>
          <w:szCs w:val="22"/>
        </w:rPr>
        <w:t>合同条款及格式</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_Toc17503 \h </w:instrText>
      </w:r>
      <w:r>
        <w:rPr>
          <w:rFonts w:hint="eastAsia" w:ascii="宋体" w:hAnsi="宋体" w:cs="宋体"/>
          <w:sz w:val="22"/>
          <w:szCs w:val="22"/>
        </w:rPr>
        <w:fldChar w:fldCharType="separate"/>
      </w:r>
      <w:r>
        <w:rPr>
          <w:rFonts w:hint="eastAsia" w:ascii="宋体" w:hAnsi="宋体" w:cs="宋体"/>
          <w:sz w:val="22"/>
          <w:szCs w:val="22"/>
        </w:rPr>
        <w:t>25</w:t>
      </w:r>
      <w:r>
        <w:rPr>
          <w:rFonts w:hint="eastAsia" w:ascii="宋体" w:hAnsi="宋体" w:cs="宋体"/>
          <w:sz w:val="22"/>
          <w:szCs w:val="22"/>
        </w:rPr>
        <w:fldChar w:fldCharType="end"/>
      </w:r>
      <w:r>
        <w:rPr>
          <w:rFonts w:hint="eastAsia" w:ascii="宋体" w:hAnsi="宋体" w:cs="宋体"/>
          <w:sz w:val="22"/>
          <w:szCs w:val="22"/>
        </w:rPr>
        <w:fldChar w:fldCharType="end"/>
      </w:r>
    </w:p>
    <w:p>
      <w:pPr>
        <w:pStyle w:val="22"/>
        <w:tabs>
          <w:tab w:val="right" w:leader="dot" w:pos="9746"/>
        </w:tabs>
        <w:rPr>
          <w:rFonts w:ascii="宋体" w:hAnsi="宋体" w:cs="宋体"/>
          <w:i w:val="0"/>
          <w:iCs w:val="0"/>
          <w:sz w:val="22"/>
          <w:szCs w:val="22"/>
        </w:rPr>
      </w:pPr>
      <w:r>
        <w:fldChar w:fldCharType="begin"/>
      </w:r>
      <w:r>
        <w:instrText xml:space="preserve"> HYPERLINK \l "_Toc26417" </w:instrText>
      </w:r>
      <w:r>
        <w:fldChar w:fldCharType="separate"/>
      </w:r>
      <w:r>
        <w:rPr>
          <w:rFonts w:hint="eastAsia" w:ascii="宋体" w:hAnsi="宋体" w:cs="宋体"/>
          <w:i w:val="0"/>
          <w:iCs w:val="0"/>
          <w:sz w:val="22"/>
          <w:szCs w:val="22"/>
        </w:rPr>
        <w:t>第一部分 合同协议书</w:t>
      </w:r>
      <w:r>
        <w:rPr>
          <w:rFonts w:hint="eastAsia" w:ascii="宋体" w:hAnsi="宋体" w:cs="宋体"/>
          <w:i w:val="0"/>
          <w:iCs w:val="0"/>
          <w:sz w:val="22"/>
          <w:szCs w:val="22"/>
        </w:rPr>
        <w:tab/>
      </w:r>
      <w:r>
        <w:rPr>
          <w:rFonts w:hint="eastAsia" w:ascii="宋体" w:hAnsi="宋体" w:cs="宋体"/>
          <w:i w:val="0"/>
          <w:iCs w:val="0"/>
          <w:sz w:val="22"/>
          <w:szCs w:val="22"/>
        </w:rPr>
        <w:fldChar w:fldCharType="begin"/>
      </w:r>
      <w:r>
        <w:rPr>
          <w:rFonts w:hint="eastAsia" w:ascii="宋体" w:hAnsi="宋体" w:cs="宋体"/>
          <w:i w:val="0"/>
          <w:iCs w:val="0"/>
          <w:sz w:val="22"/>
          <w:szCs w:val="22"/>
        </w:rPr>
        <w:instrText xml:space="preserve"> PAGEREF _Toc26417 \h </w:instrText>
      </w:r>
      <w:r>
        <w:rPr>
          <w:rFonts w:hint="eastAsia" w:ascii="宋体" w:hAnsi="宋体" w:cs="宋体"/>
          <w:i w:val="0"/>
          <w:iCs w:val="0"/>
          <w:sz w:val="22"/>
          <w:szCs w:val="22"/>
        </w:rPr>
        <w:fldChar w:fldCharType="separate"/>
      </w:r>
      <w:r>
        <w:rPr>
          <w:rFonts w:hint="eastAsia" w:ascii="宋体" w:hAnsi="宋体" w:cs="宋体"/>
          <w:i w:val="0"/>
          <w:iCs w:val="0"/>
          <w:sz w:val="22"/>
          <w:szCs w:val="22"/>
        </w:rPr>
        <w:t>26</w:t>
      </w:r>
      <w:r>
        <w:rPr>
          <w:rFonts w:hint="eastAsia" w:ascii="宋体" w:hAnsi="宋体" w:cs="宋体"/>
          <w:i w:val="0"/>
          <w:iCs w:val="0"/>
          <w:sz w:val="22"/>
          <w:szCs w:val="22"/>
        </w:rPr>
        <w:fldChar w:fldCharType="end"/>
      </w:r>
      <w:r>
        <w:rPr>
          <w:rFonts w:hint="eastAsia" w:ascii="宋体" w:hAnsi="宋体" w:cs="宋体"/>
          <w:i w:val="0"/>
          <w:iCs w:val="0"/>
          <w:sz w:val="22"/>
          <w:szCs w:val="22"/>
        </w:rPr>
        <w:fldChar w:fldCharType="end"/>
      </w:r>
    </w:p>
    <w:p>
      <w:pPr>
        <w:pStyle w:val="22"/>
        <w:tabs>
          <w:tab w:val="right" w:leader="dot" w:pos="9746"/>
        </w:tabs>
        <w:rPr>
          <w:rFonts w:ascii="宋体" w:hAnsi="宋体" w:cs="宋体"/>
          <w:i w:val="0"/>
          <w:iCs w:val="0"/>
          <w:sz w:val="22"/>
          <w:szCs w:val="22"/>
        </w:rPr>
      </w:pPr>
      <w:r>
        <w:fldChar w:fldCharType="begin"/>
      </w:r>
      <w:r>
        <w:instrText xml:space="preserve"> HYPERLINK \l "_Toc22485" </w:instrText>
      </w:r>
      <w:r>
        <w:fldChar w:fldCharType="separate"/>
      </w:r>
      <w:r>
        <w:rPr>
          <w:rFonts w:hint="eastAsia" w:ascii="宋体" w:hAnsi="宋体" w:cs="宋体"/>
          <w:i w:val="0"/>
          <w:iCs w:val="0"/>
          <w:sz w:val="22"/>
          <w:szCs w:val="22"/>
        </w:rPr>
        <w:t>第二部分 通用合同条款</w:t>
      </w:r>
      <w:r>
        <w:rPr>
          <w:rFonts w:hint="eastAsia" w:ascii="宋体" w:hAnsi="宋体" w:cs="宋体"/>
          <w:i w:val="0"/>
          <w:iCs w:val="0"/>
          <w:sz w:val="22"/>
          <w:szCs w:val="22"/>
        </w:rPr>
        <w:tab/>
      </w:r>
      <w:r>
        <w:rPr>
          <w:rFonts w:hint="eastAsia" w:ascii="宋体" w:hAnsi="宋体" w:cs="宋体"/>
          <w:i w:val="0"/>
          <w:iCs w:val="0"/>
          <w:sz w:val="22"/>
          <w:szCs w:val="22"/>
        </w:rPr>
        <w:fldChar w:fldCharType="begin"/>
      </w:r>
      <w:r>
        <w:rPr>
          <w:rFonts w:hint="eastAsia" w:ascii="宋体" w:hAnsi="宋体" w:cs="宋体"/>
          <w:i w:val="0"/>
          <w:iCs w:val="0"/>
          <w:sz w:val="22"/>
          <w:szCs w:val="22"/>
        </w:rPr>
        <w:instrText xml:space="preserve"> PAGEREF _Toc22485 \h </w:instrText>
      </w:r>
      <w:r>
        <w:rPr>
          <w:rFonts w:hint="eastAsia" w:ascii="宋体" w:hAnsi="宋体" w:cs="宋体"/>
          <w:i w:val="0"/>
          <w:iCs w:val="0"/>
          <w:sz w:val="22"/>
          <w:szCs w:val="22"/>
        </w:rPr>
        <w:fldChar w:fldCharType="separate"/>
      </w:r>
      <w:r>
        <w:rPr>
          <w:rFonts w:hint="eastAsia" w:ascii="宋体" w:hAnsi="宋体" w:cs="宋体"/>
          <w:i w:val="0"/>
          <w:iCs w:val="0"/>
          <w:sz w:val="22"/>
          <w:szCs w:val="22"/>
        </w:rPr>
        <w:t>29</w:t>
      </w:r>
      <w:r>
        <w:rPr>
          <w:rFonts w:hint="eastAsia" w:ascii="宋体" w:hAnsi="宋体" w:cs="宋体"/>
          <w:i w:val="0"/>
          <w:iCs w:val="0"/>
          <w:sz w:val="22"/>
          <w:szCs w:val="22"/>
        </w:rPr>
        <w:fldChar w:fldCharType="end"/>
      </w:r>
      <w:r>
        <w:rPr>
          <w:rFonts w:hint="eastAsia" w:ascii="宋体" w:hAnsi="宋体" w:cs="宋体"/>
          <w:i w:val="0"/>
          <w:iCs w:val="0"/>
          <w:sz w:val="22"/>
          <w:szCs w:val="22"/>
        </w:rPr>
        <w:fldChar w:fldCharType="end"/>
      </w:r>
    </w:p>
    <w:p>
      <w:pPr>
        <w:pStyle w:val="22"/>
        <w:tabs>
          <w:tab w:val="right" w:leader="dot" w:pos="9746"/>
        </w:tabs>
        <w:rPr>
          <w:rFonts w:ascii="宋体" w:hAnsi="宋体" w:cs="宋体"/>
          <w:i w:val="0"/>
          <w:iCs w:val="0"/>
          <w:sz w:val="22"/>
          <w:szCs w:val="22"/>
        </w:rPr>
      </w:pPr>
      <w:r>
        <w:fldChar w:fldCharType="begin"/>
      </w:r>
      <w:r>
        <w:instrText xml:space="preserve"> HYPERLINK \l "_Toc30602" </w:instrText>
      </w:r>
      <w:r>
        <w:fldChar w:fldCharType="separate"/>
      </w:r>
      <w:r>
        <w:rPr>
          <w:rFonts w:hint="eastAsia" w:ascii="宋体" w:hAnsi="宋体" w:cs="宋体"/>
          <w:i w:val="0"/>
          <w:iCs w:val="0"/>
          <w:sz w:val="22"/>
          <w:szCs w:val="22"/>
        </w:rPr>
        <w:t>第三部分 专用合同条款</w:t>
      </w:r>
      <w:r>
        <w:rPr>
          <w:rFonts w:hint="eastAsia" w:ascii="宋体" w:hAnsi="宋体" w:cs="宋体"/>
          <w:i w:val="0"/>
          <w:iCs w:val="0"/>
          <w:sz w:val="22"/>
          <w:szCs w:val="22"/>
        </w:rPr>
        <w:tab/>
      </w:r>
      <w:r>
        <w:rPr>
          <w:rFonts w:hint="eastAsia" w:ascii="宋体" w:hAnsi="宋体" w:cs="宋体"/>
          <w:i w:val="0"/>
          <w:iCs w:val="0"/>
          <w:sz w:val="22"/>
          <w:szCs w:val="22"/>
        </w:rPr>
        <w:fldChar w:fldCharType="begin"/>
      </w:r>
      <w:r>
        <w:rPr>
          <w:rFonts w:hint="eastAsia" w:ascii="宋体" w:hAnsi="宋体" w:cs="宋体"/>
          <w:i w:val="0"/>
          <w:iCs w:val="0"/>
          <w:sz w:val="22"/>
          <w:szCs w:val="22"/>
        </w:rPr>
        <w:instrText xml:space="preserve"> PAGEREF _Toc30602 \h </w:instrText>
      </w:r>
      <w:r>
        <w:rPr>
          <w:rFonts w:hint="eastAsia" w:ascii="宋体" w:hAnsi="宋体" w:cs="宋体"/>
          <w:i w:val="0"/>
          <w:iCs w:val="0"/>
          <w:sz w:val="22"/>
          <w:szCs w:val="22"/>
        </w:rPr>
        <w:fldChar w:fldCharType="separate"/>
      </w:r>
      <w:r>
        <w:rPr>
          <w:rFonts w:hint="eastAsia" w:ascii="宋体" w:hAnsi="宋体" w:cs="宋体"/>
          <w:i w:val="0"/>
          <w:iCs w:val="0"/>
          <w:sz w:val="22"/>
          <w:szCs w:val="22"/>
        </w:rPr>
        <w:t>30</w:t>
      </w:r>
      <w:r>
        <w:rPr>
          <w:rFonts w:hint="eastAsia" w:ascii="宋体" w:hAnsi="宋体" w:cs="宋体"/>
          <w:i w:val="0"/>
          <w:iCs w:val="0"/>
          <w:sz w:val="22"/>
          <w:szCs w:val="22"/>
        </w:rPr>
        <w:fldChar w:fldCharType="end"/>
      </w:r>
      <w:r>
        <w:rPr>
          <w:rFonts w:hint="eastAsia" w:ascii="宋体" w:hAnsi="宋体" w:cs="宋体"/>
          <w:i w:val="0"/>
          <w:iCs w:val="0"/>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"_Toc3258" </w:instrText>
      </w:r>
      <w:r>
        <w:fldChar w:fldCharType="separate"/>
      </w:r>
      <w:r>
        <w:rPr>
          <w:rFonts w:hint="eastAsia" w:ascii="宋体" w:hAnsi="宋体" w:cs="宋体"/>
          <w:sz w:val="22"/>
          <w:szCs w:val="22"/>
        </w:rPr>
        <w:t>第六章  响应文件格式</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_Toc3258 \h </w:instrText>
      </w:r>
      <w:r>
        <w:rPr>
          <w:rFonts w:hint="eastAsia" w:ascii="宋体" w:hAnsi="宋体" w:cs="宋体"/>
          <w:sz w:val="22"/>
          <w:szCs w:val="22"/>
        </w:rPr>
        <w:fldChar w:fldCharType="separate"/>
      </w:r>
      <w:r>
        <w:rPr>
          <w:rFonts w:hint="eastAsia" w:ascii="宋体" w:hAnsi="宋体" w:cs="宋体"/>
          <w:sz w:val="22"/>
          <w:szCs w:val="22"/>
        </w:rPr>
        <w:t>67</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"_Toc18839" </w:instrText>
      </w:r>
      <w:r>
        <w:fldChar w:fldCharType="separate"/>
      </w:r>
      <w:r>
        <w:rPr>
          <w:rFonts w:hint="eastAsia" w:ascii="宋体" w:hAnsi="宋体" w:cs="宋体"/>
          <w:sz w:val="22"/>
          <w:szCs w:val="22"/>
        </w:rPr>
        <w:t>第七章  技术规范</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_Toc18839 \h </w:instrText>
      </w:r>
      <w:r>
        <w:rPr>
          <w:rFonts w:hint="eastAsia" w:ascii="宋体" w:hAnsi="宋体" w:cs="宋体"/>
          <w:sz w:val="22"/>
          <w:szCs w:val="22"/>
        </w:rPr>
        <w:fldChar w:fldCharType="separate"/>
      </w:r>
      <w:r>
        <w:rPr>
          <w:rFonts w:hint="eastAsia" w:ascii="宋体" w:hAnsi="宋体" w:cs="宋体"/>
          <w:sz w:val="22"/>
          <w:szCs w:val="22"/>
        </w:rPr>
        <w:t>92</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pPr>
      <w:r>
        <w:fldChar w:fldCharType="begin"/>
      </w:r>
      <w:r>
        <w:instrText xml:space="preserve"> HYPERLINK \l "_Toc28204" </w:instrText>
      </w:r>
      <w:r>
        <w:fldChar w:fldCharType="separate"/>
      </w:r>
      <w:r>
        <w:rPr>
          <w:rFonts w:hint="eastAsia" w:ascii="宋体" w:hAnsi="宋体" w:cs="宋体"/>
          <w:sz w:val="22"/>
          <w:szCs w:val="22"/>
        </w:rPr>
        <w:t>第八章  图纸及工程量清单（另附）</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_Toc28204 \h </w:instrText>
      </w:r>
      <w:r>
        <w:rPr>
          <w:rFonts w:hint="eastAsia" w:ascii="宋体" w:hAnsi="宋体" w:cs="宋体"/>
          <w:sz w:val="22"/>
          <w:szCs w:val="22"/>
        </w:rPr>
        <w:fldChar w:fldCharType="separate"/>
      </w:r>
      <w:r>
        <w:rPr>
          <w:rFonts w:hint="eastAsia" w:ascii="宋体" w:hAnsi="宋体" w:cs="宋体"/>
          <w:sz w:val="22"/>
          <w:szCs w:val="22"/>
        </w:rPr>
        <w:t>93</w:t>
      </w:r>
      <w:r>
        <w:rPr>
          <w:rFonts w:hint="eastAsia" w:ascii="宋体" w:hAnsi="宋体" w:cs="宋体"/>
          <w:sz w:val="22"/>
          <w:szCs w:val="22"/>
        </w:rPr>
        <w:fldChar w:fldCharType="end"/>
      </w:r>
      <w:r>
        <w:rPr>
          <w:rFonts w:hint="eastAsia" w:ascii="宋体" w:hAnsi="宋体" w:cs="宋体"/>
          <w:sz w:val="22"/>
          <w:szCs w:val="22"/>
        </w:rPr>
        <w:fldChar w:fldCharType="end"/>
      </w:r>
    </w:p>
    <w:p>
      <w:pPr>
        <w:spacing w:line="400" w:lineRule="exact"/>
        <w:rPr>
          <w:rFonts w:ascii="宋体" w:hAnsi="宋体" w:cs="宋体"/>
        </w:rPr>
      </w:pPr>
      <w:r>
        <w:rPr>
          <w:rFonts w:hint="eastAsia" w:ascii="宋体" w:hAnsi="宋体" w:cs="宋体"/>
        </w:rPr>
        <w:fldChar w:fldCharType="end"/>
      </w: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2"/>
        <w:numPr>
          <w:ilvl w:val="0"/>
          <w:numId w:val="1"/>
        </w:numPr>
        <w:rPr>
          <w:rFonts w:ascii="宋体" w:hAnsi="宋体" w:eastAsia="宋体" w:cs="宋体"/>
          <w:b/>
          <w:bCs/>
        </w:rPr>
      </w:pPr>
      <w:bookmarkStart w:id="0" w:name="_Toc26443"/>
      <w:r>
        <w:rPr>
          <w:rFonts w:hint="eastAsia" w:ascii="宋体" w:hAnsi="宋体" w:eastAsia="宋体" w:cs="宋体"/>
          <w:b/>
          <w:bCs/>
        </w:rPr>
        <w:t>竞争性磋商公告</w:t>
      </w:r>
      <w:bookmarkEnd w:id="0"/>
    </w:p>
    <w:p>
      <w:pPr>
        <w:spacing w:line="440" w:lineRule="exact"/>
        <w:jc w:val="center"/>
        <w:rPr>
          <w:rFonts w:hint="eastAsia" w:ascii="宋体" w:hAnsi="宋体" w:cs="宋体"/>
          <w:b/>
          <w:bCs/>
          <w:sz w:val="28"/>
          <w:szCs w:val="28"/>
        </w:rPr>
      </w:pPr>
      <w:r>
        <w:rPr>
          <w:rFonts w:hint="eastAsia" w:ascii="宋体" w:hAnsi="宋体" w:cs="宋体"/>
          <w:b/>
          <w:bCs/>
          <w:sz w:val="28"/>
          <w:szCs w:val="28"/>
        </w:rPr>
        <w:t>田林县乐里镇新市社区、河南社区灯光改造工程项目（标段一）</w:t>
      </w:r>
    </w:p>
    <w:p>
      <w:pPr>
        <w:spacing w:line="440" w:lineRule="exact"/>
        <w:jc w:val="center"/>
        <w:rPr>
          <w:b/>
          <w:bCs/>
          <w:sz w:val="28"/>
          <w:szCs w:val="28"/>
        </w:rPr>
      </w:pPr>
      <w:r>
        <w:rPr>
          <w:rFonts w:hint="eastAsia" w:ascii="宋体" w:hAnsi="宋体" w:cs="宋体"/>
          <w:b/>
          <w:bCs/>
          <w:sz w:val="28"/>
          <w:szCs w:val="28"/>
        </w:rPr>
        <w:t>（项目编号：BSZC2024-C2-290001-GXYQ）竞争性磋商公告</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286" w:type="dxa"/>
          </w:tcPr>
          <w:p>
            <w:pPr>
              <w:keepNext w:val="0"/>
              <w:keepLines w:val="0"/>
              <w:pageBreakBefore w:val="0"/>
              <w:kinsoku/>
              <w:wordWrap/>
              <w:overflowPunct/>
              <w:topLinePunct w:val="0"/>
              <w:bidi w:val="0"/>
              <w:spacing w:line="400" w:lineRule="exact"/>
              <w:textAlignment w:val="auto"/>
              <w:rPr>
                <w:rFonts w:ascii="宋体" w:hAnsi="宋体" w:cs="宋体"/>
                <w:b/>
                <w:sz w:val="24"/>
              </w:rPr>
            </w:pPr>
            <w:r>
              <w:rPr>
                <w:rFonts w:hint="eastAsia" w:ascii="宋体" w:hAnsi="宋体" w:cs="宋体"/>
                <w:b/>
                <w:sz w:val="24"/>
              </w:rPr>
              <w:t>项目概况</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b/>
                <w:sz w:val="24"/>
              </w:rPr>
            </w:pPr>
            <w:r>
              <w:rPr>
                <w:rFonts w:hint="eastAsia" w:ascii="宋体" w:hAnsi="宋体" w:cs="宋体"/>
                <w:sz w:val="24"/>
                <w:u w:val="single"/>
              </w:rPr>
              <w:t>田林县乐里镇新市社区、河南社区灯光改造工程项目（标段一）</w:t>
            </w:r>
            <w:r>
              <w:rPr>
                <w:rFonts w:hint="eastAsia" w:ascii="宋体" w:hAnsi="宋体" w:cs="宋体"/>
                <w:sz w:val="24"/>
              </w:rPr>
              <w:t>的潜在供应商应在</w:t>
            </w:r>
            <w:r>
              <w:rPr>
                <w:rFonts w:hint="eastAsia" w:ascii="宋体" w:hAnsi="宋体"/>
                <w:color w:val="000000"/>
                <w:sz w:val="24"/>
                <w:u w:val="single"/>
              </w:rPr>
              <w:t>广西元强建设项目管理有限公司（广西百色市龙景区新环球投资大厦左塔1926号）</w:t>
            </w:r>
            <w:r>
              <w:rPr>
                <w:rFonts w:hint="eastAsia" w:ascii="宋体" w:hAnsi="宋体" w:cs="宋体"/>
                <w:sz w:val="24"/>
              </w:rPr>
              <w:t>获取竞争性磋商文件，并于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rPr>
              <w:t>（北京时间）前提交响应文件</w:t>
            </w:r>
            <w:r>
              <w:rPr>
                <w:rFonts w:hint="eastAsia" w:ascii="宋体" w:hAnsi="宋体" w:cs="宋体"/>
                <w:sz w:val="24"/>
              </w:rPr>
              <w:t>。</w:t>
            </w:r>
          </w:p>
        </w:tc>
      </w:tr>
    </w:tbl>
    <w:p>
      <w:pPr>
        <w:keepNext w:val="0"/>
        <w:keepLines w:val="0"/>
        <w:pageBreakBefore w:val="0"/>
        <w:kinsoku/>
        <w:wordWrap/>
        <w:overflowPunct/>
        <w:topLinePunct w:val="0"/>
        <w:bidi w:val="0"/>
        <w:spacing w:line="400" w:lineRule="exact"/>
        <w:ind w:firstLine="482" w:firstLineChars="200"/>
        <w:textAlignment w:val="auto"/>
        <w:rPr>
          <w:rFonts w:ascii="宋体" w:hAnsi="宋体" w:cs="宋体"/>
          <w:b/>
          <w:sz w:val="24"/>
        </w:rPr>
      </w:pPr>
      <w:r>
        <w:rPr>
          <w:rFonts w:hint="eastAsia" w:ascii="宋体" w:hAnsi="宋体" w:cs="宋体"/>
          <w:b/>
          <w:sz w:val="24"/>
        </w:rPr>
        <w:t>一、项目基本情况</w:t>
      </w:r>
    </w:p>
    <w:p>
      <w:pPr>
        <w:keepNext w:val="0"/>
        <w:keepLines w:val="0"/>
        <w:pageBreakBefore w:val="0"/>
        <w:kinsoku/>
        <w:wordWrap/>
        <w:overflowPunct/>
        <w:topLinePunct w:val="0"/>
        <w:bidi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cs="宋体"/>
          <w:sz w:val="24"/>
        </w:rPr>
        <w:t>项目编号：BSZC2024-C2-290001-GXYQ</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FF0000"/>
          <w:sz w:val="24"/>
        </w:rPr>
      </w:pPr>
      <w:r>
        <w:rPr>
          <w:rFonts w:hint="eastAsia" w:ascii="宋体" w:hAnsi="宋体" w:cs="宋体"/>
          <w:sz w:val="24"/>
        </w:rPr>
        <w:t>项目名称：</w:t>
      </w:r>
      <w:r>
        <w:rPr>
          <w:rFonts w:hint="eastAsia" w:ascii="宋体" w:hAnsi="宋体" w:eastAsia="宋体" w:cs="宋体"/>
          <w:color w:val="FF0000"/>
          <w:sz w:val="24"/>
        </w:rPr>
        <w:t>田林县乐里镇新市社区、河南社区灯光改造工程项目（标段一）</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采购方式：竞争性磋商</w:t>
      </w:r>
    </w:p>
    <w:p>
      <w:pPr>
        <w:keepNext w:val="0"/>
        <w:keepLines w:val="0"/>
        <w:pageBreakBefore w:val="0"/>
        <w:kinsoku/>
        <w:wordWrap/>
        <w:overflowPunct/>
        <w:topLinePunct w:val="0"/>
        <w:autoSpaceDE w:val="0"/>
        <w:autoSpaceDN w:val="0"/>
        <w:bidi w:val="0"/>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预算金额</w:t>
      </w:r>
      <w:r>
        <w:rPr>
          <w:rFonts w:hint="eastAsia" w:ascii="宋体" w:hAnsi="宋体" w:cs="宋体"/>
          <w:sz w:val="24"/>
          <w:lang w:eastAsia="zh-CN"/>
        </w:rPr>
        <w:t>（</w:t>
      </w:r>
      <w:r>
        <w:rPr>
          <w:rFonts w:hint="eastAsia" w:ascii="宋体" w:hAnsi="宋体" w:cs="宋体"/>
          <w:sz w:val="24"/>
          <w:lang w:val="en-US" w:eastAsia="zh-CN"/>
        </w:rPr>
        <w:t>人民币</w:t>
      </w:r>
      <w:r>
        <w:rPr>
          <w:rFonts w:hint="eastAsia" w:ascii="宋体" w:hAnsi="宋体" w:cs="宋体"/>
          <w:sz w:val="24"/>
          <w:lang w:eastAsia="zh-CN"/>
        </w:rPr>
        <w:t>）</w:t>
      </w:r>
      <w:r>
        <w:rPr>
          <w:rFonts w:hint="eastAsia" w:ascii="宋体" w:hAnsi="宋体" w:cs="宋体"/>
          <w:color w:val="FF0000"/>
          <w:sz w:val="24"/>
        </w:rPr>
        <w:t>：322.598251</w:t>
      </w:r>
      <w:r>
        <w:rPr>
          <w:rFonts w:hint="eastAsia" w:ascii="宋体" w:hAnsi="宋体" w:cs="宋体"/>
          <w:color w:val="FF0000"/>
          <w:sz w:val="24"/>
          <w:lang w:val="en-US" w:eastAsia="zh-CN"/>
        </w:rPr>
        <w:t>万元；</w:t>
      </w:r>
    </w:p>
    <w:p>
      <w:pPr>
        <w:pStyle w:val="13"/>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采购需求：</w:t>
      </w:r>
      <w:r>
        <w:rPr>
          <w:rFonts w:hint="eastAsia" w:ascii="宋体" w:hAnsi="宋体" w:cs="宋体"/>
          <w:color w:val="FF0000"/>
          <w:sz w:val="24"/>
        </w:rPr>
        <w:t>定制爱心小品灯200W、定制星光主题灯饰摆件600W、定制发光礼物摆件、定制发光气球灯摆件100W、定制发光伞造型灯50W、定制图案道旗灯100W、刷墙灯等</w:t>
      </w:r>
      <w:r>
        <w:rPr>
          <w:rFonts w:hint="eastAsia" w:ascii="宋体" w:hAnsi="宋体" w:cs="宋体"/>
          <w:color w:val="FF0000"/>
          <w:sz w:val="24"/>
          <w:lang w:val="en-US" w:eastAsia="zh-CN"/>
        </w:rPr>
        <w:t>工程施工</w:t>
      </w:r>
      <w:r>
        <w:rPr>
          <w:rFonts w:hint="eastAsia" w:ascii="宋体" w:hAnsi="宋体" w:cs="宋体"/>
          <w:color w:val="FF0000"/>
          <w:sz w:val="24"/>
        </w:rPr>
        <w:t>（具体内容以工程量清单及施工图纸为准）</w:t>
      </w:r>
      <w:r>
        <w:rPr>
          <w:rFonts w:hint="eastAsia" w:ascii="宋体" w:hAnsi="宋体" w:cs="宋体"/>
          <w:sz w:val="24"/>
        </w:rPr>
        <w:t>。</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rPr>
      </w:pPr>
      <w:r>
        <w:rPr>
          <w:rFonts w:hint="eastAsia" w:ascii="宋体" w:hAnsi="宋体" w:cs="宋体"/>
          <w:sz w:val="24"/>
        </w:rPr>
        <w:t>合同履行期限：</w:t>
      </w:r>
      <w:r>
        <w:rPr>
          <w:rFonts w:hint="eastAsia" w:ascii="宋体" w:hAnsi="宋体" w:cs="宋体"/>
          <w:sz w:val="24"/>
          <w:lang w:val="en-US" w:eastAsia="zh-CN"/>
        </w:rPr>
        <w:t>3</w:t>
      </w:r>
      <w:r>
        <w:rPr>
          <w:rFonts w:hint="eastAsia" w:ascii="宋体" w:hAnsi="宋体" w:cs="宋体"/>
          <w:sz w:val="24"/>
        </w:rPr>
        <w:t>0日历天。</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rPr>
      </w:pPr>
      <w:r>
        <w:rPr>
          <w:rFonts w:hint="eastAsia" w:ascii="宋体" w:hAnsi="宋体" w:cs="宋体"/>
          <w:sz w:val="24"/>
        </w:rPr>
        <w:t>本项目不接受联合体竞标。</w:t>
      </w:r>
    </w:p>
    <w:p>
      <w:pPr>
        <w:keepNext w:val="0"/>
        <w:keepLines w:val="0"/>
        <w:pageBreakBefore w:val="0"/>
        <w:kinsoku/>
        <w:wordWrap/>
        <w:overflowPunct/>
        <w:topLinePunct w:val="0"/>
        <w:bidi w:val="0"/>
        <w:spacing w:line="400" w:lineRule="exact"/>
        <w:ind w:firstLine="482" w:firstLineChars="200"/>
        <w:textAlignment w:val="auto"/>
        <w:rPr>
          <w:rFonts w:ascii="宋体" w:hAnsi="宋体" w:cs="宋体"/>
          <w:b/>
          <w:sz w:val="24"/>
        </w:rPr>
      </w:pPr>
      <w:r>
        <w:rPr>
          <w:rFonts w:hint="eastAsia" w:ascii="宋体" w:hAnsi="宋体" w:cs="宋体"/>
          <w:b/>
          <w:sz w:val="24"/>
        </w:rPr>
        <w:t>二、供应商资格要求</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1.满足《中华人民共和国政府采购法》第二十二条规定；</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2.落实政府采购政策需满足的资格要求：专门面向中小企业采购的项目（供应商应为中小微企业、监狱企业、残疾人福利性单位)</w:t>
      </w:r>
      <w:r>
        <w:rPr>
          <w:rFonts w:hint="eastAsia" w:hAnsi="宋体" w:cs="宋体"/>
          <w:sz w:val="24"/>
        </w:rPr>
        <w:t>。</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color w:val="FF0000"/>
          <w:sz w:val="24"/>
        </w:rPr>
      </w:pPr>
      <w:r>
        <w:rPr>
          <w:rFonts w:hint="eastAsia" w:ascii="宋体" w:hAnsi="宋体" w:cs="宋体"/>
          <w:sz w:val="24"/>
        </w:rPr>
        <w:t>3.本项目的特定资格要求：</w:t>
      </w:r>
      <w:r>
        <w:rPr>
          <w:rFonts w:hint="eastAsia" w:ascii="宋体" w:hAnsi="宋体" w:cs="宋体"/>
          <w:color w:val="FF0000"/>
          <w:sz w:val="24"/>
        </w:rPr>
        <w:t>具备市政公用工程施工总承包叁级（含叁级）及以上资质，具有有效的安全生产许可证，并在人员、设备、资金等方面具备相应的履约能力；拟派项目经理须具有市政公用工程专业贰级以上（含贰级）注册建造师资格，并具备有效的安全生产考核合格证书（B类）。</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b/>
          <w:sz w:val="24"/>
        </w:rPr>
      </w:pPr>
      <w:r>
        <w:rPr>
          <w:rFonts w:hint="eastAsia" w:ascii="宋体" w:hAnsi="宋体" w:cs="宋体"/>
          <w:b/>
          <w:sz w:val="24"/>
        </w:rPr>
        <w:t>三、获取竞争性磋商文件</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bCs/>
          <w:kern w:val="0"/>
          <w:sz w:val="24"/>
        </w:rPr>
      </w:pPr>
      <w:r>
        <w:rPr>
          <w:rFonts w:hint="eastAsia" w:ascii="宋体" w:hAnsi="宋体" w:cs="宋体"/>
          <w:bCs/>
          <w:kern w:val="0"/>
          <w:sz w:val="24"/>
        </w:rPr>
        <w:t>时间：</w:t>
      </w:r>
      <w:r>
        <w:rPr>
          <w:rFonts w:hint="eastAsia" w:ascii="宋体" w:hAnsi="宋体" w:cs="宋体"/>
          <w:bCs/>
          <w:kern w:val="0"/>
          <w:sz w:val="24"/>
          <w:u w:val="single"/>
        </w:rPr>
        <w:t>202</w:t>
      </w:r>
      <w:r>
        <w:rPr>
          <w:rFonts w:hint="eastAsia" w:ascii="宋体" w:hAnsi="宋体" w:cs="宋体"/>
          <w:bCs/>
          <w:kern w:val="0"/>
          <w:sz w:val="24"/>
          <w:u w:val="single"/>
          <w:lang w:val="en-US" w:eastAsia="zh-CN"/>
        </w:rPr>
        <w:t>4</w:t>
      </w:r>
      <w:r>
        <w:rPr>
          <w:rFonts w:hint="eastAsia" w:ascii="宋体" w:hAnsi="宋体" w:cs="宋体"/>
          <w:bCs/>
          <w:kern w:val="0"/>
          <w:sz w:val="24"/>
          <w:u w:val="single"/>
        </w:rPr>
        <w:t>年</w:t>
      </w:r>
      <w:r>
        <w:rPr>
          <w:rFonts w:hint="eastAsia" w:ascii="宋体" w:hAnsi="宋体" w:cs="宋体"/>
          <w:bCs/>
          <w:kern w:val="0"/>
          <w:sz w:val="24"/>
          <w:u w:val="single"/>
          <w:lang w:val="en-US" w:eastAsia="zh-CN"/>
        </w:rPr>
        <w:t>1</w:t>
      </w:r>
      <w:r>
        <w:rPr>
          <w:rFonts w:hint="eastAsia" w:ascii="宋体" w:hAnsi="宋体" w:cs="宋体"/>
          <w:bCs/>
          <w:kern w:val="0"/>
          <w:sz w:val="24"/>
          <w:u w:val="single"/>
        </w:rPr>
        <w:t>月</w:t>
      </w:r>
      <w:r>
        <w:rPr>
          <w:rFonts w:hint="eastAsia" w:ascii="宋体" w:hAnsi="宋体" w:cs="宋体"/>
          <w:bCs/>
          <w:kern w:val="0"/>
          <w:sz w:val="24"/>
          <w:u w:val="single"/>
          <w:lang w:val="en-US" w:eastAsia="zh-CN"/>
        </w:rPr>
        <w:t>26</w:t>
      </w:r>
      <w:r>
        <w:rPr>
          <w:rFonts w:hint="eastAsia" w:ascii="宋体" w:hAnsi="宋体" w:cs="宋体"/>
          <w:bCs/>
          <w:kern w:val="0"/>
          <w:sz w:val="24"/>
          <w:u w:val="single"/>
        </w:rPr>
        <w:t>日至202</w:t>
      </w:r>
      <w:r>
        <w:rPr>
          <w:rFonts w:hint="eastAsia" w:ascii="宋体" w:hAnsi="宋体" w:cs="宋体"/>
          <w:bCs/>
          <w:kern w:val="0"/>
          <w:sz w:val="24"/>
          <w:u w:val="single"/>
          <w:lang w:val="en-US" w:eastAsia="zh-CN"/>
        </w:rPr>
        <w:t>4</w:t>
      </w:r>
      <w:r>
        <w:rPr>
          <w:rFonts w:hint="eastAsia" w:ascii="宋体" w:hAnsi="宋体" w:cs="宋体"/>
          <w:bCs/>
          <w:kern w:val="0"/>
          <w:sz w:val="24"/>
          <w:u w:val="single"/>
        </w:rPr>
        <w:t>年</w:t>
      </w:r>
      <w:r>
        <w:rPr>
          <w:rFonts w:hint="eastAsia" w:ascii="宋体" w:hAnsi="宋体" w:cs="宋体"/>
          <w:bCs/>
          <w:kern w:val="0"/>
          <w:sz w:val="24"/>
          <w:u w:val="single"/>
          <w:lang w:val="en-US" w:eastAsia="zh-CN"/>
        </w:rPr>
        <w:t>2</w:t>
      </w:r>
      <w:r>
        <w:rPr>
          <w:rFonts w:hint="eastAsia" w:ascii="宋体" w:hAnsi="宋体" w:cs="宋体"/>
          <w:bCs/>
          <w:kern w:val="0"/>
          <w:sz w:val="24"/>
          <w:u w:val="single"/>
        </w:rPr>
        <w:t>月</w:t>
      </w:r>
      <w:r>
        <w:rPr>
          <w:rFonts w:hint="eastAsia" w:ascii="宋体" w:hAnsi="宋体" w:cs="宋体"/>
          <w:bCs/>
          <w:kern w:val="0"/>
          <w:sz w:val="24"/>
          <w:u w:val="single"/>
          <w:lang w:val="en-US" w:eastAsia="zh-CN"/>
        </w:rPr>
        <w:t>2</w:t>
      </w:r>
      <w:r>
        <w:rPr>
          <w:rFonts w:hint="eastAsia" w:ascii="宋体" w:hAnsi="宋体" w:cs="宋体"/>
          <w:bCs/>
          <w:kern w:val="0"/>
          <w:sz w:val="24"/>
          <w:u w:val="single"/>
        </w:rPr>
        <w:t>日</w:t>
      </w:r>
      <w:r>
        <w:rPr>
          <w:rFonts w:hint="eastAsia" w:ascii="宋体" w:hAnsi="宋体" w:cs="宋体"/>
          <w:bCs/>
          <w:kern w:val="0"/>
          <w:sz w:val="24"/>
        </w:rPr>
        <w:t>，每天上午08:00至12:00，下午15:00至18:00（北京时间，法定节假日除外）</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bCs/>
          <w:kern w:val="0"/>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点：</w:t>
      </w:r>
      <w:r>
        <w:rPr>
          <w:rFonts w:hint="eastAsia" w:ascii="宋体" w:hAnsi="宋体"/>
          <w:color w:val="000000"/>
          <w:sz w:val="24"/>
          <w:u w:val="single"/>
        </w:rPr>
        <w:t>广西元强建设项目管理有限公司（广西百色市龙景区新环球投资大厦左塔1926号）</w:t>
      </w:r>
      <w:r>
        <w:rPr>
          <w:rFonts w:hint="eastAsia" w:ascii="宋体" w:hAnsi="宋体" w:eastAsia="宋体" w:cs="宋体"/>
          <w:bCs/>
          <w:kern w:val="0"/>
          <w:sz w:val="24"/>
        </w:rPr>
        <w:t>。</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bCs/>
          <w:kern w:val="0"/>
          <w:sz w:val="24"/>
        </w:rPr>
      </w:pPr>
      <w:r>
        <w:rPr>
          <w:rFonts w:hint="eastAsia" w:ascii="宋体" w:hAnsi="宋体" w:cs="宋体"/>
          <w:sz w:val="24"/>
        </w:rPr>
        <w:t>方</w:t>
      </w:r>
      <w:r>
        <w:rPr>
          <w:rFonts w:hint="eastAsia" w:ascii="宋体" w:hAnsi="宋体" w:cs="宋体"/>
          <w:sz w:val="24"/>
          <w:lang w:val="en-US" w:eastAsia="zh-CN"/>
        </w:rPr>
        <w:t xml:space="preserve"> </w:t>
      </w:r>
      <w:r>
        <w:rPr>
          <w:rFonts w:hint="eastAsia" w:ascii="宋体" w:hAnsi="宋体" w:cs="宋体"/>
          <w:sz w:val="24"/>
        </w:rPr>
        <w:t>式：</w:t>
      </w:r>
      <w:r>
        <w:rPr>
          <w:rFonts w:hint="eastAsia" w:ascii="宋体" w:hAnsi="宋体" w:eastAsia="宋体" w:cs="宋体"/>
          <w:bCs/>
          <w:kern w:val="0"/>
          <w:sz w:val="24"/>
          <w:lang w:val="en-US" w:eastAsia="zh-CN"/>
        </w:rPr>
        <w:t>由供应商法定代表人或委托代理人携带以下资料一份前来购买竞争性磋商文件等资料：①有效的营业执照；②有效的资质证书；③法定代表人身份证复印件；④授权委托书原件及委托人身份证（委托时必须提供，明确委托权限及时间）；报名资料齐全并经审查合格后方可接受报名，否则将被拒绝）</w:t>
      </w:r>
      <w:r>
        <w:rPr>
          <w:rFonts w:hint="eastAsia" w:ascii="宋体" w:hAnsi="宋体" w:eastAsia="宋体" w:cs="宋体"/>
          <w:bCs/>
          <w:kern w:val="0"/>
          <w:sz w:val="24"/>
        </w:rPr>
        <w:t>。</w:t>
      </w:r>
    </w:p>
    <w:p>
      <w:pPr>
        <w:pStyle w:val="13"/>
        <w:keepNext w:val="0"/>
        <w:keepLines w:val="0"/>
        <w:pageBreakBefore w:val="0"/>
        <w:kinsoku/>
        <w:wordWrap/>
        <w:overflowPunct/>
        <w:topLinePunct w:val="0"/>
        <w:bidi w:val="0"/>
        <w:spacing w:line="400" w:lineRule="exact"/>
        <w:textAlignment w:val="auto"/>
      </w:pPr>
      <w:r>
        <w:rPr>
          <w:rFonts w:hint="eastAsia" w:ascii="宋体" w:hAnsi="宋体" w:cs="宋体"/>
          <w:sz w:val="24"/>
        </w:rPr>
        <w:t>售价：0元</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sz w:val="24"/>
        </w:rPr>
      </w:pPr>
      <w:r>
        <w:rPr>
          <w:rFonts w:hint="eastAsia" w:ascii="宋体" w:hAnsi="宋体" w:cs="宋体"/>
          <w:b/>
          <w:sz w:val="24"/>
        </w:rPr>
        <w:t>四、响应文件提交</w:t>
      </w:r>
      <w:r>
        <w:rPr>
          <w:rFonts w:hint="eastAsia" w:ascii="宋体" w:hAnsi="宋体" w:cs="宋体"/>
          <w:sz w:val="24"/>
        </w:rPr>
        <w:t>：</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u w:val="single"/>
        </w:rPr>
      </w:pPr>
      <w:r>
        <w:rPr>
          <w:rFonts w:hint="eastAsia" w:ascii="宋体" w:hAnsi="宋体" w:cs="宋体"/>
          <w:sz w:val="24"/>
        </w:rPr>
        <w:t>截止时间：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rPr>
        <w:t>（北京时间）</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bCs/>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点：</w:t>
      </w:r>
      <w:r>
        <w:rPr>
          <w:rFonts w:hint="eastAsia" w:ascii="宋体" w:hAnsi="宋体"/>
          <w:color w:val="000000"/>
          <w:sz w:val="24"/>
          <w:u w:val="single"/>
        </w:rPr>
        <w:t>广西元强建设项目管理有限公司</w:t>
      </w:r>
      <w:r>
        <w:rPr>
          <w:rFonts w:hint="eastAsia" w:ascii="宋体" w:hAnsi="宋体"/>
          <w:color w:val="000000"/>
          <w:sz w:val="24"/>
          <w:u w:val="single"/>
          <w:lang w:eastAsia="zh-CN"/>
        </w:rPr>
        <w:t>开标</w:t>
      </w:r>
      <w:r>
        <w:rPr>
          <w:rFonts w:hint="eastAsia" w:ascii="宋体" w:hAnsi="宋体"/>
          <w:color w:val="000000"/>
          <w:sz w:val="24"/>
          <w:u w:val="single"/>
          <w:lang w:val="en-US" w:eastAsia="zh-CN"/>
        </w:rPr>
        <w:t>大厅</w:t>
      </w:r>
      <w:r>
        <w:rPr>
          <w:rFonts w:hint="eastAsia" w:ascii="宋体" w:hAnsi="宋体"/>
          <w:color w:val="000000"/>
          <w:sz w:val="24"/>
          <w:u w:val="single"/>
        </w:rPr>
        <w:t>（广西百色市龙景区新环球投资大厦左塔1926号），逾期送达或未密封将予以拒收（或作无效竞标文件处理）</w:t>
      </w:r>
      <w:r>
        <w:rPr>
          <w:rFonts w:hint="eastAsia" w:ascii="宋体" w:hAnsi="宋体" w:cs="宋体"/>
          <w:sz w:val="24"/>
        </w:rPr>
        <w:t>。</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b/>
          <w:sz w:val="24"/>
        </w:rPr>
      </w:pPr>
      <w:r>
        <w:rPr>
          <w:rFonts w:hint="eastAsia" w:ascii="宋体" w:hAnsi="宋体" w:cs="宋体"/>
          <w:b/>
          <w:sz w:val="24"/>
        </w:rPr>
        <w:t>五、响应文件开启</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rPr>
      </w:pPr>
      <w:r>
        <w:rPr>
          <w:rFonts w:hint="eastAsia" w:ascii="宋体" w:hAnsi="宋体" w:cs="宋体"/>
          <w:sz w:val="24"/>
        </w:rPr>
        <w:t>开启时间：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后</w:t>
      </w:r>
      <w:r>
        <w:rPr>
          <w:rFonts w:hint="eastAsia" w:ascii="宋体" w:hAnsi="宋体" w:cs="宋体"/>
          <w:bCs/>
          <w:sz w:val="24"/>
        </w:rPr>
        <w:t>（北京时间）</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点：</w:t>
      </w:r>
      <w:r>
        <w:rPr>
          <w:rFonts w:hint="eastAsia" w:ascii="宋体" w:hAnsi="宋体"/>
          <w:color w:val="000000"/>
          <w:sz w:val="24"/>
          <w:u w:val="single"/>
        </w:rPr>
        <w:t>广西元强建设项目管理有限公司</w:t>
      </w:r>
      <w:r>
        <w:rPr>
          <w:rFonts w:hint="eastAsia" w:ascii="宋体" w:hAnsi="宋体"/>
          <w:color w:val="000000"/>
          <w:sz w:val="24"/>
          <w:u w:val="single"/>
          <w:lang w:eastAsia="zh-CN"/>
        </w:rPr>
        <w:t>开标</w:t>
      </w:r>
      <w:r>
        <w:rPr>
          <w:rFonts w:hint="eastAsia" w:ascii="宋体" w:hAnsi="宋体"/>
          <w:color w:val="000000"/>
          <w:sz w:val="24"/>
          <w:u w:val="single"/>
          <w:lang w:val="en-US" w:eastAsia="zh-CN"/>
        </w:rPr>
        <w:t>大厅</w:t>
      </w:r>
      <w:r>
        <w:rPr>
          <w:rFonts w:hint="eastAsia" w:ascii="宋体" w:hAnsi="宋体"/>
          <w:color w:val="000000"/>
          <w:sz w:val="24"/>
          <w:u w:val="single"/>
        </w:rPr>
        <w:t>（广西百色市龙景区新环球投资大厦左塔1926号）</w:t>
      </w:r>
      <w:r>
        <w:rPr>
          <w:rFonts w:hint="eastAsia" w:ascii="宋体" w:hAnsi="宋体" w:cs="宋体"/>
          <w:sz w:val="24"/>
        </w:rPr>
        <w:t>。</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sz w:val="24"/>
        </w:rPr>
      </w:pPr>
      <w:r>
        <w:rPr>
          <w:rFonts w:hint="eastAsia" w:ascii="宋体" w:hAnsi="宋体" w:cs="宋体"/>
          <w:b/>
          <w:bCs/>
          <w:sz w:val="24"/>
        </w:rPr>
        <w:t>六、</w:t>
      </w:r>
      <w:r>
        <w:rPr>
          <w:rFonts w:hint="eastAsia" w:ascii="宋体" w:hAnsi="宋体" w:cs="宋体"/>
          <w:b/>
          <w:sz w:val="24"/>
        </w:rPr>
        <w:t>公告期限：</w:t>
      </w:r>
      <w:r>
        <w:rPr>
          <w:rFonts w:hint="eastAsia" w:ascii="宋体" w:hAnsi="宋体" w:cs="宋体"/>
          <w:sz w:val="24"/>
        </w:rPr>
        <w:t>自本公告发布之日起5个工作日。</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sz w:val="24"/>
        </w:rPr>
      </w:pPr>
      <w:r>
        <w:rPr>
          <w:rFonts w:hint="eastAsia" w:ascii="宋体" w:hAnsi="宋体" w:cs="宋体"/>
          <w:b/>
          <w:sz w:val="24"/>
        </w:rPr>
        <w:t>七、其他补充事宜：</w:t>
      </w:r>
    </w:p>
    <w:p>
      <w:pPr>
        <w:keepNext w:val="0"/>
        <w:keepLines w:val="0"/>
        <w:pageBreakBefore w:val="0"/>
        <w:kinsoku/>
        <w:wordWrap/>
        <w:overflowPunct/>
        <w:topLinePunct w:val="0"/>
        <w:bidi w:val="0"/>
        <w:spacing w:line="400" w:lineRule="exact"/>
        <w:ind w:firstLine="480" w:firstLineChars="200"/>
        <w:jc w:val="left"/>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.需要落实的政府采购政策：《政府采购促进中小企业发展管理办法》、《关于我区政府采购支持监狱企业发展有关问题的通知》、《三部门联合发布关于促进残疾人就业政府采购政策的通知》。</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.网上公告媒体查询：中国政府采购网（www.ccgp.gov.cn）</w:t>
      </w:r>
      <w:r>
        <w:rPr>
          <w:rFonts w:hint="eastAsia" w:ascii="宋体" w:hAnsi="宋体" w:cs="宋体"/>
          <w:sz w:val="24"/>
          <w:lang w:eastAsia="zh-CN"/>
        </w:rPr>
        <w:t>、</w:t>
      </w:r>
      <w:r>
        <w:rPr>
          <w:rFonts w:hint="eastAsia" w:ascii="宋体" w:hAnsi="宋体" w:cs="宋体"/>
          <w:sz w:val="24"/>
        </w:rPr>
        <w:t>广西壮族自治区政府采购网（http://zfcg.gxzf.gov.cn/）。</w:t>
      </w:r>
    </w:p>
    <w:p>
      <w:pPr>
        <w:keepNext w:val="0"/>
        <w:keepLines w:val="0"/>
        <w:pageBreakBefore w:val="0"/>
        <w:kinsoku/>
        <w:wordWrap/>
        <w:overflowPunct/>
        <w:topLinePunct w:val="0"/>
        <w:bidi w:val="0"/>
        <w:snapToGrid w:val="0"/>
        <w:spacing w:line="400" w:lineRule="exact"/>
        <w:ind w:firstLine="241" w:firstLineChars="100"/>
        <w:textAlignment w:val="auto"/>
        <w:rPr>
          <w:rFonts w:ascii="宋体" w:hAnsi="宋体" w:cs="宋体"/>
          <w:b/>
          <w:sz w:val="24"/>
        </w:rPr>
      </w:pPr>
      <w:r>
        <w:rPr>
          <w:rFonts w:hint="eastAsia" w:ascii="宋体" w:hAnsi="宋体" w:cs="宋体"/>
          <w:b/>
          <w:sz w:val="24"/>
        </w:rPr>
        <w:t>八、凡对本次采购提出询问，请按以下方式联系。</w:t>
      </w:r>
    </w:p>
    <w:p>
      <w:pPr>
        <w:keepNext w:val="0"/>
        <w:keepLines w:val="0"/>
        <w:pageBreakBefore w:val="0"/>
        <w:kinsoku/>
        <w:wordWrap/>
        <w:overflowPunct/>
        <w:topLinePunct w:val="0"/>
        <w:autoSpaceDE w:val="0"/>
        <w:autoSpaceDN w:val="0"/>
        <w:bidi w:val="0"/>
        <w:adjustRightInd w:val="0"/>
        <w:snapToGrid w:val="0"/>
        <w:spacing w:line="400" w:lineRule="exact"/>
        <w:ind w:firstLine="360" w:firstLineChars="150"/>
        <w:jc w:val="left"/>
        <w:textAlignment w:val="auto"/>
        <w:rPr>
          <w:rFonts w:hint="eastAsia" w:ascii="宋体" w:hAnsi="宋体"/>
          <w:bCs/>
          <w:color w:val="000000"/>
          <w:sz w:val="24"/>
        </w:rPr>
      </w:pPr>
      <w:r>
        <w:rPr>
          <w:rFonts w:hint="eastAsia" w:ascii="宋体" w:hAnsi="宋体"/>
          <w:bCs/>
          <w:color w:val="000000"/>
          <w:sz w:val="24"/>
        </w:rPr>
        <w:t>1.采购人：田林县住房和城乡建设局</w:t>
      </w:r>
    </w:p>
    <w:p>
      <w:pPr>
        <w:keepNext w:val="0"/>
        <w:keepLines w:val="0"/>
        <w:pageBreakBefore w:val="0"/>
        <w:kinsoku/>
        <w:wordWrap/>
        <w:overflowPunct/>
        <w:topLinePunct w:val="0"/>
        <w:autoSpaceDE w:val="0"/>
        <w:autoSpaceDN w:val="0"/>
        <w:bidi w:val="0"/>
        <w:adjustRightInd w:val="0"/>
        <w:snapToGrid w:val="0"/>
        <w:spacing w:line="400" w:lineRule="exact"/>
        <w:ind w:firstLine="360" w:firstLineChars="150"/>
        <w:jc w:val="left"/>
        <w:textAlignment w:val="auto"/>
        <w:rPr>
          <w:rFonts w:hint="eastAsia" w:ascii="宋体" w:hAnsi="宋体"/>
          <w:bCs/>
          <w:color w:val="000000"/>
          <w:sz w:val="24"/>
        </w:rPr>
      </w:pPr>
      <w:r>
        <w:rPr>
          <w:rFonts w:hint="eastAsia" w:ascii="宋体" w:hAnsi="宋体"/>
          <w:bCs/>
          <w:color w:val="000000"/>
          <w:sz w:val="24"/>
        </w:rPr>
        <w:t xml:space="preserve">  地  址：田林县城324国道西50米</w:t>
      </w:r>
    </w:p>
    <w:p>
      <w:pPr>
        <w:keepNext w:val="0"/>
        <w:keepLines w:val="0"/>
        <w:pageBreakBefore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宋体" w:hAnsi="宋体"/>
          <w:bCs/>
          <w:color w:val="000000"/>
          <w:sz w:val="24"/>
        </w:rPr>
      </w:pPr>
      <w:r>
        <w:rPr>
          <w:rFonts w:hint="eastAsia" w:ascii="宋体" w:hAnsi="宋体"/>
          <w:bCs/>
          <w:color w:val="000000"/>
          <w:sz w:val="24"/>
        </w:rPr>
        <w:t>联系人及电话:</w:t>
      </w:r>
      <w:r>
        <w:t xml:space="preserve"> </w:t>
      </w:r>
      <w:r>
        <w:rPr>
          <w:rFonts w:hint="eastAsia" w:ascii="宋体" w:hAnsi="宋体"/>
          <w:bCs/>
          <w:color w:val="000000"/>
          <w:sz w:val="24"/>
        </w:rPr>
        <w:t>黎 娟  0776-2578909</w:t>
      </w:r>
    </w:p>
    <w:p>
      <w:pPr>
        <w:keepNext w:val="0"/>
        <w:keepLines w:val="0"/>
        <w:pageBreakBefore w:val="0"/>
        <w:kinsoku/>
        <w:wordWrap/>
        <w:overflowPunct/>
        <w:topLinePunct w:val="0"/>
        <w:autoSpaceDE w:val="0"/>
        <w:autoSpaceDN w:val="0"/>
        <w:bidi w:val="0"/>
        <w:adjustRightInd w:val="0"/>
        <w:snapToGrid w:val="0"/>
        <w:spacing w:line="400" w:lineRule="exact"/>
        <w:ind w:firstLine="360" w:firstLineChars="150"/>
        <w:jc w:val="left"/>
        <w:textAlignment w:val="auto"/>
        <w:rPr>
          <w:rFonts w:hint="eastAsia" w:ascii="宋体" w:hAnsi="宋体"/>
          <w:sz w:val="24"/>
        </w:rPr>
      </w:pPr>
      <w:r>
        <w:rPr>
          <w:rFonts w:hint="eastAsia" w:ascii="宋体" w:hAnsi="宋体"/>
          <w:bCs/>
          <w:sz w:val="24"/>
        </w:rPr>
        <w:t>2.采购代理机构：</w:t>
      </w:r>
      <w:r>
        <w:rPr>
          <w:rFonts w:hint="eastAsia" w:ascii="宋体" w:hAnsi="宋体"/>
          <w:sz w:val="24"/>
        </w:rPr>
        <w:t>广西元强建设项目管理有限公司</w:t>
      </w:r>
    </w:p>
    <w:p>
      <w:pPr>
        <w:keepNext w:val="0"/>
        <w:keepLines w:val="0"/>
        <w:pageBreakBefore w:val="0"/>
        <w:tabs>
          <w:tab w:val="left" w:pos="8280"/>
        </w:tabs>
        <w:kinsoku/>
        <w:wordWrap/>
        <w:overflowPunct/>
        <w:topLinePunct w:val="0"/>
        <w:bidi w:val="0"/>
        <w:snapToGrid w:val="0"/>
        <w:spacing w:line="400" w:lineRule="exact"/>
        <w:ind w:firstLine="482" w:firstLineChars="200"/>
        <w:jc w:val="left"/>
        <w:textAlignment w:val="auto"/>
        <w:rPr>
          <w:rFonts w:hint="eastAsia" w:ascii="宋体" w:hAnsi="宋体"/>
          <w:bCs/>
          <w:sz w:val="24"/>
        </w:rPr>
      </w:pPr>
      <w:r>
        <w:rPr>
          <w:rFonts w:hint="eastAsia" w:ascii="宋体" w:hAnsi="宋体"/>
          <w:b/>
          <w:bCs/>
          <w:sz w:val="24"/>
        </w:rPr>
        <w:t xml:space="preserve">  </w:t>
      </w:r>
      <w:r>
        <w:rPr>
          <w:rFonts w:hint="eastAsia" w:ascii="宋体" w:hAnsi="宋体"/>
          <w:bCs/>
          <w:sz w:val="24"/>
        </w:rPr>
        <w:t>地 址：</w:t>
      </w:r>
      <w:r>
        <w:rPr>
          <w:rFonts w:hint="eastAsia" w:ascii="宋体" w:hAnsi="宋体"/>
          <w:sz w:val="24"/>
        </w:rPr>
        <w:t>广西百色市龙景区新环球投资大厦左塔1926号；</w:t>
      </w:r>
      <w:r>
        <w:rPr>
          <w:rFonts w:hint="eastAsia" w:ascii="宋体" w:hAnsi="宋体"/>
          <w:bCs/>
          <w:sz w:val="24"/>
        </w:rPr>
        <w:t xml:space="preserve"> </w:t>
      </w:r>
    </w:p>
    <w:p>
      <w:pPr>
        <w:keepNext w:val="0"/>
        <w:keepLines w:val="0"/>
        <w:pageBreakBefore w:val="0"/>
        <w:tabs>
          <w:tab w:val="left" w:pos="8280"/>
        </w:tabs>
        <w:kinsoku/>
        <w:wordWrap/>
        <w:overflowPunct/>
        <w:topLinePunct w:val="0"/>
        <w:bidi w:val="0"/>
        <w:snapToGrid w:val="0"/>
        <w:spacing w:line="400" w:lineRule="exact"/>
        <w:ind w:firstLine="480" w:firstLineChars="200"/>
        <w:jc w:val="left"/>
        <w:textAlignment w:val="auto"/>
        <w:rPr>
          <w:rFonts w:hint="eastAsia" w:ascii="宋体" w:hAnsi="宋体"/>
          <w:sz w:val="24"/>
        </w:rPr>
      </w:pPr>
      <w:r>
        <w:rPr>
          <w:rFonts w:hint="eastAsia" w:ascii="宋体" w:hAnsi="宋体"/>
          <w:bCs/>
          <w:sz w:val="24"/>
        </w:rPr>
        <w:t xml:space="preserve">  项目联系人：</w:t>
      </w:r>
      <w:r>
        <w:rPr>
          <w:rFonts w:hint="eastAsia" w:ascii="宋体" w:hAnsi="宋体"/>
          <w:sz w:val="24"/>
        </w:rPr>
        <w:t>李新宇  联系电话/传真: 0776-2840555；</w:t>
      </w:r>
    </w:p>
    <w:p>
      <w:pPr>
        <w:autoSpaceDE w:val="0"/>
        <w:autoSpaceDN w:val="0"/>
        <w:adjustRightInd w:val="0"/>
        <w:snapToGrid w:val="0"/>
        <w:spacing w:line="400" w:lineRule="exact"/>
        <w:jc w:val="left"/>
        <w:rPr>
          <w:rFonts w:hint="eastAsia" w:ascii="宋体" w:hAnsi="宋体"/>
          <w:sz w:val="24"/>
        </w:rPr>
      </w:pPr>
    </w:p>
    <w:p>
      <w:pPr>
        <w:autoSpaceDE w:val="0"/>
        <w:autoSpaceDN w:val="0"/>
        <w:adjustRightInd w:val="0"/>
        <w:snapToGrid w:val="0"/>
        <w:spacing w:line="400" w:lineRule="exact"/>
        <w:ind w:firstLine="720" w:firstLineChars="300"/>
        <w:jc w:val="left"/>
        <w:rPr>
          <w:rFonts w:hint="eastAsia" w:ascii="宋体" w:hAnsi="宋体"/>
          <w:sz w:val="24"/>
        </w:rPr>
      </w:pPr>
      <w:r>
        <w:rPr>
          <w:rFonts w:hint="eastAsia" w:ascii="宋体" w:hAnsi="宋体"/>
          <w:sz w:val="24"/>
        </w:rPr>
        <w:t>田林县住房和城乡建设局</w:t>
      </w:r>
    </w:p>
    <w:p>
      <w:pPr>
        <w:autoSpaceDE w:val="0"/>
        <w:autoSpaceDN w:val="0"/>
        <w:adjustRightInd w:val="0"/>
        <w:snapToGrid w:val="0"/>
        <w:spacing w:line="400" w:lineRule="exact"/>
        <w:jc w:val="left"/>
        <w:rPr>
          <w:rFonts w:hint="eastAsia" w:ascii="宋体" w:hAnsi="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广西元强建设项目管理有限公司</w:t>
      </w:r>
    </w:p>
    <w:p>
      <w:pPr>
        <w:wordWrap w:val="0"/>
        <w:spacing w:line="400" w:lineRule="exact"/>
        <w:ind w:right="480"/>
        <w:jc w:val="center"/>
        <w:rPr>
          <w:rFonts w:hint="eastAsia"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p>
    <w:p>
      <w:pPr>
        <w:spacing w:line="400" w:lineRule="exact"/>
      </w:pPr>
    </w:p>
    <w:p>
      <w:pPr>
        <w:pStyle w:val="2"/>
        <w:rPr>
          <w:rFonts w:ascii="宋体" w:hAnsi="宋体" w:eastAsia="宋体" w:cs="宋体"/>
        </w:rPr>
      </w:pPr>
      <w:bookmarkStart w:id="1" w:name="_Toc32420"/>
      <w:r>
        <w:rPr>
          <w:rFonts w:hint="eastAsia" w:ascii="宋体" w:hAnsi="宋体" w:eastAsia="宋体" w:cs="宋体"/>
        </w:rPr>
        <w:t>第二章  供应商须知</w:t>
      </w:r>
      <w:bookmarkEnd w:id="1"/>
    </w:p>
    <w:p>
      <w:pPr>
        <w:spacing w:line="320" w:lineRule="exact"/>
        <w:jc w:val="center"/>
        <w:rPr>
          <w:rFonts w:ascii="宋体" w:hAnsi="宋体" w:cs="宋体"/>
          <w:b/>
          <w:bCs/>
          <w:sz w:val="18"/>
          <w:szCs w:val="18"/>
        </w:rPr>
      </w:pPr>
    </w:p>
    <w:p>
      <w:pPr>
        <w:pStyle w:val="3"/>
        <w:rPr>
          <w:rFonts w:ascii="宋体" w:hAnsi="宋体" w:eastAsia="宋体" w:cs="宋体"/>
        </w:rPr>
      </w:pPr>
      <w:bookmarkStart w:id="2" w:name="_Toc6767"/>
      <w:r>
        <w:rPr>
          <w:rFonts w:hint="eastAsia" w:ascii="宋体" w:hAnsi="宋体" w:eastAsia="宋体" w:cs="宋体"/>
        </w:rPr>
        <w:t>供应商须知前附表</w:t>
      </w:r>
      <w:bookmarkEnd w:id="2"/>
    </w:p>
    <w:tbl>
      <w:tblPr>
        <w:tblStyle w:val="44"/>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33"/>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spacing w:line="400" w:lineRule="exact"/>
              <w:jc w:val="center"/>
              <w:rPr>
                <w:rFonts w:ascii="宋体" w:hAnsi="宋体" w:cs="宋体"/>
                <w:spacing w:val="2"/>
                <w:sz w:val="24"/>
              </w:rPr>
            </w:pPr>
            <w:r>
              <w:rPr>
                <w:rFonts w:hint="eastAsia" w:ascii="宋体" w:hAnsi="宋体" w:cs="宋体"/>
                <w:spacing w:val="2"/>
                <w:sz w:val="24"/>
              </w:rPr>
              <w:t>项号</w:t>
            </w:r>
          </w:p>
        </w:tc>
        <w:tc>
          <w:tcPr>
            <w:tcW w:w="1033" w:type="dxa"/>
          </w:tcPr>
          <w:p>
            <w:pPr>
              <w:spacing w:line="400" w:lineRule="exact"/>
              <w:jc w:val="center"/>
              <w:rPr>
                <w:rFonts w:ascii="宋体" w:hAnsi="宋体" w:cs="宋体"/>
                <w:spacing w:val="2"/>
                <w:sz w:val="24"/>
              </w:rPr>
            </w:pPr>
            <w:r>
              <w:rPr>
                <w:rFonts w:hint="eastAsia" w:ascii="宋体" w:hAnsi="宋体" w:cs="宋体"/>
                <w:spacing w:val="2"/>
                <w:sz w:val="24"/>
              </w:rPr>
              <w:t>条款号</w:t>
            </w:r>
          </w:p>
        </w:tc>
        <w:tc>
          <w:tcPr>
            <w:tcW w:w="7597" w:type="dxa"/>
          </w:tcPr>
          <w:p>
            <w:pPr>
              <w:spacing w:line="400" w:lineRule="exact"/>
              <w:jc w:val="center"/>
              <w:rPr>
                <w:rFonts w:ascii="宋体" w:hAnsi="宋体" w:cs="宋体"/>
                <w:spacing w:val="2"/>
                <w:sz w:val="24"/>
              </w:rPr>
            </w:pPr>
            <w:r>
              <w:rPr>
                <w:rFonts w:hint="eastAsia" w:ascii="宋体" w:hAnsi="宋体" w:cs="宋体"/>
                <w:spacing w:val="2"/>
                <w:sz w:val="24"/>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1.1</w:t>
            </w:r>
          </w:p>
        </w:tc>
        <w:tc>
          <w:tcPr>
            <w:tcW w:w="7597" w:type="dxa"/>
            <w:vAlign w:val="center"/>
          </w:tcPr>
          <w:p>
            <w:pPr>
              <w:spacing w:line="400" w:lineRule="exact"/>
              <w:jc w:val="left"/>
              <w:rPr>
                <w:rFonts w:ascii="宋体" w:hAnsi="宋体" w:cs="宋体"/>
                <w:sz w:val="24"/>
              </w:rPr>
            </w:pPr>
            <w:r>
              <w:rPr>
                <w:rFonts w:hint="eastAsia" w:ascii="宋体" w:hAnsi="宋体" w:cs="宋体"/>
                <w:sz w:val="24"/>
              </w:rPr>
              <w:t>项目基本情况：</w:t>
            </w:r>
          </w:p>
          <w:p>
            <w:pPr>
              <w:spacing w:line="400" w:lineRule="exact"/>
              <w:jc w:val="left"/>
              <w:rPr>
                <w:rFonts w:hint="default" w:ascii="宋体" w:hAnsi="宋体" w:eastAsia="宋体" w:cs="宋体"/>
                <w:sz w:val="24"/>
                <w:lang w:val="en-US" w:eastAsia="zh-CN"/>
              </w:rPr>
            </w:pPr>
            <w:r>
              <w:rPr>
                <w:rFonts w:hint="eastAsia" w:ascii="宋体" w:hAnsi="宋体" w:cs="宋体"/>
                <w:sz w:val="24"/>
              </w:rPr>
              <w:t>项目编号：BSZC2024-C2-290001-GXYQ</w:t>
            </w:r>
          </w:p>
          <w:p>
            <w:pPr>
              <w:spacing w:line="400" w:lineRule="exact"/>
              <w:jc w:val="left"/>
              <w:rPr>
                <w:rFonts w:ascii="宋体" w:hAnsi="宋体" w:cs="宋体"/>
                <w:sz w:val="24"/>
              </w:rPr>
            </w:pPr>
            <w:r>
              <w:rPr>
                <w:rFonts w:hint="eastAsia" w:ascii="宋体" w:hAnsi="宋体" w:cs="宋体"/>
                <w:sz w:val="24"/>
              </w:rPr>
              <w:t>项目名称：</w:t>
            </w:r>
            <w:r>
              <w:rPr>
                <w:rFonts w:hint="eastAsia" w:ascii="宋体" w:hAnsi="宋体" w:eastAsia="宋体" w:cs="宋体"/>
                <w:sz w:val="24"/>
              </w:rPr>
              <w:t>田林县乐里镇新市社区、河南社区灯光改造工程项目（标段一）</w:t>
            </w:r>
          </w:p>
          <w:p>
            <w:pPr>
              <w:pStyle w:val="13"/>
              <w:spacing w:line="400" w:lineRule="exact"/>
              <w:ind w:firstLine="0"/>
              <w:rPr>
                <w:rFonts w:ascii="宋体" w:hAnsi="宋体" w:cs="宋体"/>
                <w:sz w:val="24"/>
              </w:rPr>
            </w:pPr>
            <w:r>
              <w:rPr>
                <w:rFonts w:hint="eastAsia" w:ascii="宋体" w:hAnsi="宋体" w:cs="宋体"/>
                <w:sz w:val="24"/>
              </w:rPr>
              <w:t>建设内容：</w:t>
            </w:r>
            <w:r>
              <w:rPr>
                <w:rFonts w:hint="eastAsia" w:ascii="宋体" w:hAnsi="宋体" w:cs="宋体"/>
                <w:color w:val="FF0000"/>
                <w:sz w:val="24"/>
              </w:rPr>
              <w:t>定制爱心小品灯200W、定制星光主题灯饰摆件600W、定制发光礼物摆件、定制发光气球灯摆件100W、定制发光伞造型灯50W、定制图案道旗灯100W、刷墙灯等</w:t>
            </w:r>
            <w:r>
              <w:rPr>
                <w:rFonts w:hint="eastAsia" w:ascii="宋体" w:hAnsi="宋体" w:cs="宋体"/>
                <w:color w:val="FF0000"/>
                <w:sz w:val="24"/>
                <w:lang w:val="en-US" w:eastAsia="zh-CN"/>
              </w:rPr>
              <w:t>工程施工</w:t>
            </w:r>
            <w:r>
              <w:rPr>
                <w:rFonts w:hint="eastAsia" w:ascii="宋体" w:hAnsi="宋体" w:cs="宋体"/>
                <w:color w:val="FF0000"/>
                <w:sz w:val="24"/>
              </w:rPr>
              <w:t>（具体内容以工程量清单及施工图纸为准）</w:t>
            </w:r>
            <w:r>
              <w:rPr>
                <w:rFonts w:hint="eastAsia" w:ascii="宋体" w:hAnsi="宋体" w:cs="宋体"/>
                <w:sz w:val="24"/>
              </w:rPr>
              <w:t>。</w:t>
            </w:r>
          </w:p>
          <w:p>
            <w:pPr>
              <w:pStyle w:val="43"/>
              <w:spacing w:line="400" w:lineRule="exact"/>
              <w:ind w:firstLine="0"/>
              <w:jc w:val="left"/>
              <w:rPr>
                <w:rFonts w:ascii="宋体" w:hAnsi="宋体" w:cs="宋体"/>
                <w:sz w:val="24"/>
              </w:rPr>
            </w:pPr>
            <w:r>
              <w:rPr>
                <w:rFonts w:hint="eastAsia" w:ascii="宋体" w:hAnsi="宋体" w:cs="宋体"/>
                <w:sz w:val="24"/>
              </w:rPr>
              <w:t>建设地点：</w:t>
            </w:r>
            <w:r>
              <w:rPr>
                <w:rFonts w:hint="eastAsia" w:ascii="宋体" w:hAnsi="宋体" w:cs="宋体"/>
                <w:sz w:val="24"/>
                <w:lang w:val="en-US" w:eastAsia="zh-CN"/>
              </w:rPr>
              <w:t>田林县</w:t>
            </w:r>
            <w:r>
              <w:rPr>
                <w:rFonts w:hint="eastAsia" w:ascii="宋体" w:hAnsi="宋体" w:cs="宋体"/>
                <w:sz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2</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2.1</w:t>
            </w:r>
          </w:p>
        </w:tc>
        <w:tc>
          <w:tcPr>
            <w:tcW w:w="7597" w:type="dxa"/>
            <w:vAlign w:val="center"/>
          </w:tcPr>
          <w:p>
            <w:pPr>
              <w:spacing w:line="400" w:lineRule="exact"/>
              <w:rPr>
                <w:rFonts w:ascii="宋体" w:hAnsi="宋体" w:cs="宋体"/>
                <w:spacing w:val="2"/>
                <w:sz w:val="24"/>
              </w:rPr>
            </w:pPr>
            <w:r>
              <w:rPr>
                <w:rFonts w:hint="eastAsia" w:ascii="宋体" w:hAnsi="宋体" w:cs="宋体"/>
                <w:spacing w:val="2"/>
                <w:sz w:val="24"/>
              </w:rPr>
              <w:t>资金来源：</w:t>
            </w:r>
            <w:r>
              <w:rPr>
                <w:rFonts w:hint="eastAsia" w:ascii="宋体" w:hAnsi="宋体" w:cs="宋体"/>
                <w:spacing w:val="2"/>
                <w:sz w:val="24"/>
                <w:lang w:eastAsia="zh-CN"/>
              </w:rPr>
              <w:t>财政</w:t>
            </w:r>
            <w:r>
              <w:rPr>
                <w:rFonts w:hint="eastAsia" w:ascii="宋体" w:hAnsi="宋体" w:cs="宋体"/>
                <w:spacing w:val="2"/>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3</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3.1</w:t>
            </w:r>
          </w:p>
        </w:tc>
        <w:tc>
          <w:tcPr>
            <w:tcW w:w="7597" w:type="dxa"/>
            <w:vAlign w:val="center"/>
          </w:tcPr>
          <w:p>
            <w:pPr>
              <w:spacing w:line="400" w:lineRule="exact"/>
              <w:rPr>
                <w:rFonts w:ascii="宋体" w:hAnsi="宋体" w:cs="宋体"/>
                <w:b/>
                <w:sz w:val="24"/>
              </w:rPr>
            </w:pPr>
            <w:r>
              <w:rPr>
                <w:rFonts w:hint="eastAsia" w:ascii="宋体" w:hAnsi="宋体" w:cs="宋体"/>
                <w:b/>
                <w:sz w:val="24"/>
              </w:rPr>
              <w:t>供应商资格要求：</w:t>
            </w:r>
          </w:p>
          <w:p>
            <w:pPr>
              <w:spacing w:line="40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400" w:lineRule="exact"/>
              <w:ind w:firstLine="480" w:firstLineChars="200"/>
              <w:rPr>
                <w:rFonts w:ascii="宋体" w:hAnsi="宋体" w:cs="宋体"/>
                <w:sz w:val="24"/>
              </w:rPr>
            </w:pPr>
            <w:r>
              <w:rPr>
                <w:rFonts w:hint="eastAsia" w:ascii="宋体" w:hAnsi="宋体" w:cs="宋体"/>
                <w:sz w:val="24"/>
              </w:rPr>
              <w:t>2.落实政府采购政策需满足的资格要求：专门面向中小企业采购的项目（供应商应为中小微企业、监狱企业、残疾人福利性单位)</w:t>
            </w:r>
            <w:r>
              <w:rPr>
                <w:rFonts w:hint="eastAsia" w:hAnsi="宋体" w:cs="宋体"/>
                <w:sz w:val="24"/>
              </w:rPr>
              <w:t>。</w:t>
            </w:r>
          </w:p>
          <w:p>
            <w:pPr>
              <w:spacing w:line="400" w:lineRule="exact"/>
              <w:ind w:firstLine="480" w:firstLineChars="200"/>
              <w:rPr>
                <w:rFonts w:ascii="宋体" w:hAnsi="宋体" w:cs="宋体"/>
                <w:color w:val="FF0000"/>
                <w:sz w:val="24"/>
              </w:rPr>
            </w:pPr>
            <w:r>
              <w:rPr>
                <w:rFonts w:hint="eastAsia" w:ascii="宋体" w:hAnsi="宋体" w:cs="宋体"/>
                <w:sz w:val="24"/>
              </w:rPr>
              <w:t>3.本项目的特定资格要求：</w:t>
            </w:r>
            <w:r>
              <w:rPr>
                <w:rFonts w:hint="eastAsia" w:ascii="宋体" w:hAnsi="宋体" w:cs="宋体"/>
                <w:color w:val="FF0000"/>
                <w:sz w:val="24"/>
              </w:rPr>
              <w:t>具备市政公用工程施工总承包叁级（含叁级）及以上资质，具有有效的安全生产许可证，并在人员、设备、资金等方面具备相应的履约能力；拟派项目经理须具有市政公用工程专业贰级以上（含贰级）注册建造师资格，并具备有效的安全生产考核合格证书（B类）。</w:t>
            </w:r>
          </w:p>
          <w:p>
            <w:pPr>
              <w:spacing w:line="400" w:lineRule="exact"/>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6"/>
              <w:spacing w:line="400" w:lineRule="exact"/>
              <w:ind w:firstLine="480" w:firstLineChars="200"/>
              <w:rPr>
                <w:rFonts w:ascii="宋体" w:hAnsi="宋体" w:cs="宋体"/>
                <w:sz w:val="24"/>
                <w:lang w:val="en-US" w:eastAsia="zh-CN"/>
              </w:rPr>
            </w:pPr>
            <w:r>
              <w:rPr>
                <w:rFonts w:hint="eastAsia" w:ascii="宋体" w:hAnsi="宋体" w:cs="宋体"/>
                <w:sz w:val="24"/>
                <w:lang w:val="en-US" w:eastAsia="zh-CN"/>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4</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7.1</w:t>
            </w:r>
          </w:p>
        </w:tc>
        <w:tc>
          <w:tcPr>
            <w:tcW w:w="7597" w:type="dxa"/>
            <w:vAlign w:val="center"/>
          </w:tcPr>
          <w:p>
            <w:pPr>
              <w:spacing w:line="400" w:lineRule="exact"/>
              <w:rPr>
                <w:rFonts w:ascii="宋体" w:hAnsi="宋体" w:cs="宋体"/>
                <w:bCs/>
                <w:spacing w:val="2"/>
                <w:sz w:val="24"/>
              </w:rPr>
            </w:pPr>
            <w:r>
              <w:rPr>
                <w:rFonts w:hint="eastAsia" w:ascii="宋体" w:hAnsi="宋体" w:cs="宋体"/>
                <w:bCs/>
                <w:spacing w:val="2"/>
                <w:sz w:val="24"/>
              </w:rPr>
              <w:t>现场勘查：</w:t>
            </w:r>
            <w:r>
              <w:rPr>
                <w:rFonts w:hint="eastAsia" w:ascii="宋体" w:hAnsi="宋体" w:cs="宋体"/>
                <w:sz w:val="24"/>
              </w:rPr>
              <w:t>供应商</w:t>
            </w:r>
            <w:r>
              <w:rPr>
                <w:rFonts w:hint="eastAsia" w:ascii="宋体" w:hAnsi="宋体" w:cs="宋体"/>
                <w:bCs/>
                <w:spacing w:val="2"/>
                <w:sz w:val="24"/>
              </w:rPr>
              <w:t>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5</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13.1</w:t>
            </w:r>
          </w:p>
        </w:tc>
        <w:tc>
          <w:tcPr>
            <w:tcW w:w="7597" w:type="dxa"/>
            <w:vAlign w:val="center"/>
          </w:tcPr>
          <w:p>
            <w:pPr>
              <w:spacing w:line="400" w:lineRule="exact"/>
              <w:rPr>
                <w:rFonts w:ascii="宋体" w:hAnsi="宋体" w:cs="宋体"/>
                <w:spacing w:val="2"/>
                <w:sz w:val="24"/>
              </w:rPr>
            </w:pPr>
            <w:r>
              <w:rPr>
                <w:rFonts w:hint="eastAsia" w:ascii="宋体" w:hAnsi="宋体" w:cs="宋体"/>
                <w:spacing w:val="2"/>
                <w:sz w:val="24"/>
              </w:rPr>
              <w:t>竞标有效期为：竞标截止之日后</w:t>
            </w:r>
            <w:r>
              <w:rPr>
                <w:rFonts w:hint="eastAsia" w:ascii="宋体" w:hAnsi="宋体" w:cs="宋体"/>
                <w:spacing w:val="2"/>
                <w:sz w:val="24"/>
                <w:u w:val="single"/>
              </w:rPr>
              <w:t xml:space="preserve"> 60 </w:t>
            </w:r>
            <w:r>
              <w:rPr>
                <w:rFonts w:hint="eastAsia" w:ascii="宋体" w:hAnsi="宋体" w:cs="宋体"/>
                <w:spacing w:val="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6</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14.1</w:t>
            </w:r>
          </w:p>
        </w:tc>
        <w:tc>
          <w:tcPr>
            <w:tcW w:w="7597" w:type="dxa"/>
            <w:vAlign w:val="center"/>
          </w:tcPr>
          <w:p>
            <w:pPr>
              <w:spacing w:line="400" w:lineRule="exact"/>
              <w:rPr>
                <w:rFonts w:ascii="宋体" w:hAnsi="宋体" w:cs="宋体"/>
                <w:sz w:val="24"/>
                <w:lang w:val="zh-CN"/>
              </w:rPr>
            </w:pPr>
            <w:r>
              <w:rPr>
                <w:rFonts w:hint="eastAsia" w:ascii="宋体" w:hAnsi="宋体" w:cs="宋体"/>
                <w:b/>
                <w:bCs/>
                <w:kern w:val="0"/>
                <w:sz w:val="24"/>
              </w:rPr>
              <w:t>磋商保证金：根据百政办电〔2021〕34号《百色市2021年持续优化营商环境行动方案》精神，本项目无需缴纳竞标保证金。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7</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15.4</w:t>
            </w:r>
          </w:p>
        </w:tc>
        <w:tc>
          <w:tcPr>
            <w:tcW w:w="7597" w:type="dxa"/>
            <w:vAlign w:val="center"/>
          </w:tcPr>
          <w:p>
            <w:pPr>
              <w:spacing w:line="400" w:lineRule="exact"/>
              <w:rPr>
                <w:rFonts w:ascii="宋体" w:hAnsi="宋体" w:cs="宋体"/>
                <w:spacing w:val="2"/>
                <w:sz w:val="24"/>
              </w:rPr>
            </w:pPr>
            <w:r>
              <w:rPr>
                <w:rFonts w:hint="eastAsia" w:hAnsi="宋体" w:cs="宋体"/>
                <w:sz w:val="24"/>
              </w:rPr>
              <w:t>响应文件格式：</w:t>
            </w:r>
            <w:r>
              <w:rPr>
                <w:rFonts w:hint="eastAsia" w:ascii="宋体" w:hAnsi="宋体" w:cs="宋体"/>
                <w:sz w:val="24"/>
              </w:rPr>
              <w:t>资格审查部分、报价部分、商务技术部分三部分组成，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8</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17.1</w:t>
            </w:r>
          </w:p>
        </w:tc>
        <w:tc>
          <w:tcPr>
            <w:tcW w:w="7597" w:type="dxa"/>
            <w:vAlign w:val="center"/>
          </w:tcPr>
          <w:p>
            <w:pPr>
              <w:spacing w:line="400" w:lineRule="exact"/>
              <w:rPr>
                <w:rFonts w:ascii="宋体" w:hAnsi="宋体" w:cs="宋体"/>
                <w:sz w:val="24"/>
              </w:rPr>
            </w:pPr>
            <w:r>
              <w:rPr>
                <w:rFonts w:hint="eastAsia" w:hAnsi="宋体" w:eastAsia="宋体" w:cs="宋体"/>
                <w:sz w:val="24"/>
              </w:rPr>
              <w:t>响应文件份数：</w:t>
            </w:r>
            <w:r>
              <w:rPr>
                <w:rFonts w:hint="eastAsia" w:hAnsi="宋体" w:eastAsia="宋体" w:cs="宋体"/>
                <w:color w:val="FF0000"/>
                <w:sz w:val="24"/>
              </w:rPr>
              <w:t>正本</w:t>
            </w:r>
            <w:r>
              <w:rPr>
                <w:rFonts w:hint="eastAsia" w:hAnsi="宋体" w:cs="宋体"/>
                <w:color w:val="FF0000"/>
                <w:sz w:val="24"/>
                <w:lang w:val="en-US" w:eastAsia="zh-CN"/>
              </w:rPr>
              <w:t>壹</w:t>
            </w:r>
            <w:r>
              <w:rPr>
                <w:rFonts w:hint="eastAsia" w:hAnsi="宋体" w:eastAsia="宋体" w:cs="宋体"/>
                <w:color w:val="FF0000"/>
                <w:sz w:val="24"/>
              </w:rPr>
              <w:t>份，副本</w:t>
            </w:r>
            <w:r>
              <w:rPr>
                <w:rFonts w:hint="eastAsia" w:hAnsi="宋体" w:cs="宋体"/>
                <w:color w:val="FF0000"/>
                <w:sz w:val="24"/>
                <w:lang w:val="en-US" w:eastAsia="zh-CN"/>
              </w:rPr>
              <w:t>贰</w:t>
            </w:r>
            <w:r>
              <w:rPr>
                <w:rFonts w:hint="eastAsia" w:hAnsi="宋体" w:eastAsia="宋体" w:cs="宋体"/>
                <w:color w:val="FF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hint="eastAsia" w:ascii="宋体" w:hAnsi="宋体" w:eastAsia="宋体" w:cs="宋体"/>
                <w:spacing w:val="2"/>
                <w:sz w:val="24"/>
                <w:lang w:eastAsia="zh-CN"/>
              </w:rPr>
            </w:pPr>
            <w:r>
              <w:rPr>
                <w:rFonts w:hint="eastAsia" w:ascii="宋体" w:hAnsi="宋体" w:cs="宋体"/>
                <w:spacing w:val="2"/>
                <w:sz w:val="24"/>
                <w:lang w:val="en-US" w:eastAsia="zh-CN"/>
              </w:rPr>
              <w:t>9</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19.1</w:t>
            </w:r>
          </w:p>
        </w:tc>
        <w:tc>
          <w:tcPr>
            <w:tcW w:w="7597" w:type="dxa"/>
            <w:vAlign w:val="center"/>
          </w:tcPr>
          <w:p>
            <w:pPr>
              <w:pStyle w:val="188"/>
              <w:spacing w:line="360" w:lineRule="exact"/>
              <w:rPr>
                <w:rFonts w:hint="eastAsia" w:ascii="Calibri" w:hAnsi="宋体" w:eastAsia="宋体" w:cs="宋体"/>
                <w:kern w:val="2"/>
                <w:sz w:val="24"/>
                <w:szCs w:val="24"/>
                <w:lang w:val="en-US" w:eastAsia="zh-CN" w:bidi="ar-SA"/>
              </w:rPr>
            </w:pPr>
            <w:r>
              <w:rPr>
                <w:rFonts w:hint="eastAsia" w:ascii="Calibri" w:hAnsi="宋体" w:eastAsia="宋体" w:cs="宋体"/>
                <w:kern w:val="2"/>
                <w:sz w:val="24"/>
                <w:szCs w:val="24"/>
                <w:lang w:val="en-US" w:eastAsia="zh-CN" w:bidi="ar-SA"/>
              </w:rPr>
              <w:t>响应文件递交截止时间：详见磋商公告</w:t>
            </w:r>
          </w:p>
          <w:p>
            <w:pPr>
              <w:spacing w:line="400" w:lineRule="exact"/>
              <w:rPr>
                <w:rFonts w:hint="eastAsia" w:ascii="Calibri" w:hAnsi="宋体" w:eastAsia="宋体" w:cs="宋体"/>
                <w:kern w:val="2"/>
                <w:sz w:val="24"/>
                <w:szCs w:val="24"/>
                <w:lang w:val="en-US" w:eastAsia="zh-CN" w:bidi="ar-SA"/>
              </w:rPr>
            </w:pPr>
            <w:r>
              <w:rPr>
                <w:rFonts w:hint="eastAsia" w:ascii="Calibri" w:hAnsi="宋体" w:eastAsia="宋体" w:cs="宋体"/>
                <w:kern w:val="2"/>
                <w:sz w:val="24"/>
                <w:szCs w:val="24"/>
                <w:lang w:val="en-US" w:eastAsia="zh-CN" w:bidi="ar-SA"/>
              </w:rPr>
              <w:t>响应文件递交地址：详见</w:t>
            </w:r>
            <w:r>
              <w:rPr>
                <w:rFonts w:hint="eastAsia" w:hAnsi="宋体" w:eastAsia="宋体" w:cs="宋体"/>
                <w:kern w:val="2"/>
                <w:sz w:val="24"/>
                <w:szCs w:val="24"/>
                <w:lang w:val="en-US" w:eastAsia="zh-CN" w:bidi="ar-SA"/>
              </w:rPr>
              <w:t>磋商</w:t>
            </w:r>
            <w:r>
              <w:rPr>
                <w:rFonts w:hint="eastAsia" w:ascii="Calibri" w:hAnsi="宋体" w:eastAsia="宋体" w:cs="宋体"/>
                <w:kern w:val="2"/>
                <w:sz w:val="24"/>
                <w:szCs w:val="24"/>
                <w:lang w:val="en-US" w:eastAsia="zh-CN" w:bidi="ar-SA"/>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hint="default" w:ascii="宋体" w:hAnsi="宋体" w:eastAsia="宋体" w:cs="宋体"/>
                <w:spacing w:val="2"/>
                <w:sz w:val="24"/>
                <w:lang w:val="en-US" w:eastAsia="zh-CN"/>
              </w:rPr>
            </w:pPr>
            <w:r>
              <w:rPr>
                <w:rFonts w:hint="eastAsia" w:ascii="宋体" w:hAnsi="宋体" w:cs="宋体"/>
                <w:spacing w:val="2"/>
                <w:sz w:val="24"/>
                <w:lang w:val="en-US" w:eastAsia="zh-CN"/>
              </w:rPr>
              <w:t>10</w:t>
            </w:r>
          </w:p>
        </w:tc>
        <w:tc>
          <w:tcPr>
            <w:tcW w:w="1033" w:type="dxa"/>
            <w:vAlign w:val="center"/>
          </w:tcPr>
          <w:p>
            <w:pPr>
              <w:spacing w:line="400" w:lineRule="exact"/>
              <w:jc w:val="center"/>
              <w:rPr>
                <w:rFonts w:hint="default" w:ascii="宋体" w:hAnsi="宋体" w:eastAsia="宋体" w:cs="宋体"/>
                <w:spacing w:val="2"/>
                <w:sz w:val="24"/>
                <w:lang w:val="en-US" w:eastAsia="zh-CN"/>
              </w:rPr>
            </w:pPr>
            <w:r>
              <w:rPr>
                <w:rFonts w:hint="eastAsia" w:ascii="宋体" w:hAnsi="宋体" w:cs="宋体"/>
                <w:spacing w:val="2"/>
                <w:sz w:val="24"/>
                <w:lang w:val="en-US" w:eastAsia="zh-CN"/>
              </w:rPr>
              <w:t>20.1</w:t>
            </w:r>
          </w:p>
        </w:tc>
        <w:tc>
          <w:tcPr>
            <w:tcW w:w="7597" w:type="dxa"/>
            <w:vAlign w:val="center"/>
          </w:tcPr>
          <w:p>
            <w:pPr>
              <w:pStyle w:val="188"/>
              <w:spacing w:line="360" w:lineRule="exact"/>
              <w:rPr>
                <w:rFonts w:hint="eastAsia" w:ascii="Calibri" w:hAnsi="宋体" w:eastAsia="宋体" w:cs="宋体"/>
                <w:kern w:val="2"/>
                <w:sz w:val="24"/>
                <w:szCs w:val="24"/>
                <w:lang w:val="en-US" w:eastAsia="zh-CN" w:bidi="ar-SA"/>
              </w:rPr>
            </w:pPr>
            <w:r>
              <w:rPr>
                <w:rFonts w:hint="eastAsia" w:ascii="Calibri" w:hAnsi="宋体" w:eastAsia="宋体" w:cs="宋体"/>
                <w:kern w:val="2"/>
                <w:sz w:val="24"/>
                <w:szCs w:val="24"/>
                <w:lang w:val="en-US" w:eastAsia="zh-CN" w:bidi="ar-SA"/>
              </w:rPr>
              <w:t>磋商时间：详见磋商公告</w:t>
            </w:r>
          </w:p>
          <w:p>
            <w:pPr>
              <w:spacing w:line="400" w:lineRule="exact"/>
              <w:rPr>
                <w:rFonts w:hint="eastAsia" w:ascii="Calibri" w:hAnsi="宋体" w:eastAsia="宋体" w:cs="宋体"/>
                <w:kern w:val="2"/>
                <w:sz w:val="24"/>
                <w:szCs w:val="24"/>
                <w:lang w:val="en-US" w:eastAsia="zh-CN" w:bidi="ar-SA"/>
              </w:rPr>
            </w:pPr>
            <w:r>
              <w:rPr>
                <w:rFonts w:hint="eastAsia" w:hAnsi="宋体" w:eastAsia="宋体" w:cs="宋体"/>
                <w:kern w:val="2"/>
                <w:sz w:val="24"/>
                <w:szCs w:val="24"/>
                <w:lang w:val="en-US" w:eastAsia="zh-CN" w:bidi="ar-SA"/>
              </w:rPr>
              <w:t>磋商</w:t>
            </w:r>
            <w:r>
              <w:rPr>
                <w:rFonts w:hint="eastAsia" w:ascii="Calibri" w:hAnsi="宋体" w:eastAsia="宋体" w:cs="宋体"/>
                <w:kern w:val="2"/>
                <w:sz w:val="24"/>
                <w:szCs w:val="24"/>
                <w:lang w:val="en-US" w:eastAsia="zh-CN" w:bidi="ar-SA"/>
              </w:rPr>
              <w:t>地点：详见</w:t>
            </w:r>
            <w:r>
              <w:rPr>
                <w:rFonts w:hint="eastAsia" w:hAnsi="宋体" w:eastAsia="宋体" w:cs="宋体"/>
                <w:kern w:val="2"/>
                <w:sz w:val="24"/>
                <w:szCs w:val="24"/>
                <w:lang w:val="en-US" w:eastAsia="zh-CN" w:bidi="ar-SA"/>
              </w:rPr>
              <w:t>磋商</w:t>
            </w:r>
            <w:r>
              <w:rPr>
                <w:rFonts w:hint="eastAsia" w:ascii="Calibri" w:hAnsi="宋体" w:eastAsia="宋体" w:cs="宋体"/>
                <w:kern w:val="2"/>
                <w:sz w:val="24"/>
                <w:szCs w:val="24"/>
                <w:lang w:val="en-US" w:eastAsia="zh-CN" w:bidi="ar-SA"/>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11</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23</w:t>
            </w:r>
          </w:p>
        </w:tc>
        <w:tc>
          <w:tcPr>
            <w:tcW w:w="7597" w:type="dxa"/>
            <w:vAlign w:val="center"/>
          </w:tcPr>
          <w:p>
            <w:pPr>
              <w:spacing w:line="400" w:lineRule="exact"/>
              <w:rPr>
                <w:rFonts w:ascii="宋体" w:hAnsi="宋体" w:cs="宋体"/>
                <w:spacing w:val="2"/>
                <w:sz w:val="24"/>
              </w:rPr>
            </w:pPr>
            <w:r>
              <w:rPr>
                <w:rFonts w:hint="eastAsia" w:ascii="宋体" w:hAnsi="宋体" w:cs="宋体"/>
                <w:spacing w:val="2"/>
                <w:sz w:val="24"/>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12</w:t>
            </w:r>
          </w:p>
        </w:tc>
        <w:tc>
          <w:tcPr>
            <w:tcW w:w="1033" w:type="dxa"/>
            <w:vAlign w:val="center"/>
          </w:tcPr>
          <w:p>
            <w:pPr>
              <w:spacing w:line="400" w:lineRule="exact"/>
              <w:jc w:val="center"/>
              <w:rPr>
                <w:rFonts w:ascii="宋体" w:hAnsi="宋体" w:cs="宋体"/>
                <w:spacing w:val="2"/>
                <w:sz w:val="24"/>
              </w:rPr>
            </w:pPr>
          </w:p>
        </w:tc>
        <w:tc>
          <w:tcPr>
            <w:tcW w:w="7597" w:type="dxa"/>
            <w:vAlign w:val="center"/>
          </w:tcPr>
          <w:p>
            <w:pPr>
              <w:spacing w:line="400" w:lineRule="exact"/>
              <w:rPr>
                <w:rFonts w:ascii="宋体" w:hAnsi="宋体" w:cs="宋体"/>
                <w:sz w:val="24"/>
              </w:rPr>
            </w:pPr>
            <w:r>
              <w:rPr>
                <w:rFonts w:hint="eastAsia" w:ascii="宋体" w:hAnsi="宋体" w:cs="宋体"/>
                <w:bCs/>
                <w:sz w:val="24"/>
              </w:rPr>
              <w:t>工程报价方式：工程量清单（</w:t>
            </w:r>
            <w:r>
              <w:rPr>
                <w:rFonts w:hint="eastAsia" w:ascii="宋体" w:hAnsi="宋体" w:cs="宋体"/>
                <w:b/>
                <w:bCs/>
                <w:sz w:val="24"/>
              </w:rPr>
              <w:t>清单计价法）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13</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24</w:t>
            </w:r>
          </w:p>
        </w:tc>
        <w:tc>
          <w:tcPr>
            <w:tcW w:w="7597" w:type="dxa"/>
            <w:vAlign w:val="center"/>
          </w:tcPr>
          <w:p>
            <w:pPr>
              <w:spacing w:line="400" w:lineRule="exact"/>
              <w:rPr>
                <w:rFonts w:ascii="宋体" w:hAnsi="宋体" w:cs="宋体"/>
                <w:bCs/>
                <w:sz w:val="24"/>
              </w:rPr>
            </w:pPr>
            <w:r>
              <w:rPr>
                <w:rFonts w:hint="eastAsia" w:ascii="宋体" w:hAnsi="宋体" w:cs="宋体"/>
                <w:sz w:val="24"/>
              </w:rPr>
              <w:t>履约保证金金额：</w:t>
            </w:r>
            <w:r>
              <w:rPr>
                <w:rFonts w:hint="eastAsia" w:ascii="宋体" w:hAnsi="宋体" w:cs="宋体"/>
                <w:b/>
                <w:bCs/>
                <w:sz w:val="24"/>
              </w:rPr>
              <w:t>根据百政办电〔2021〕34号《百色市2021年持续优化营商环境行动方案》精神，本项目无需缴纳履约保证金</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14</w:t>
            </w:r>
          </w:p>
        </w:tc>
        <w:tc>
          <w:tcPr>
            <w:tcW w:w="1033" w:type="dxa"/>
            <w:vAlign w:val="center"/>
          </w:tcPr>
          <w:p>
            <w:pPr>
              <w:spacing w:line="400" w:lineRule="exact"/>
              <w:jc w:val="center"/>
              <w:rPr>
                <w:rFonts w:ascii="宋体" w:hAnsi="宋体" w:cs="宋体"/>
                <w:sz w:val="24"/>
              </w:rPr>
            </w:pPr>
            <w:r>
              <w:rPr>
                <w:rFonts w:hint="eastAsia" w:ascii="宋体" w:hAnsi="宋体" w:cs="宋体"/>
                <w:sz w:val="24"/>
              </w:rPr>
              <w:t>25.1</w:t>
            </w:r>
          </w:p>
        </w:tc>
        <w:tc>
          <w:tcPr>
            <w:tcW w:w="7597" w:type="dxa"/>
            <w:vAlign w:val="center"/>
          </w:tcPr>
          <w:p>
            <w:pPr>
              <w:spacing w:line="400" w:lineRule="exact"/>
              <w:rPr>
                <w:rFonts w:ascii="宋体" w:hAnsi="宋体" w:cs="宋体"/>
                <w:bCs/>
                <w:sz w:val="24"/>
              </w:rPr>
            </w:pPr>
            <w:r>
              <w:rPr>
                <w:rFonts w:hint="eastAsia" w:ascii="宋体" w:hAnsi="宋体" w:cs="宋体"/>
                <w:bCs/>
                <w:sz w:val="24"/>
              </w:rPr>
              <w:t>合同签订要求：根据《广西壮族自治区财政厅关于贯彻落实政府采购优化营商环境百日攻坚行动方案的通知》（桂财采〔2020〕49号）规定，竞标人在收到成交通知书后25个自然日内与与采购人签订合同。采购合同自签订之日起两个工作日内，采购人或供应商必须将合同副本报同级政府采购监督管理部门和代理机构备案，并将政府采购合同在广西壮族自治区政府采购网上公告（涉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15</w:t>
            </w:r>
          </w:p>
        </w:tc>
        <w:tc>
          <w:tcPr>
            <w:tcW w:w="1033" w:type="dxa"/>
            <w:vAlign w:val="center"/>
          </w:tcPr>
          <w:p>
            <w:pPr>
              <w:spacing w:line="400" w:lineRule="exact"/>
              <w:jc w:val="center"/>
              <w:rPr>
                <w:rFonts w:ascii="宋体" w:hAnsi="宋体" w:cs="宋体"/>
                <w:sz w:val="24"/>
              </w:rPr>
            </w:pPr>
            <w:r>
              <w:rPr>
                <w:rFonts w:hint="eastAsia" w:ascii="宋体" w:hAnsi="宋体" w:cs="宋体"/>
                <w:sz w:val="24"/>
              </w:rPr>
              <w:t>27.1</w:t>
            </w:r>
          </w:p>
        </w:tc>
        <w:tc>
          <w:tcPr>
            <w:tcW w:w="7597" w:type="dxa"/>
            <w:vAlign w:val="center"/>
          </w:tcPr>
          <w:p>
            <w:pPr>
              <w:spacing w:line="440" w:lineRule="exact"/>
              <w:jc w:val="left"/>
              <w:rPr>
                <w:rFonts w:ascii="宋体" w:hAnsi="宋体" w:cs="宋体"/>
                <w:sz w:val="24"/>
              </w:rPr>
            </w:pPr>
            <w:r>
              <w:rPr>
                <w:rFonts w:hint="eastAsia" w:ascii="宋体" w:hAnsi="宋体" w:cs="宋体"/>
                <w:sz w:val="24"/>
              </w:rPr>
              <w:t>采购代理服务费标准：代理服务费按桂价费字〔2011〕55号文件“工程类”标准计取，由成交人在领取通知书时向采购代理机构一次性支付[成交价低于100万按成交金额的百分之一（1%）计费，100万以上的代理服务费按差额定率累进法计算计费]</w:t>
            </w:r>
            <w:r>
              <w:rPr>
                <w:rFonts w:hint="eastAsia" w:ascii="宋体" w:hAnsi="宋体" w:cs="宋体"/>
                <w:sz w:val="24"/>
                <w:lang w:val="zh-CN"/>
              </w:rPr>
              <w:t>。</w:t>
            </w:r>
            <w:r>
              <w:rPr>
                <w:rFonts w:hint="eastAsia" w:ascii="宋体" w:hAnsi="宋体" w:cs="宋体"/>
                <w:kern w:val="0"/>
                <w:sz w:val="24"/>
              </w:rPr>
              <w:t>具体标准如下：</w:t>
            </w:r>
          </w:p>
          <w:tbl>
            <w:tblPr>
              <w:tblStyle w:val="44"/>
              <w:tblW w:w="5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416"/>
              <w:gridCol w:w="129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l2br w:val="single" w:color="auto" w:sz="4" w:space="0"/>
                  </w:tcBorders>
                </w:tcPr>
                <w:p>
                  <w:pPr>
                    <w:spacing w:line="400" w:lineRule="exact"/>
                    <w:rPr>
                      <w:rFonts w:ascii="宋体" w:hAnsi="宋体" w:cs="宋体"/>
                      <w:sz w:val="24"/>
                    </w:rPr>
                  </w:pPr>
                  <w:r>
                    <w:rPr>
                      <w:rFonts w:hint="eastAsia" w:ascii="宋体" w:hAnsi="宋体" w:cs="宋体"/>
                      <w:sz w:val="24"/>
                    </w:rPr>
                    <w:t>中标金额 费率</w:t>
                  </w:r>
                </w:p>
              </w:tc>
              <w:tc>
                <w:tcPr>
                  <w:tcW w:w="1416" w:type="dxa"/>
                  <w:vAlign w:val="center"/>
                </w:tcPr>
                <w:p>
                  <w:pPr>
                    <w:spacing w:line="400" w:lineRule="exact"/>
                    <w:ind w:firstLine="120" w:firstLineChars="50"/>
                    <w:jc w:val="center"/>
                    <w:rPr>
                      <w:rFonts w:ascii="宋体" w:hAnsi="宋体" w:cs="宋体"/>
                      <w:sz w:val="24"/>
                    </w:rPr>
                  </w:pPr>
                  <w:r>
                    <w:rPr>
                      <w:rFonts w:hint="eastAsia" w:ascii="宋体" w:hAnsi="宋体" w:cs="宋体"/>
                      <w:sz w:val="24"/>
                    </w:rPr>
                    <w:t>货物招标</w:t>
                  </w:r>
                </w:p>
              </w:tc>
              <w:tc>
                <w:tcPr>
                  <w:tcW w:w="1296" w:type="dxa"/>
                  <w:vAlign w:val="center"/>
                </w:tcPr>
                <w:p>
                  <w:pPr>
                    <w:spacing w:line="400" w:lineRule="exact"/>
                    <w:jc w:val="center"/>
                    <w:rPr>
                      <w:rFonts w:ascii="宋体" w:hAnsi="宋体" w:cs="宋体"/>
                      <w:sz w:val="24"/>
                    </w:rPr>
                  </w:pPr>
                  <w:r>
                    <w:rPr>
                      <w:rFonts w:hint="eastAsia" w:ascii="宋体" w:hAnsi="宋体" w:cs="宋体"/>
                      <w:sz w:val="24"/>
                    </w:rPr>
                    <w:t>服务招标</w:t>
                  </w:r>
                </w:p>
              </w:tc>
              <w:tc>
                <w:tcPr>
                  <w:tcW w:w="1284" w:type="dxa"/>
                  <w:vAlign w:val="center"/>
                </w:tcPr>
                <w:p>
                  <w:pPr>
                    <w:spacing w:line="400" w:lineRule="exact"/>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400" w:lineRule="exact"/>
                    <w:rPr>
                      <w:rFonts w:ascii="宋体" w:hAnsi="宋体" w:cs="宋体"/>
                      <w:sz w:val="24"/>
                    </w:rPr>
                  </w:pPr>
                  <w:r>
                    <w:rPr>
                      <w:rFonts w:hint="eastAsia" w:ascii="宋体" w:hAnsi="宋体" w:cs="宋体"/>
                      <w:sz w:val="24"/>
                    </w:rPr>
                    <w:t>100万元以下</w:t>
                  </w:r>
                </w:p>
              </w:tc>
              <w:tc>
                <w:tcPr>
                  <w:tcW w:w="1416" w:type="dxa"/>
                </w:tcPr>
                <w:p>
                  <w:pPr>
                    <w:spacing w:line="400" w:lineRule="exact"/>
                    <w:jc w:val="center"/>
                    <w:rPr>
                      <w:rFonts w:ascii="宋体" w:hAnsi="宋体" w:cs="宋体"/>
                      <w:sz w:val="24"/>
                    </w:rPr>
                  </w:pPr>
                  <w:r>
                    <w:rPr>
                      <w:rFonts w:hint="eastAsia" w:ascii="宋体" w:hAnsi="宋体" w:cs="宋体"/>
                      <w:kern w:val="0"/>
                      <w:sz w:val="24"/>
                    </w:rPr>
                    <w:t>1.5%</w:t>
                  </w:r>
                </w:p>
              </w:tc>
              <w:tc>
                <w:tcPr>
                  <w:tcW w:w="1296" w:type="dxa"/>
                </w:tcPr>
                <w:p>
                  <w:pPr>
                    <w:spacing w:line="400" w:lineRule="exact"/>
                    <w:jc w:val="center"/>
                    <w:rPr>
                      <w:rFonts w:ascii="宋体" w:hAnsi="宋体" w:cs="宋体"/>
                      <w:sz w:val="24"/>
                    </w:rPr>
                  </w:pPr>
                  <w:r>
                    <w:rPr>
                      <w:rFonts w:hint="eastAsia" w:ascii="宋体" w:hAnsi="宋体" w:cs="宋体"/>
                      <w:kern w:val="0"/>
                      <w:sz w:val="24"/>
                    </w:rPr>
                    <w:t>1.5%</w:t>
                  </w:r>
                </w:p>
              </w:tc>
              <w:tc>
                <w:tcPr>
                  <w:tcW w:w="1284" w:type="dxa"/>
                </w:tcPr>
                <w:p>
                  <w:pPr>
                    <w:spacing w:line="400" w:lineRule="exact"/>
                    <w:ind w:firstLine="240" w:firstLineChars="100"/>
                    <w:jc w:val="center"/>
                    <w:rPr>
                      <w:rFonts w:ascii="宋体" w:hAnsi="宋体" w:cs="宋体"/>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400" w:lineRule="exact"/>
                    <w:rPr>
                      <w:rFonts w:ascii="宋体" w:hAnsi="宋体" w:cs="宋体"/>
                      <w:sz w:val="24"/>
                    </w:rPr>
                  </w:pPr>
                  <w:r>
                    <w:rPr>
                      <w:rFonts w:hint="eastAsia" w:ascii="宋体" w:hAnsi="宋体" w:cs="宋体"/>
                      <w:sz w:val="24"/>
                    </w:rPr>
                    <w:t>100～500万元</w:t>
                  </w:r>
                </w:p>
              </w:tc>
              <w:tc>
                <w:tcPr>
                  <w:tcW w:w="1416" w:type="dxa"/>
                </w:tcPr>
                <w:p>
                  <w:pPr>
                    <w:spacing w:line="400" w:lineRule="exact"/>
                    <w:jc w:val="center"/>
                    <w:rPr>
                      <w:rFonts w:ascii="宋体" w:hAnsi="宋体" w:cs="宋体"/>
                      <w:sz w:val="24"/>
                    </w:rPr>
                  </w:pPr>
                  <w:r>
                    <w:rPr>
                      <w:rFonts w:hint="eastAsia" w:ascii="宋体" w:hAnsi="宋体" w:cs="宋体"/>
                      <w:kern w:val="0"/>
                      <w:sz w:val="24"/>
                    </w:rPr>
                    <w:t>1.1%</w:t>
                  </w:r>
                </w:p>
              </w:tc>
              <w:tc>
                <w:tcPr>
                  <w:tcW w:w="1296" w:type="dxa"/>
                </w:tcPr>
                <w:p>
                  <w:pPr>
                    <w:spacing w:line="400" w:lineRule="exact"/>
                    <w:jc w:val="center"/>
                    <w:rPr>
                      <w:rFonts w:ascii="宋体" w:hAnsi="宋体" w:cs="宋体"/>
                      <w:sz w:val="24"/>
                    </w:rPr>
                  </w:pPr>
                  <w:r>
                    <w:rPr>
                      <w:rFonts w:hint="eastAsia" w:ascii="宋体" w:hAnsi="宋体" w:cs="宋体"/>
                      <w:kern w:val="0"/>
                      <w:sz w:val="24"/>
                    </w:rPr>
                    <w:t>0.8%</w:t>
                  </w:r>
                </w:p>
              </w:tc>
              <w:tc>
                <w:tcPr>
                  <w:tcW w:w="1284" w:type="dxa"/>
                </w:tcPr>
                <w:p>
                  <w:pPr>
                    <w:spacing w:line="400" w:lineRule="exact"/>
                    <w:ind w:firstLine="240" w:firstLineChars="100"/>
                    <w:jc w:val="center"/>
                    <w:rPr>
                      <w:rFonts w:ascii="宋体" w:hAnsi="宋体" w:cs="宋体"/>
                      <w:sz w:val="24"/>
                    </w:rPr>
                  </w:pPr>
                  <w:r>
                    <w:rPr>
                      <w:rFonts w:hint="eastAsia" w:ascii="宋体" w:hAnsi="宋体" w:cs="宋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400" w:lineRule="exact"/>
                    <w:rPr>
                      <w:rFonts w:ascii="宋体" w:hAnsi="宋体" w:cs="宋体"/>
                      <w:sz w:val="24"/>
                    </w:rPr>
                  </w:pPr>
                  <w:r>
                    <w:rPr>
                      <w:rFonts w:hint="eastAsia" w:ascii="宋体" w:hAnsi="宋体" w:cs="宋体"/>
                      <w:sz w:val="24"/>
                    </w:rPr>
                    <w:t>500～1000万元</w:t>
                  </w:r>
                </w:p>
              </w:tc>
              <w:tc>
                <w:tcPr>
                  <w:tcW w:w="1416" w:type="dxa"/>
                </w:tcPr>
                <w:p>
                  <w:pPr>
                    <w:spacing w:line="400" w:lineRule="exact"/>
                    <w:jc w:val="center"/>
                    <w:rPr>
                      <w:rFonts w:ascii="宋体" w:hAnsi="宋体" w:cs="宋体"/>
                      <w:sz w:val="24"/>
                    </w:rPr>
                  </w:pPr>
                  <w:r>
                    <w:rPr>
                      <w:rFonts w:hint="eastAsia" w:ascii="宋体" w:hAnsi="宋体" w:cs="宋体"/>
                      <w:kern w:val="0"/>
                      <w:sz w:val="24"/>
                    </w:rPr>
                    <w:t>0.8%</w:t>
                  </w:r>
                </w:p>
              </w:tc>
              <w:tc>
                <w:tcPr>
                  <w:tcW w:w="1296" w:type="dxa"/>
                </w:tcPr>
                <w:p>
                  <w:pPr>
                    <w:spacing w:line="400" w:lineRule="exact"/>
                    <w:jc w:val="center"/>
                    <w:rPr>
                      <w:rFonts w:ascii="宋体" w:hAnsi="宋体" w:cs="宋体"/>
                      <w:sz w:val="24"/>
                    </w:rPr>
                  </w:pPr>
                  <w:r>
                    <w:rPr>
                      <w:rFonts w:hint="eastAsia" w:ascii="宋体" w:hAnsi="宋体" w:cs="宋体"/>
                      <w:kern w:val="0"/>
                      <w:sz w:val="24"/>
                    </w:rPr>
                    <w:t>0.45%</w:t>
                  </w:r>
                </w:p>
              </w:tc>
              <w:tc>
                <w:tcPr>
                  <w:tcW w:w="1284" w:type="dxa"/>
                </w:tcPr>
                <w:p>
                  <w:pPr>
                    <w:spacing w:line="400" w:lineRule="exact"/>
                    <w:ind w:firstLine="240" w:firstLineChars="100"/>
                    <w:jc w:val="center"/>
                    <w:rPr>
                      <w:rFonts w:ascii="宋体" w:hAnsi="宋体" w:cs="宋体"/>
                      <w:sz w:val="24"/>
                    </w:rPr>
                  </w:pPr>
                  <w:r>
                    <w:rPr>
                      <w:rFonts w:hint="eastAsia" w:ascii="宋体" w:hAnsi="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400" w:lineRule="exact"/>
                    <w:rPr>
                      <w:rFonts w:ascii="宋体" w:hAnsi="宋体" w:cs="宋体"/>
                      <w:sz w:val="24"/>
                    </w:rPr>
                  </w:pPr>
                  <w:r>
                    <w:rPr>
                      <w:rFonts w:hint="eastAsia" w:ascii="宋体" w:hAnsi="宋体" w:cs="宋体"/>
                      <w:sz w:val="24"/>
                    </w:rPr>
                    <w:t>1000～5000万元</w:t>
                  </w:r>
                </w:p>
              </w:tc>
              <w:tc>
                <w:tcPr>
                  <w:tcW w:w="1416" w:type="dxa"/>
                </w:tcPr>
                <w:p>
                  <w:pPr>
                    <w:spacing w:line="400" w:lineRule="exact"/>
                    <w:jc w:val="center"/>
                    <w:rPr>
                      <w:rFonts w:ascii="宋体" w:hAnsi="宋体" w:cs="宋体"/>
                      <w:sz w:val="24"/>
                    </w:rPr>
                  </w:pPr>
                  <w:r>
                    <w:rPr>
                      <w:rFonts w:hint="eastAsia" w:ascii="宋体" w:hAnsi="宋体" w:cs="宋体"/>
                      <w:kern w:val="0"/>
                      <w:sz w:val="24"/>
                    </w:rPr>
                    <w:t>0.5%</w:t>
                  </w:r>
                </w:p>
              </w:tc>
              <w:tc>
                <w:tcPr>
                  <w:tcW w:w="1296" w:type="dxa"/>
                </w:tcPr>
                <w:p>
                  <w:pPr>
                    <w:spacing w:line="400" w:lineRule="exact"/>
                    <w:jc w:val="center"/>
                    <w:rPr>
                      <w:rFonts w:ascii="宋体" w:hAnsi="宋体" w:cs="宋体"/>
                      <w:sz w:val="24"/>
                    </w:rPr>
                  </w:pPr>
                  <w:r>
                    <w:rPr>
                      <w:rFonts w:hint="eastAsia" w:ascii="宋体" w:hAnsi="宋体" w:cs="宋体"/>
                      <w:kern w:val="0"/>
                      <w:sz w:val="24"/>
                    </w:rPr>
                    <w:t>0.25%</w:t>
                  </w:r>
                </w:p>
              </w:tc>
              <w:tc>
                <w:tcPr>
                  <w:tcW w:w="1284" w:type="dxa"/>
                </w:tcPr>
                <w:p>
                  <w:pPr>
                    <w:spacing w:line="400" w:lineRule="exact"/>
                    <w:ind w:firstLine="240" w:firstLineChars="100"/>
                    <w:jc w:val="center"/>
                    <w:rPr>
                      <w:rFonts w:ascii="宋体" w:hAnsi="宋体" w:cs="宋体"/>
                      <w:sz w:val="24"/>
                    </w:rPr>
                  </w:pPr>
                  <w:r>
                    <w:rPr>
                      <w:rFonts w:hint="eastAsia" w:ascii="宋体" w:hAnsi="宋体" w:cs="宋体"/>
                      <w:kern w:val="0"/>
                      <w:sz w:val="24"/>
                    </w:rPr>
                    <w:t>0.35%</w:t>
                  </w:r>
                </w:p>
              </w:tc>
            </w:tr>
          </w:tbl>
          <w:p>
            <w:pPr>
              <w:spacing w:line="40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16</w:t>
            </w:r>
          </w:p>
        </w:tc>
        <w:tc>
          <w:tcPr>
            <w:tcW w:w="1033" w:type="dxa"/>
            <w:vAlign w:val="center"/>
          </w:tcPr>
          <w:p>
            <w:pPr>
              <w:spacing w:line="400" w:lineRule="exact"/>
              <w:jc w:val="center"/>
              <w:rPr>
                <w:rFonts w:ascii="宋体" w:hAnsi="宋体" w:cs="宋体"/>
                <w:sz w:val="24"/>
              </w:rPr>
            </w:pPr>
            <w:r>
              <w:rPr>
                <w:rFonts w:hint="eastAsia" w:ascii="宋体" w:hAnsi="宋体" w:cs="宋体"/>
                <w:sz w:val="24"/>
              </w:rPr>
              <w:t>29.2</w:t>
            </w:r>
          </w:p>
        </w:tc>
        <w:tc>
          <w:tcPr>
            <w:tcW w:w="7597" w:type="dxa"/>
            <w:vAlign w:val="center"/>
          </w:tcPr>
          <w:p>
            <w:pPr>
              <w:snapToGrid w:val="0"/>
              <w:spacing w:line="400" w:lineRule="exact"/>
              <w:rPr>
                <w:rFonts w:ascii="宋体" w:hAnsi="宋体" w:cs="宋体"/>
                <w:sz w:val="24"/>
              </w:rPr>
            </w:pPr>
            <w:r>
              <w:rPr>
                <w:rFonts w:hint="eastAsia" w:ascii="宋体" w:hAnsi="宋体" w:cs="宋体"/>
                <w:sz w:val="24"/>
              </w:rPr>
              <w:t>接收质疑函方式：以书面形式。</w:t>
            </w:r>
          </w:p>
          <w:p>
            <w:pPr>
              <w:pStyle w:val="23"/>
              <w:snapToGrid w:val="0"/>
              <w:spacing w:line="400" w:lineRule="exact"/>
              <w:rPr>
                <w:rFonts w:hAnsi="宋体" w:cs="宋体"/>
                <w:sz w:val="24"/>
              </w:rPr>
            </w:pPr>
            <w:r>
              <w:rPr>
                <w:rFonts w:hint="eastAsia" w:hAnsi="宋体" w:cs="宋体"/>
                <w:sz w:val="24"/>
              </w:rPr>
              <w:t>质疑联系部门及联系方式：广西元强建设项目管理有限公司，通讯地址：广西百色市龙景区新环球投资大厦左塔1926号。</w:t>
            </w:r>
          </w:p>
          <w:p>
            <w:pPr>
              <w:spacing w:line="400" w:lineRule="exact"/>
              <w:rPr>
                <w:rFonts w:ascii="宋体" w:hAnsi="宋体" w:cs="宋体"/>
                <w:bCs/>
                <w:sz w:val="24"/>
              </w:rPr>
            </w:pPr>
            <w:r>
              <w:rPr>
                <w:rFonts w:hint="eastAsia" w:ascii="宋体" w:hAnsi="宋体" w:cs="宋体"/>
                <w:sz w:val="24"/>
              </w:rPr>
              <w:t>业务时间：每天上午8时00分到12时00分，下午3时00分到6时00分，双休日和法定节假日不办理业务。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17</w:t>
            </w:r>
          </w:p>
        </w:tc>
        <w:tc>
          <w:tcPr>
            <w:tcW w:w="1033" w:type="dxa"/>
            <w:vAlign w:val="center"/>
          </w:tcPr>
          <w:p>
            <w:pPr>
              <w:spacing w:line="400" w:lineRule="exact"/>
              <w:jc w:val="center"/>
              <w:rPr>
                <w:rFonts w:ascii="宋体" w:hAnsi="宋体" w:cs="宋体"/>
                <w:sz w:val="24"/>
              </w:rPr>
            </w:pPr>
          </w:p>
        </w:tc>
        <w:tc>
          <w:tcPr>
            <w:tcW w:w="7597" w:type="dxa"/>
            <w:vAlign w:val="center"/>
          </w:tcPr>
          <w:p>
            <w:pPr>
              <w:autoSpaceDE w:val="0"/>
              <w:autoSpaceDN w:val="0"/>
              <w:snapToGrid w:val="0"/>
              <w:spacing w:line="400" w:lineRule="exact"/>
              <w:jc w:val="left"/>
              <w:textAlignment w:val="bottom"/>
              <w:rPr>
                <w:rFonts w:ascii="宋体" w:hAnsi="宋体" w:cs="宋体"/>
                <w:sz w:val="24"/>
              </w:rPr>
            </w:pPr>
            <w:r>
              <w:rPr>
                <w:rFonts w:hint="eastAsia" w:ascii="宋体" w:hAnsi="宋体" w:cs="宋体"/>
                <w:sz w:val="24"/>
              </w:rPr>
              <w:t>信用查询：根据《关于做好政府采购有关信用主体标识码登记及在政府采购活动中查询使用信用记录有关问题的通知》（桂财采〔2016〕37），由采购代理机构对第一成交候选人进行信用查询：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00" w:lineRule="exact"/>
              <w:jc w:val="left"/>
              <w:textAlignment w:val="bottom"/>
              <w:rPr>
                <w:rFonts w:ascii="宋体" w:hAnsi="宋体" w:cs="宋体"/>
                <w:sz w:val="24"/>
              </w:rPr>
            </w:pPr>
            <w:r>
              <w:rPr>
                <w:rFonts w:hint="eastAsia" w:ascii="宋体" w:hAnsi="宋体" w:cs="宋体"/>
                <w:sz w:val="24"/>
              </w:rPr>
              <w:t>（1）查询渠道：“信用中国”网站(www.creditchina.gov.cn)、中国政府采购网(www.ccgp.gov.cn)等；</w:t>
            </w:r>
          </w:p>
          <w:p>
            <w:pPr>
              <w:autoSpaceDE w:val="0"/>
              <w:autoSpaceDN w:val="0"/>
              <w:snapToGrid w:val="0"/>
              <w:spacing w:line="400" w:lineRule="exact"/>
              <w:jc w:val="left"/>
              <w:textAlignment w:val="bottom"/>
              <w:rPr>
                <w:rFonts w:ascii="宋体" w:hAnsi="宋体" w:cs="宋体"/>
                <w:sz w:val="24"/>
              </w:rPr>
            </w:pPr>
            <w:r>
              <w:rPr>
                <w:rFonts w:hint="eastAsia" w:ascii="宋体" w:hAnsi="宋体" w:cs="宋体"/>
                <w:sz w:val="24"/>
              </w:rPr>
              <w:t>（2）查询截止时点：成交通知书发出前；</w:t>
            </w:r>
          </w:p>
          <w:p>
            <w:pPr>
              <w:autoSpaceDE w:val="0"/>
              <w:autoSpaceDN w:val="0"/>
              <w:snapToGrid w:val="0"/>
              <w:spacing w:line="400" w:lineRule="exact"/>
              <w:jc w:val="left"/>
              <w:textAlignment w:val="bottom"/>
              <w:rPr>
                <w:rFonts w:ascii="宋体" w:hAnsi="宋体" w:cs="宋体"/>
                <w:sz w:val="24"/>
              </w:rPr>
            </w:pPr>
            <w:r>
              <w:rPr>
                <w:rFonts w:hint="eastAsia" w:ascii="宋体" w:hAnsi="宋体" w:cs="宋体"/>
                <w:sz w:val="24"/>
              </w:rPr>
              <w:t>（3）信用信息查询记录和证据留存方式：在查询网站中直接打印查询记录，打印材料作为采购活动资料保存。</w:t>
            </w:r>
          </w:p>
          <w:p>
            <w:pPr>
              <w:spacing w:line="400" w:lineRule="exact"/>
              <w:jc w:val="left"/>
              <w:rPr>
                <w:rFonts w:ascii="宋体" w:hAnsi="宋体" w:cs="宋体"/>
                <w:bCs/>
                <w:sz w:val="24"/>
              </w:rPr>
            </w:pPr>
            <w:r>
              <w:rPr>
                <w:rFonts w:hint="eastAsia" w:ascii="宋体" w:hAnsi="宋体" w:cs="宋体"/>
                <w:sz w:val="24"/>
              </w:rPr>
              <w:t>（4）信用信息使用规则：对在“信用中国”网站（</w:t>
            </w:r>
            <w:r>
              <w:fldChar w:fldCharType="begin"/>
            </w:r>
            <w:r>
              <w:instrText xml:space="preserve"> HYPERLINK "http://www.creditchina.gov.cn" </w:instrText>
            </w:r>
            <w:r>
              <w:fldChar w:fldCharType="separate"/>
            </w:r>
            <w:r>
              <w:rPr>
                <w:rStyle w:val="54"/>
                <w:rFonts w:hint="eastAsia" w:ascii="宋体" w:hAnsi="宋体" w:cs="宋体"/>
                <w:color w:val="auto"/>
                <w:sz w:val="24"/>
              </w:rPr>
              <w:t>www.creditchina.gov.cn</w:t>
            </w:r>
            <w:r>
              <w:rPr>
                <w:rStyle w:val="54"/>
                <w:rFonts w:hint="eastAsia" w:ascii="宋体" w:hAnsi="宋体" w:cs="宋体"/>
                <w:color w:val="auto"/>
                <w:sz w:val="24"/>
              </w:rPr>
              <w:fldChar w:fldCharType="end"/>
            </w:r>
            <w:r>
              <w:rPr>
                <w:rFonts w:hint="eastAsia" w:ascii="宋体" w:hAnsi="宋体" w:cs="宋体"/>
                <w:sz w:val="24"/>
              </w:rPr>
              <w:t>）、中国政府采购网（</w:t>
            </w:r>
            <w:r>
              <w:fldChar w:fldCharType="begin"/>
            </w:r>
            <w:r>
              <w:instrText xml:space="preserve"> HYPERLINK "http://www.ccgp.gov.cn" </w:instrText>
            </w:r>
            <w:r>
              <w:fldChar w:fldCharType="separate"/>
            </w:r>
            <w:r>
              <w:rPr>
                <w:rStyle w:val="54"/>
                <w:rFonts w:hint="eastAsia" w:ascii="宋体" w:hAnsi="宋体" w:cs="宋体"/>
                <w:color w:val="auto"/>
                <w:sz w:val="24"/>
              </w:rPr>
              <w:t>www.ccgp.gov.cn</w:t>
            </w:r>
            <w:r>
              <w:rPr>
                <w:rStyle w:val="54"/>
                <w:rFonts w:hint="eastAsia" w:ascii="宋体" w:hAnsi="宋体" w:cs="宋体"/>
                <w:color w:val="auto"/>
                <w:sz w:val="24"/>
              </w:rPr>
              <w:fldChar w:fldCharType="end"/>
            </w:r>
            <w:r>
              <w:rPr>
                <w:rFonts w:hint="eastAsia" w:ascii="宋体" w:hAnsi="宋体" w:cs="宋体"/>
                <w:sz w:val="24"/>
              </w:rPr>
              <w:t>）等渠道列入失信被执行人、重大税收违法案件当事人名单、政府采购严重违法失信行为记录名单及其他不符合《中华人民共和国政府采购法》第二十二条规定条件的供应商，取消其成交候选人资格。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18</w:t>
            </w:r>
          </w:p>
        </w:tc>
        <w:tc>
          <w:tcPr>
            <w:tcW w:w="1033" w:type="dxa"/>
            <w:vAlign w:val="center"/>
          </w:tcPr>
          <w:p>
            <w:pPr>
              <w:spacing w:line="400" w:lineRule="exact"/>
              <w:jc w:val="center"/>
              <w:rPr>
                <w:rFonts w:ascii="宋体" w:hAnsi="宋体" w:cs="宋体"/>
                <w:sz w:val="24"/>
              </w:rPr>
            </w:pPr>
          </w:p>
        </w:tc>
        <w:tc>
          <w:tcPr>
            <w:tcW w:w="7597" w:type="dxa"/>
            <w:vAlign w:val="center"/>
          </w:tcPr>
          <w:p>
            <w:pPr>
              <w:pStyle w:val="188"/>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pStyle w:val="23"/>
              <w:snapToGrid w:val="0"/>
              <w:spacing w:line="400" w:lineRule="exact"/>
              <w:rPr>
                <w:rFonts w:hAnsi="宋体" w:cs="宋体"/>
                <w:sz w:val="24"/>
              </w:rPr>
            </w:pPr>
            <w:r>
              <w:rPr>
                <w:rFonts w:hint="eastAsia" w:ascii="宋体" w:hAnsi="宋体" w:eastAsia="宋体" w:cs="宋体"/>
                <w:kern w:val="2"/>
                <w:sz w:val="24"/>
                <w:szCs w:val="24"/>
                <w:lang w:val="en-US" w:eastAsia="zh-CN" w:bidi="ar-SA"/>
              </w:rPr>
              <w:t>2、本文件中描述供应商的“签字”是指供应商的法定代表人或被授权人亲自在文件规定签署处亲笔写上个人的名字的行为，私章、签字章、电子签名、印鉴、影印等其它形式均不能代替亲笔签字。</w:t>
            </w:r>
          </w:p>
        </w:tc>
      </w:tr>
    </w:tbl>
    <w:p>
      <w:pPr>
        <w:pStyle w:val="3"/>
        <w:rPr>
          <w:rFonts w:ascii="宋体" w:hAnsi="宋体" w:eastAsia="宋体" w:cs="宋体"/>
        </w:rPr>
      </w:pPr>
      <w:r>
        <w:rPr>
          <w:rFonts w:hint="eastAsia" w:ascii="宋体" w:hAnsi="宋体" w:eastAsia="宋体" w:cs="宋体"/>
        </w:rPr>
        <w:br w:type="page"/>
      </w:r>
      <w:bookmarkStart w:id="3" w:name="_Toc14395"/>
      <w:r>
        <w:rPr>
          <w:rFonts w:hint="eastAsia" w:ascii="宋体" w:hAnsi="宋体" w:eastAsia="宋体" w:cs="宋体"/>
        </w:rPr>
        <w:t>一、总则</w:t>
      </w:r>
      <w:bookmarkEnd w:id="3"/>
    </w:p>
    <w:p>
      <w:pPr>
        <w:spacing w:line="360" w:lineRule="exact"/>
        <w:rPr>
          <w:rFonts w:ascii="宋体" w:hAnsi="宋体" w:cs="宋体"/>
          <w:b/>
          <w:bCs/>
          <w:spacing w:val="2"/>
          <w:sz w:val="24"/>
        </w:rPr>
      </w:pPr>
      <w:r>
        <w:rPr>
          <w:rFonts w:hint="eastAsia" w:ascii="宋体" w:hAnsi="宋体" w:cs="宋体"/>
          <w:b/>
          <w:bCs/>
          <w:spacing w:val="2"/>
          <w:sz w:val="24"/>
        </w:rPr>
        <w:t>l. 项</w:t>
      </w:r>
      <w:r>
        <w:rPr>
          <w:rFonts w:hint="eastAsia" w:ascii="宋体" w:hAnsi="宋体" w:cs="宋体"/>
          <w:b/>
          <w:bCs/>
          <w:sz w:val="24"/>
        </w:rPr>
        <w:t>目综合</w:t>
      </w:r>
      <w:r>
        <w:rPr>
          <w:rFonts w:hint="eastAsia" w:ascii="宋体" w:hAnsi="宋体" w:cs="宋体"/>
          <w:b/>
          <w:bCs/>
          <w:spacing w:val="2"/>
          <w:sz w:val="24"/>
        </w:rPr>
        <w:t>说明</w:t>
      </w:r>
    </w:p>
    <w:p>
      <w:pPr>
        <w:spacing w:line="360" w:lineRule="exact"/>
        <w:ind w:firstLine="488" w:firstLineChars="200"/>
        <w:rPr>
          <w:rFonts w:ascii="宋体" w:hAnsi="宋体" w:cs="宋体"/>
          <w:spacing w:val="2"/>
          <w:sz w:val="24"/>
        </w:rPr>
      </w:pPr>
      <w:r>
        <w:rPr>
          <w:rFonts w:hint="eastAsia" w:ascii="宋体" w:hAnsi="宋体" w:cs="宋体"/>
          <w:spacing w:val="2"/>
          <w:sz w:val="24"/>
        </w:rPr>
        <w:t xml:space="preserve">1.1 </w:t>
      </w:r>
      <w:r>
        <w:rPr>
          <w:rFonts w:hint="eastAsia" w:ascii="宋体" w:hAnsi="宋体" w:cs="宋体"/>
          <w:sz w:val="24"/>
        </w:rPr>
        <w:t>项目</w:t>
      </w:r>
      <w:r>
        <w:rPr>
          <w:rFonts w:hint="eastAsia" w:ascii="宋体" w:hAnsi="宋体" w:cs="宋体"/>
          <w:spacing w:val="2"/>
          <w:sz w:val="24"/>
        </w:rPr>
        <w:t>的说明（详见</w:t>
      </w:r>
      <w:r>
        <w:rPr>
          <w:rFonts w:hint="eastAsia" w:ascii="宋体" w:hAnsi="宋体" w:cs="宋体"/>
          <w:sz w:val="24"/>
        </w:rPr>
        <w:t>供应商</w:t>
      </w:r>
      <w:r>
        <w:rPr>
          <w:rFonts w:hint="eastAsia" w:ascii="宋体" w:hAnsi="宋体" w:cs="宋体"/>
          <w:spacing w:val="2"/>
          <w:sz w:val="24"/>
        </w:rPr>
        <w:t>须知前附表）</w:t>
      </w:r>
    </w:p>
    <w:p>
      <w:pPr>
        <w:spacing w:line="360" w:lineRule="exact"/>
        <w:rPr>
          <w:rFonts w:ascii="宋体" w:hAnsi="宋体" w:cs="宋体"/>
          <w:b/>
          <w:bCs/>
          <w:spacing w:val="2"/>
          <w:sz w:val="24"/>
        </w:rPr>
      </w:pPr>
      <w:r>
        <w:rPr>
          <w:rFonts w:hint="eastAsia" w:ascii="宋体" w:hAnsi="宋体" w:cs="宋体"/>
          <w:b/>
          <w:bCs/>
          <w:spacing w:val="2"/>
          <w:sz w:val="24"/>
        </w:rPr>
        <w:t>2. 资金来源及落实情况</w:t>
      </w:r>
    </w:p>
    <w:p>
      <w:pPr>
        <w:spacing w:line="360" w:lineRule="exact"/>
        <w:ind w:firstLine="475" w:firstLineChars="195"/>
        <w:rPr>
          <w:rFonts w:ascii="宋体" w:hAnsi="宋体" w:cs="宋体"/>
          <w:spacing w:val="2"/>
          <w:sz w:val="24"/>
        </w:rPr>
      </w:pPr>
      <w:r>
        <w:rPr>
          <w:rFonts w:hint="eastAsia" w:ascii="宋体" w:hAnsi="宋体" w:cs="宋体"/>
          <w:spacing w:val="2"/>
          <w:sz w:val="24"/>
        </w:rPr>
        <w:t>2.1 本</w:t>
      </w:r>
      <w:r>
        <w:rPr>
          <w:rFonts w:hint="eastAsia" w:ascii="宋体" w:hAnsi="宋体" w:cs="宋体"/>
          <w:sz w:val="24"/>
        </w:rPr>
        <w:t>项目</w:t>
      </w:r>
      <w:r>
        <w:rPr>
          <w:rFonts w:hint="eastAsia" w:ascii="宋体" w:hAnsi="宋体" w:cs="宋体"/>
          <w:spacing w:val="2"/>
          <w:sz w:val="24"/>
        </w:rPr>
        <w:t>的资金来源为</w:t>
      </w:r>
      <w:r>
        <w:rPr>
          <w:rFonts w:hint="eastAsia" w:ascii="宋体" w:hAnsi="宋体" w:cs="宋体"/>
          <w:spacing w:val="2"/>
          <w:sz w:val="24"/>
          <w:lang w:eastAsia="zh-CN"/>
        </w:rPr>
        <w:t>财政</w:t>
      </w:r>
      <w:r>
        <w:rPr>
          <w:rFonts w:hint="eastAsia" w:ascii="宋体" w:hAnsi="宋体" w:cs="宋体"/>
          <w:spacing w:val="2"/>
          <w:sz w:val="24"/>
        </w:rPr>
        <w:t>资金，资金已落实，并将资金用于本</w:t>
      </w:r>
      <w:r>
        <w:rPr>
          <w:rFonts w:hint="eastAsia" w:ascii="宋体" w:hAnsi="宋体" w:cs="宋体"/>
          <w:sz w:val="24"/>
        </w:rPr>
        <w:t>项目</w:t>
      </w:r>
      <w:r>
        <w:rPr>
          <w:rFonts w:hint="eastAsia" w:ascii="宋体" w:hAnsi="宋体" w:cs="宋体"/>
          <w:spacing w:val="2"/>
          <w:sz w:val="24"/>
        </w:rPr>
        <w:t>合同项下的合格支付。</w:t>
      </w:r>
    </w:p>
    <w:p>
      <w:pPr>
        <w:spacing w:line="360" w:lineRule="exact"/>
        <w:rPr>
          <w:rFonts w:ascii="宋体" w:hAnsi="宋体" w:cs="宋体"/>
          <w:b/>
          <w:bCs/>
          <w:spacing w:val="2"/>
          <w:sz w:val="24"/>
        </w:rPr>
      </w:pPr>
      <w:r>
        <w:rPr>
          <w:rFonts w:hint="eastAsia" w:ascii="宋体" w:hAnsi="宋体" w:cs="宋体"/>
          <w:b/>
          <w:bCs/>
          <w:spacing w:val="2"/>
          <w:sz w:val="24"/>
        </w:rPr>
        <w:t>3. 供应商资质与合格条件的要求</w:t>
      </w:r>
    </w:p>
    <w:p>
      <w:pPr>
        <w:spacing w:line="360" w:lineRule="exact"/>
        <w:ind w:firstLine="482"/>
        <w:rPr>
          <w:rFonts w:ascii="宋体" w:hAnsi="宋体" w:cs="宋体"/>
          <w:sz w:val="24"/>
        </w:rPr>
      </w:pPr>
      <w:r>
        <w:rPr>
          <w:rFonts w:hint="eastAsia" w:ascii="宋体" w:hAnsi="宋体" w:cs="宋体"/>
          <w:sz w:val="24"/>
        </w:rPr>
        <w:t>3.1.满足《中华人民共和国政府采购法》第二十二条规定；</w:t>
      </w:r>
    </w:p>
    <w:p>
      <w:pPr>
        <w:spacing w:line="360" w:lineRule="exact"/>
        <w:ind w:firstLine="482"/>
        <w:rPr>
          <w:rFonts w:ascii="宋体" w:hAnsi="宋体" w:cs="宋体"/>
          <w:sz w:val="24"/>
        </w:rPr>
      </w:pPr>
      <w:r>
        <w:rPr>
          <w:rFonts w:hint="eastAsia" w:ascii="宋体" w:hAnsi="宋体" w:cs="宋体"/>
          <w:sz w:val="24"/>
        </w:rPr>
        <w:t>3.2.落实政府采购政策需满足的资格要求：专门面向中小企业采购的项目（供应商应为中小微企业、监狱企业、残疾人福利性单位)。</w:t>
      </w:r>
    </w:p>
    <w:p>
      <w:pPr>
        <w:spacing w:line="360" w:lineRule="exact"/>
        <w:ind w:firstLine="482"/>
        <w:rPr>
          <w:rFonts w:ascii="宋体" w:hAnsi="宋体" w:cs="宋体"/>
          <w:color w:val="FF0000"/>
          <w:sz w:val="24"/>
        </w:rPr>
      </w:pPr>
      <w:r>
        <w:rPr>
          <w:rFonts w:hint="eastAsia" w:ascii="宋体" w:hAnsi="宋体" w:cs="宋体"/>
          <w:sz w:val="24"/>
        </w:rPr>
        <w:t>3.3.本项目的特定资格要求：</w:t>
      </w:r>
      <w:r>
        <w:rPr>
          <w:rFonts w:hint="eastAsia" w:ascii="宋体" w:hAnsi="宋体" w:cs="宋体"/>
          <w:color w:val="FF0000"/>
          <w:sz w:val="24"/>
        </w:rPr>
        <w:t>具备市政公用工程施工总承包叁级（含叁级）及以上资质，具有有效的安全生产许可证，并在人员、设备、资金等方面具备相应的履约能力；拟派项目经理须具有市政公用工程专业贰级以上（含贰级）注册建造师资格，并具备有效的安全生产考核合格证书（B类）。</w:t>
      </w:r>
    </w:p>
    <w:p>
      <w:pPr>
        <w:spacing w:line="360" w:lineRule="exact"/>
        <w:ind w:firstLine="482"/>
        <w:rPr>
          <w:rFonts w:ascii="宋体" w:hAnsi="宋体" w:cs="宋体"/>
          <w:sz w:val="24"/>
        </w:rPr>
      </w:pPr>
      <w:r>
        <w:rPr>
          <w:rFonts w:hint="eastAsia" w:ascii="宋体" w:hAnsi="宋体" w:cs="宋体"/>
          <w:sz w:val="24"/>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82"/>
        <w:jc w:val="left"/>
        <w:rPr>
          <w:rFonts w:ascii="宋体" w:hAnsi="宋体" w:cs="宋体"/>
          <w:sz w:val="24"/>
        </w:rPr>
      </w:pPr>
      <w:r>
        <w:rPr>
          <w:rFonts w:hint="eastAsia" w:ascii="宋体" w:hAnsi="宋体" w:cs="宋体"/>
          <w:sz w:val="24"/>
        </w:rPr>
        <w:t>3.5.对在“信用中国”网站(www.creditchina.gov.cn)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75" w:firstLineChars="195"/>
        <w:rPr>
          <w:rFonts w:ascii="宋体" w:hAnsi="宋体" w:cs="宋体"/>
          <w:spacing w:val="2"/>
          <w:sz w:val="24"/>
        </w:rPr>
      </w:pPr>
      <w:r>
        <w:rPr>
          <w:rFonts w:hint="eastAsia" w:ascii="宋体" w:hAnsi="宋体" w:cs="宋体"/>
          <w:spacing w:val="2"/>
          <w:sz w:val="24"/>
        </w:rPr>
        <w:t>3.6本项目不接受联合体进行竞标。</w:t>
      </w:r>
    </w:p>
    <w:p>
      <w:pPr>
        <w:spacing w:line="360" w:lineRule="exact"/>
        <w:rPr>
          <w:rFonts w:ascii="宋体" w:hAnsi="宋体" w:cs="宋体"/>
          <w:b/>
          <w:bCs/>
          <w:spacing w:val="2"/>
          <w:sz w:val="24"/>
        </w:rPr>
      </w:pPr>
      <w:r>
        <w:rPr>
          <w:rFonts w:hint="eastAsia" w:ascii="宋体" w:hAnsi="宋体" w:cs="宋体"/>
          <w:b/>
          <w:bCs/>
          <w:spacing w:val="2"/>
          <w:sz w:val="24"/>
        </w:rPr>
        <w:t>4. 保密</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4.1 参与竞标活动的各方应对竞争性磋商文件和响应文件中的商业和技术等秘密保密，违者应对由此造成的后果承担法律责任。</w:t>
      </w:r>
    </w:p>
    <w:p>
      <w:pPr>
        <w:spacing w:line="360" w:lineRule="exact"/>
        <w:rPr>
          <w:rFonts w:ascii="宋体" w:hAnsi="宋体" w:cs="宋体"/>
          <w:b/>
          <w:bCs/>
          <w:spacing w:val="2"/>
          <w:sz w:val="24"/>
        </w:rPr>
      </w:pPr>
      <w:r>
        <w:rPr>
          <w:rFonts w:hint="eastAsia" w:ascii="宋体" w:hAnsi="宋体" w:cs="宋体"/>
          <w:b/>
          <w:bCs/>
          <w:spacing w:val="2"/>
          <w:sz w:val="24"/>
        </w:rPr>
        <w:t>5.</w:t>
      </w:r>
      <w:r>
        <w:rPr>
          <w:rFonts w:hint="eastAsia" w:ascii="宋体" w:hAnsi="宋体" w:cs="宋体"/>
          <w:b/>
          <w:sz w:val="24"/>
        </w:rPr>
        <w:t xml:space="preserve"> </w:t>
      </w:r>
      <w:r>
        <w:rPr>
          <w:rFonts w:hint="eastAsia" w:ascii="宋体" w:hAnsi="宋体" w:cs="宋体"/>
          <w:b/>
          <w:bCs/>
          <w:spacing w:val="2"/>
          <w:sz w:val="24"/>
        </w:rPr>
        <w:t>语言文字及计量单位</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5.1 除专用术语外，与竞标有关的语言均使用中文。必要时专用术语应附有中文注释。所有计量均采用中华人民共和国法定计量单位。</w:t>
      </w:r>
    </w:p>
    <w:p>
      <w:pPr>
        <w:spacing w:line="360" w:lineRule="exact"/>
        <w:rPr>
          <w:rFonts w:ascii="宋体" w:hAnsi="宋体" w:cs="宋体"/>
          <w:b/>
          <w:bCs/>
          <w:spacing w:val="2"/>
          <w:sz w:val="24"/>
        </w:rPr>
      </w:pPr>
      <w:r>
        <w:rPr>
          <w:rFonts w:hint="eastAsia" w:ascii="宋体" w:hAnsi="宋体" w:cs="宋体"/>
          <w:b/>
          <w:bCs/>
          <w:spacing w:val="2"/>
          <w:sz w:val="24"/>
        </w:rPr>
        <w:t>6. 竞标费用</w:t>
      </w:r>
    </w:p>
    <w:p>
      <w:pPr>
        <w:pStyle w:val="18"/>
        <w:spacing w:line="360" w:lineRule="exact"/>
        <w:ind w:firstLine="475" w:firstLineChars="195"/>
        <w:rPr>
          <w:rFonts w:cs="宋体"/>
          <w:sz w:val="24"/>
        </w:rPr>
      </w:pPr>
      <w:r>
        <w:rPr>
          <w:rFonts w:hint="eastAsia" w:cs="宋体"/>
          <w:sz w:val="24"/>
        </w:rPr>
        <w:t>6.1 供应商准备和参加竞标活动所发生的一切费用自理，不管竞标结果如何，采购人及采购代理机构对上述费用不负任何责任。</w:t>
      </w:r>
    </w:p>
    <w:p>
      <w:pPr>
        <w:pStyle w:val="18"/>
        <w:spacing w:line="360" w:lineRule="exact"/>
        <w:ind w:firstLine="0" w:firstLineChars="0"/>
        <w:rPr>
          <w:rFonts w:cs="宋体"/>
          <w:sz w:val="24"/>
        </w:rPr>
      </w:pPr>
      <w:r>
        <w:rPr>
          <w:rFonts w:hint="eastAsia" w:cs="宋体"/>
          <w:b/>
          <w:bCs/>
          <w:sz w:val="24"/>
        </w:rPr>
        <w:t>7. 现场勘查</w:t>
      </w:r>
    </w:p>
    <w:p>
      <w:pPr>
        <w:pStyle w:val="23"/>
        <w:spacing w:line="360" w:lineRule="exact"/>
        <w:ind w:firstLine="420"/>
        <w:rPr>
          <w:rFonts w:hAnsi="宋体" w:cs="宋体"/>
          <w:sz w:val="24"/>
        </w:rPr>
      </w:pPr>
      <w:r>
        <w:rPr>
          <w:rFonts w:hint="eastAsia" w:hAnsi="宋体" w:cs="宋体"/>
          <w:sz w:val="24"/>
        </w:rPr>
        <w:t>7.1 建议供应商自行对项目现场和其周围环境进行现场勘查，以获取有关编制响应文件和签署实施项目合同所需的各种资料。供应商应承担现场勘查的责任和风险。勘查现场的费用由供应商自己承担。</w:t>
      </w:r>
    </w:p>
    <w:p>
      <w:pPr>
        <w:spacing w:line="360" w:lineRule="exact"/>
        <w:jc w:val="center"/>
        <w:rPr>
          <w:rFonts w:ascii="宋体" w:hAnsi="宋体" w:cs="宋体"/>
          <w:b/>
          <w:bCs/>
          <w:spacing w:val="2"/>
          <w:sz w:val="28"/>
        </w:rPr>
      </w:pPr>
    </w:p>
    <w:p>
      <w:pPr>
        <w:pStyle w:val="3"/>
        <w:rPr>
          <w:rFonts w:ascii="宋体" w:hAnsi="宋体" w:eastAsia="宋体" w:cs="宋体"/>
        </w:rPr>
      </w:pPr>
      <w:bookmarkStart w:id="4" w:name="_Toc1854"/>
      <w:r>
        <w:rPr>
          <w:rFonts w:hint="eastAsia" w:ascii="宋体" w:hAnsi="宋体" w:eastAsia="宋体" w:cs="宋体"/>
        </w:rPr>
        <w:t>二、竞争性磋商文件</w:t>
      </w:r>
      <w:bookmarkEnd w:id="4"/>
    </w:p>
    <w:p>
      <w:pPr>
        <w:spacing w:line="360" w:lineRule="exact"/>
        <w:rPr>
          <w:rFonts w:ascii="宋体" w:hAnsi="宋体" w:cs="宋体"/>
          <w:b/>
          <w:bCs/>
          <w:spacing w:val="2"/>
          <w:sz w:val="24"/>
        </w:rPr>
      </w:pPr>
      <w:r>
        <w:rPr>
          <w:rFonts w:hint="eastAsia" w:ascii="宋体" w:hAnsi="宋体" w:cs="宋体"/>
          <w:b/>
          <w:bCs/>
          <w:spacing w:val="2"/>
          <w:sz w:val="24"/>
        </w:rPr>
        <w:t>8. 竞争性磋商文件的组成</w:t>
      </w:r>
    </w:p>
    <w:p>
      <w:pPr>
        <w:spacing w:line="360" w:lineRule="exact"/>
        <w:ind w:firstLine="475" w:firstLineChars="195"/>
        <w:rPr>
          <w:rFonts w:ascii="宋体" w:hAnsi="宋体" w:cs="宋体"/>
          <w:spacing w:val="2"/>
          <w:sz w:val="24"/>
        </w:rPr>
      </w:pPr>
      <w:r>
        <w:rPr>
          <w:rFonts w:hint="eastAsia" w:ascii="宋体" w:hAnsi="宋体" w:cs="宋体"/>
          <w:spacing w:val="2"/>
          <w:sz w:val="24"/>
        </w:rPr>
        <w:t>8.1 竞争性磋商文件包括下列内容：</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第一章 竞争性磋商公告</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 xml:space="preserve">第二章 </w:t>
      </w:r>
      <w:r>
        <w:rPr>
          <w:rFonts w:hint="eastAsia" w:ascii="宋体" w:hAnsi="宋体" w:cs="宋体"/>
          <w:sz w:val="24"/>
        </w:rPr>
        <w:t>供应商</w:t>
      </w:r>
      <w:r>
        <w:rPr>
          <w:rFonts w:hint="eastAsia" w:ascii="宋体" w:hAnsi="宋体" w:cs="宋体"/>
          <w:bCs/>
          <w:spacing w:val="2"/>
          <w:sz w:val="24"/>
        </w:rPr>
        <w:t>须知</w:t>
      </w:r>
    </w:p>
    <w:p>
      <w:pPr>
        <w:spacing w:line="360" w:lineRule="exact"/>
        <w:ind w:firstLine="475" w:firstLineChars="195"/>
        <w:rPr>
          <w:rFonts w:ascii="宋体" w:hAnsi="宋体" w:cs="宋体"/>
          <w:spacing w:val="2"/>
          <w:sz w:val="24"/>
        </w:rPr>
      </w:pPr>
      <w:r>
        <w:rPr>
          <w:rFonts w:hint="eastAsia" w:ascii="宋体" w:hAnsi="宋体" w:cs="宋体"/>
          <w:spacing w:val="2"/>
          <w:sz w:val="24"/>
        </w:rPr>
        <w:t>第三章 评审程序、评审方法和评审标准</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第四章 报价编制说明及依据</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第五章 合同条款及格式</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第六章 响应文件格式</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第七章 技术规范</w:t>
      </w:r>
    </w:p>
    <w:p>
      <w:pPr>
        <w:spacing w:line="360" w:lineRule="exact"/>
        <w:ind w:firstLine="475" w:firstLineChars="195"/>
        <w:rPr>
          <w:rFonts w:ascii="宋体" w:hAnsi="宋体" w:cs="宋体"/>
          <w:spacing w:val="2"/>
          <w:sz w:val="24"/>
        </w:rPr>
      </w:pPr>
      <w:r>
        <w:rPr>
          <w:rFonts w:hint="eastAsia" w:ascii="宋体" w:hAnsi="宋体" w:cs="宋体"/>
          <w:bCs/>
          <w:spacing w:val="2"/>
          <w:sz w:val="24"/>
        </w:rPr>
        <w:t xml:space="preserve">第八章 </w:t>
      </w:r>
      <w:r>
        <w:rPr>
          <w:rFonts w:hint="eastAsia" w:ascii="宋体" w:hAnsi="宋体" w:cs="宋体"/>
          <w:spacing w:val="2"/>
          <w:sz w:val="24"/>
        </w:rPr>
        <w:t>图纸及工程量清单（另附）</w:t>
      </w:r>
    </w:p>
    <w:p>
      <w:pPr>
        <w:spacing w:line="360" w:lineRule="exact"/>
        <w:ind w:firstLine="475" w:firstLineChars="195"/>
        <w:rPr>
          <w:rFonts w:ascii="宋体" w:hAnsi="宋体" w:cs="宋体"/>
          <w:spacing w:val="2"/>
          <w:sz w:val="24"/>
        </w:rPr>
      </w:pPr>
      <w:r>
        <w:rPr>
          <w:rFonts w:hint="eastAsia" w:ascii="宋体" w:hAnsi="宋体" w:cs="宋体"/>
          <w:spacing w:val="2"/>
          <w:sz w:val="24"/>
        </w:rPr>
        <w:t>根据本章第9条、第10条对竞争性磋商文件所作的澄清、修改，构成竞争性磋商文件的组成部分。</w:t>
      </w:r>
    </w:p>
    <w:p>
      <w:pPr>
        <w:spacing w:line="360" w:lineRule="exact"/>
        <w:ind w:firstLine="475" w:firstLineChars="195"/>
        <w:rPr>
          <w:rFonts w:ascii="宋体" w:hAnsi="宋体" w:cs="宋体"/>
          <w:spacing w:val="2"/>
          <w:sz w:val="24"/>
        </w:rPr>
      </w:pPr>
      <w:r>
        <w:rPr>
          <w:rFonts w:hint="eastAsia" w:ascii="宋体" w:hAnsi="宋体" w:cs="宋体"/>
          <w:spacing w:val="2"/>
          <w:sz w:val="24"/>
        </w:rPr>
        <w:t xml:space="preserve">8.2 </w:t>
      </w:r>
      <w:r>
        <w:rPr>
          <w:rFonts w:hint="eastAsia" w:ascii="宋体" w:hAnsi="宋体" w:cs="宋体"/>
          <w:sz w:val="24"/>
        </w:rPr>
        <w:t>供应商</w:t>
      </w:r>
      <w:r>
        <w:rPr>
          <w:rFonts w:hint="eastAsia" w:ascii="宋体" w:hAnsi="宋体" w:cs="宋体"/>
          <w:spacing w:val="2"/>
          <w:sz w:val="24"/>
        </w:rPr>
        <w:t>应认真审阅竞争性磋商文件中所有的</w:t>
      </w:r>
      <w:r>
        <w:rPr>
          <w:rFonts w:hint="eastAsia" w:ascii="宋体" w:hAnsi="宋体" w:cs="宋体"/>
          <w:sz w:val="24"/>
        </w:rPr>
        <w:t>供应商</w:t>
      </w:r>
      <w:r>
        <w:rPr>
          <w:rFonts w:hint="eastAsia" w:ascii="宋体" w:hAnsi="宋体" w:cs="宋体"/>
          <w:spacing w:val="2"/>
          <w:sz w:val="24"/>
        </w:rPr>
        <w:t>须知、合同条件、规定格式、技术规范或技术要求、图纸。如果</w:t>
      </w:r>
      <w:r>
        <w:rPr>
          <w:rFonts w:hint="eastAsia" w:ascii="宋体" w:hAnsi="宋体" w:cs="宋体"/>
          <w:sz w:val="24"/>
        </w:rPr>
        <w:t>供应商</w:t>
      </w:r>
      <w:r>
        <w:rPr>
          <w:rFonts w:hint="eastAsia" w:ascii="宋体" w:hAnsi="宋体" w:cs="宋体"/>
          <w:spacing w:val="2"/>
          <w:sz w:val="24"/>
        </w:rPr>
        <w:t>编制的响应文件不能符合竞争性磋商文件的要求，责任由供应商自负。实质上不响应竞争性磋商文件要求的响应文件将被采购人拒绝，并作无效响应文件处理。</w:t>
      </w:r>
    </w:p>
    <w:p>
      <w:pPr>
        <w:spacing w:line="360" w:lineRule="exact"/>
        <w:rPr>
          <w:rFonts w:ascii="宋体" w:hAnsi="宋体" w:cs="宋体"/>
          <w:b/>
          <w:bCs/>
          <w:spacing w:val="2"/>
          <w:sz w:val="24"/>
        </w:rPr>
      </w:pPr>
      <w:r>
        <w:rPr>
          <w:rFonts w:hint="eastAsia" w:ascii="宋体" w:hAnsi="宋体" w:cs="宋体"/>
          <w:b/>
          <w:bCs/>
          <w:spacing w:val="2"/>
          <w:sz w:val="24"/>
        </w:rPr>
        <w:t>9. 竞争性磋商文件的澄清和修改</w:t>
      </w:r>
    </w:p>
    <w:p>
      <w:pPr>
        <w:spacing w:line="360" w:lineRule="exact"/>
        <w:ind w:firstLine="475" w:firstLineChars="195"/>
        <w:rPr>
          <w:rFonts w:ascii="宋体" w:hAnsi="宋体" w:cs="宋体"/>
          <w:spacing w:val="2"/>
          <w:sz w:val="24"/>
        </w:rPr>
      </w:pPr>
      <w:r>
        <w:rPr>
          <w:rFonts w:hint="eastAsia" w:ascii="宋体" w:hAnsi="宋体" w:cs="宋体"/>
          <w:spacing w:val="2"/>
          <w:sz w:val="24"/>
        </w:rPr>
        <w:t>9.1</w:t>
      </w:r>
      <w:r>
        <w:rPr>
          <w:rFonts w:hint="eastAsia" w:ascii="宋体" w:hAnsi="宋体" w:cs="宋体"/>
          <w:sz w:val="24"/>
        </w:rPr>
        <w:t>供应商</w:t>
      </w:r>
      <w:r>
        <w:rPr>
          <w:rFonts w:hint="eastAsia" w:ascii="宋体" w:hAnsi="宋体" w:cs="宋体"/>
          <w:spacing w:val="2"/>
          <w:sz w:val="24"/>
        </w:rPr>
        <w:t>应认真阅读竞争性磋商文件的采购需求，如发现需求中有误或要求不合理的，</w:t>
      </w:r>
      <w:r>
        <w:rPr>
          <w:rFonts w:hint="eastAsia" w:ascii="宋体" w:hAnsi="宋体" w:cs="宋体"/>
          <w:sz w:val="24"/>
        </w:rPr>
        <w:t>供应商</w:t>
      </w:r>
      <w:r>
        <w:rPr>
          <w:rFonts w:hint="eastAsia" w:ascii="宋体" w:hAnsi="宋体" w:cs="宋体"/>
          <w:spacing w:val="2"/>
          <w:sz w:val="24"/>
        </w:rPr>
        <w:t>必须在提交首次响应文件截止之日前，以书面形式向采购人、采购代理机构提出。</w:t>
      </w:r>
    </w:p>
    <w:p>
      <w:pPr>
        <w:spacing w:line="360" w:lineRule="exact"/>
        <w:ind w:firstLine="475" w:firstLineChars="195"/>
        <w:rPr>
          <w:rFonts w:ascii="宋体" w:hAnsi="宋体" w:cs="宋体"/>
          <w:spacing w:val="2"/>
          <w:sz w:val="24"/>
        </w:rPr>
      </w:pPr>
      <w:r>
        <w:rPr>
          <w:rFonts w:hint="eastAsia" w:ascii="宋体" w:hAnsi="宋体" w:cs="宋体"/>
          <w:spacing w:val="2"/>
          <w:sz w:val="24"/>
        </w:rPr>
        <w:t>9.2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应当在提交首次响应文件截止之日5个工作日前，以书面形式通知所有接收竞争性磋商文件的</w:t>
      </w:r>
      <w:r>
        <w:rPr>
          <w:rFonts w:hint="eastAsia" w:ascii="宋体" w:hAnsi="宋体" w:cs="宋体"/>
          <w:sz w:val="24"/>
        </w:rPr>
        <w:t>供应商</w:t>
      </w:r>
      <w:r>
        <w:rPr>
          <w:rFonts w:hint="eastAsia" w:ascii="宋体" w:hAnsi="宋体" w:cs="宋体"/>
          <w:spacing w:val="2"/>
          <w:sz w:val="24"/>
        </w:rPr>
        <w:t>，不足5个工作日的，应当顺延提交首次响应文件截止之日。</w:t>
      </w:r>
    </w:p>
    <w:p>
      <w:pPr>
        <w:spacing w:line="360" w:lineRule="exact"/>
        <w:rPr>
          <w:rFonts w:ascii="宋体" w:hAnsi="宋体" w:cs="宋体"/>
          <w:b/>
          <w:bCs/>
          <w:spacing w:val="2"/>
          <w:sz w:val="24"/>
        </w:rPr>
      </w:pPr>
      <w:r>
        <w:rPr>
          <w:rFonts w:hint="eastAsia" w:ascii="宋体" w:hAnsi="宋体" w:cs="宋体"/>
          <w:b/>
          <w:bCs/>
          <w:spacing w:val="2"/>
          <w:sz w:val="24"/>
        </w:rPr>
        <w:t>10. 澄清和修改的答复</w:t>
      </w:r>
    </w:p>
    <w:p>
      <w:pPr>
        <w:spacing w:line="340" w:lineRule="exact"/>
        <w:ind w:firstLine="468" w:firstLineChars="195"/>
        <w:rPr>
          <w:rFonts w:ascii="宋体" w:hAnsi="宋体" w:cs="宋体"/>
          <w:spacing w:val="2"/>
          <w:sz w:val="24"/>
        </w:rPr>
      </w:pPr>
      <w:r>
        <w:rPr>
          <w:rFonts w:hint="eastAsia" w:ascii="宋体" w:hAnsi="宋体" w:cs="宋体"/>
          <w:sz w:val="24"/>
        </w:rPr>
        <w:t>供应商</w:t>
      </w:r>
      <w:r>
        <w:rPr>
          <w:rFonts w:hint="eastAsia" w:ascii="宋体" w:hAnsi="宋体" w:cs="宋体"/>
          <w:spacing w:val="2"/>
          <w:sz w:val="24"/>
        </w:rPr>
        <w:t>接电话通知后到采购代理机构处领取以上澄清答复（或补充通知、更改通知等），或在网上查询，如在电话通知后24小时内不上门领取的，则视为已在网上查询收到。该澄清或修改的内容为竞争性磋商文件的组成部分。供应商在每一次收到澄清答复或补充通知后应立即以书面形式通知采购代理机构，确认已收到该澄清答复或补充通知。否则，由此造成的一切后果由供应商负责。（电话通知时以供应商购买竞争性磋商文件所留电话通知，如供应商所留电话有误或打不通等造成的一切后果由供应商负责）。</w:t>
      </w:r>
    </w:p>
    <w:p>
      <w:pPr>
        <w:spacing w:line="360" w:lineRule="exact"/>
        <w:ind w:firstLine="556" w:firstLineChars="195"/>
        <w:jc w:val="center"/>
        <w:rPr>
          <w:rFonts w:ascii="宋体" w:hAnsi="宋体" w:cs="宋体"/>
          <w:b/>
          <w:bCs/>
          <w:spacing w:val="2"/>
          <w:sz w:val="28"/>
        </w:rPr>
      </w:pPr>
    </w:p>
    <w:p>
      <w:pPr>
        <w:pStyle w:val="3"/>
        <w:rPr>
          <w:rFonts w:ascii="宋体" w:hAnsi="宋体" w:eastAsia="宋体" w:cs="宋体"/>
        </w:rPr>
      </w:pPr>
      <w:r>
        <w:rPr>
          <w:rFonts w:hint="eastAsia" w:ascii="宋体" w:hAnsi="宋体" w:eastAsia="宋体" w:cs="宋体"/>
          <w:sz w:val="28"/>
        </w:rPr>
        <w:t xml:space="preserve"> </w:t>
      </w:r>
      <w:bookmarkStart w:id="5" w:name="_Toc27956"/>
      <w:r>
        <w:rPr>
          <w:rFonts w:hint="eastAsia" w:ascii="宋体" w:hAnsi="宋体" w:eastAsia="宋体" w:cs="宋体"/>
        </w:rPr>
        <w:t>三、响应文件</w:t>
      </w:r>
      <w:bookmarkEnd w:id="5"/>
    </w:p>
    <w:p>
      <w:pPr>
        <w:spacing w:line="360" w:lineRule="exact"/>
        <w:rPr>
          <w:rFonts w:ascii="宋体" w:hAnsi="宋体" w:cs="宋体"/>
          <w:sz w:val="24"/>
        </w:rPr>
      </w:pPr>
      <w:r>
        <w:rPr>
          <w:rFonts w:hint="eastAsia" w:ascii="宋体" w:hAnsi="宋体" w:cs="宋体"/>
          <w:b/>
          <w:bCs/>
          <w:sz w:val="24"/>
        </w:rPr>
        <w:t>11. 响应文件的组成</w:t>
      </w:r>
    </w:p>
    <w:p>
      <w:pPr>
        <w:pStyle w:val="26"/>
        <w:spacing w:line="360" w:lineRule="exact"/>
        <w:ind w:firstLine="480" w:firstLineChars="200"/>
        <w:rPr>
          <w:rFonts w:ascii="宋体" w:hAnsi="宋体" w:cs="宋体"/>
          <w:sz w:val="24"/>
        </w:rPr>
      </w:pPr>
      <w:r>
        <w:rPr>
          <w:rFonts w:hint="eastAsia" w:ascii="宋体" w:hAnsi="宋体" w:cs="宋体"/>
          <w:sz w:val="24"/>
        </w:rPr>
        <w:t>11.1 供应商的响应文件应包括下列内容：</w:t>
      </w:r>
    </w:p>
    <w:p>
      <w:pPr>
        <w:pStyle w:val="26"/>
        <w:spacing w:line="360" w:lineRule="exact"/>
        <w:ind w:firstLine="480" w:firstLineChars="200"/>
        <w:rPr>
          <w:rFonts w:ascii="宋体" w:hAnsi="宋体" w:cs="宋体"/>
          <w:sz w:val="24"/>
        </w:rPr>
      </w:pPr>
      <w:r>
        <w:rPr>
          <w:rFonts w:hint="eastAsia" w:ascii="宋体" w:hAnsi="宋体" w:cs="宋体"/>
          <w:sz w:val="24"/>
        </w:rPr>
        <w:t>11.1.1资格审查部分</w:t>
      </w:r>
    </w:p>
    <w:p>
      <w:pPr>
        <w:pStyle w:val="26"/>
        <w:spacing w:line="360" w:lineRule="exact"/>
        <w:ind w:firstLine="480" w:firstLineChars="200"/>
        <w:rPr>
          <w:rFonts w:ascii="宋体" w:hAnsi="宋体" w:cs="宋体"/>
          <w:sz w:val="24"/>
        </w:rPr>
      </w:pPr>
      <w:r>
        <w:rPr>
          <w:rFonts w:hint="eastAsia" w:ascii="宋体" w:hAnsi="宋体" w:cs="宋体"/>
          <w:sz w:val="24"/>
        </w:rPr>
        <w:t>（1）诚信声明；（加盖公章）</w:t>
      </w:r>
    </w:p>
    <w:p>
      <w:pPr>
        <w:pStyle w:val="26"/>
        <w:spacing w:line="360" w:lineRule="exact"/>
        <w:ind w:firstLine="480" w:firstLineChars="200"/>
        <w:rPr>
          <w:rFonts w:ascii="宋体" w:hAnsi="宋体" w:cs="宋体"/>
          <w:sz w:val="24"/>
        </w:rPr>
      </w:pPr>
      <w:r>
        <w:rPr>
          <w:rFonts w:hint="eastAsia" w:ascii="宋体" w:hAnsi="宋体" w:cs="宋体"/>
          <w:sz w:val="24"/>
        </w:rPr>
        <w:t>（2）有效的营业执照</w:t>
      </w:r>
      <w:r>
        <w:rPr>
          <w:rFonts w:hint="eastAsia" w:ascii="宋体" w:hAnsi="宋体" w:cs="宋体"/>
          <w:sz w:val="24"/>
          <w:lang w:val="en-US" w:eastAsia="zh-CN"/>
        </w:rPr>
        <w:t>复印件</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 xml:space="preserve">（3）有效的企业资质证书复印件；(加盖公章) </w:t>
      </w:r>
    </w:p>
    <w:p>
      <w:pPr>
        <w:pStyle w:val="26"/>
        <w:spacing w:line="360" w:lineRule="exact"/>
        <w:ind w:firstLine="480" w:firstLineChars="200"/>
        <w:rPr>
          <w:rFonts w:ascii="宋体" w:hAnsi="宋体" w:cs="宋体"/>
          <w:sz w:val="24"/>
        </w:rPr>
      </w:pPr>
      <w:r>
        <w:rPr>
          <w:rFonts w:hint="eastAsia" w:ascii="宋体" w:hAnsi="宋体" w:cs="宋体"/>
          <w:sz w:val="24"/>
        </w:rPr>
        <w:t>（4）有效的安全生产许可证复印件；(加盖公章)</w:t>
      </w:r>
    </w:p>
    <w:p>
      <w:pPr>
        <w:pStyle w:val="26"/>
        <w:spacing w:line="360" w:lineRule="exact"/>
        <w:ind w:firstLine="480" w:firstLineChars="200"/>
        <w:rPr>
          <w:rFonts w:ascii="宋体" w:hAnsi="宋体" w:cs="宋体"/>
          <w:sz w:val="24"/>
        </w:rPr>
      </w:pPr>
      <w:r>
        <w:rPr>
          <w:rFonts w:hint="eastAsia" w:ascii="宋体" w:hAnsi="宋体" w:cs="宋体"/>
          <w:sz w:val="24"/>
        </w:rPr>
        <w:t>（5）响应文件签署有效的授权委托书原件、委托代理人有效的身份证正反面复印件；（委托代理时必须提供，并加盖公章）</w:t>
      </w:r>
    </w:p>
    <w:p>
      <w:pPr>
        <w:pStyle w:val="26"/>
        <w:spacing w:line="360" w:lineRule="exact"/>
        <w:ind w:firstLine="480" w:firstLineChars="200"/>
        <w:rPr>
          <w:rFonts w:ascii="宋体" w:hAnsi="宋体" w:cs="宋体"/>
          <w:sz w:val="24"/>
        </w:rPr>
      </w:pPr>
      <w:r>
        <w:rPr>
          <w:rFonts w:hint="eastAsia" w:ascii="宋体" w:hAnsi="宋体" w:cs="宋体"/>
          <w:sz w:val="24"/>
        </w:rPr>
        <w:t>（6）有效的法定代表人身份证明书、法定代表人有效的身份证正反面复印件；（加盖公章）</w:t>
      </w:r>
    </w:p>
    <w:p>
      <w:pPr>
        <w:pStyle w:val="26"/>
        <w:spacing w:line="360" w:lineRule="exact"/>
        <w:ind w:firstLine="480" w:firstLineChars="200"/>
        <w:rPr>
          <w:rFonts w:ascii="宋体" w:hAnsi="宋体" w:cs="宋体"/>
          <w:color w:val="FF0000"/>
          <w:sz w:val="24"/>
        </w:rPr>
      </w:pPr>
      <w:r>
        <w:rPr>
          <w:rFonts w:hint="eastAsia" w:ascii="宋体" w:hAnsi="宋体" w:cs="宋体"/>
          <w:sz w:val="24"/>
        </w:rPr>
        <w:t>（7）</w:t>
      </w:r>
      <w:r>
        <w:rPr>
          <w:rFonts w:hint="eastAsia" w:ascii="宋体" w:hAnsi="宋体" w:cs="宋体"/>
          <w:color w:val="FF0000"/>
          <w:sz w:val="24"/>
        </w:rPr>
        <w:t>拟投入项目经理有效的市政公用工程专业贰级（含以上级）注册建造师证书、有效的安全生产考核合格证书（B证）、中级及以上职称证复印件，在供应商单位为其缴纳社保凭证（提供2023年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月连续3个月的社保证明）；(加盖公章)</w:t>
      </w:r>
    </w:p>
    <w:p>
      <w:pPr>
        <w:pStyle w:val="26"/>
        <w:spacing w:line="360" w:lineRule="exact"/>
        <w:ind w:firstLine="480" w:firstLineChars="200"/>
        <w:rPr>
          <w:rFonts w:ascii="宋体" w:hAnsi="宋体" w:cs="宋体"/>
          <w:sz w:val="24"/>
        </w:rPr>
      </w:pPr>
      <w:r>
        <w:rPr>
          <w:rFonts w:hint="eastAsia" w:ascii="宋体" w:hAnsi="宋体" w:cs="宋体"/>
          <w:sz w:val="24"/>
        </w:rPr>
        <w:t>（8）农民工工资保证金的交纳与使用承诺书；（加盖公章）（按桂劳社发［2009］50号文件执行）</w:t>
      </w:r>
    </w:p>
    <w:p>
      <w:pPr>
        <w:pStyle w:val="26"/>
        <w:spacing w:line="360" w:lineRule="exact"/>
        <w:ind w:firstLine="480" w:firstLineChars="200"/>
        <w:rPr>
          <w:rFonts w:ascii="宋体" w:hAnsi="宋体" w:cs="宋体"/>
          <w:sz w:val="24"/>
        </w:rPr>
      </w:pPr>
      <w:r>
        <w:rPr>
          <w:rFonts w:hint="eastAsia" w:ascii="宋体" w:hAnsi="宋体" w:cs="宋体"/>
          <w:sz w:val="24"/>
        </w:rPr>
        <w:t>（9）供应商依法缴纳税收的相关材</w:t>
      </w:r>
      <w:r>
        <w:rPr>
          <w:rFonts w:hint="eastAsia" w:ascii="宋体" w:hAnsi="宋体" w:cs="宋体"/>
          <w:color w:val="FF0000"/>
          <w:sz w:val="24"/>
        </w:rPr>
        <w:t>料（2023年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w:t>
      </w:r>
      <w:r>
        <w:rPr>
          <w:rFonts w:hint="eastAsia" w:ascii="宋体" w:hAnsi="宋体" w:cs="宋体"/>
          <w:sz w:val="24"/>
        </w:rPr>
        <w:t>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pPr>
        <w:pStyle w:val="26"/>
        <w:spacing w:line="360" w:lineRule="exact"/>
        <w:ind w:firstLine="480" w:firstLineChars="200"/>
        <w:rPr>
          <w:rFonts w:ascii="宋体" w:hAnsi="宋体" w:cs="宋体"/>
          <w:sz w:val="24"/>
        </w:rPr>
      </w:pPr>
      <w:r>
        <w:rPr>
          <w:rFonts w:hint="eastAsia" w:ascii="宋体" w:hAnsi="宋体" w:cs="宋体"/>
          <w:sz w:val="24"/>
        </w:rPr>
        <w:t>（10）供应商依法缴纳社会保障资金的相关材料</w:t>
      </w:r>
      <w:r>
        <w:rPr>
          <w:rFonts w:hint="eastAsia" w:ascii="宋体" w:hAnsi="宋体" w:cs="宋体"/>
          <w:color w:val="FF0000"/>
          <w:sz w:val="24"/>
        </w:rPr>
        <w:t>[2023年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w:t>
      </w:r>
      <w:r>
        <w:rPr>
          <w:rFonts w:hint="eastAsia" w:ascii="宋体" w:hAnsi="宋体" w:cs="宋体"/>
          <w:sz w:val="24"/>
        </w:rPr>
        <w:t>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pPr>
        <w:pStyle w:val="26"/>
        <w:spacing w:line="360" w:lineRule="exact"/>
        <w:ind w:firstLine="480" w:firstLineChars="200"/>
        <w:rPr>
          <w:rFonts w:ascii="宋体" w:hAnsi="宋体" w:cs="宋体"/>
          <w:sz w:val="24"/>
        </w:rPr>
      </w:pPr>
      <w:r>
        <w:rPr>
          <w:rFonts w:hint="eastAsia" w:ascii="宋体" w:hAnsi="宋体" w:cs="宋体"/>
          <w:sz w:val="24"/>
        </w:rPr>
        <w:t>（11）提供2022年度审计报告或财务会计报表（新成立单位按实际提供）（必须提供，同时要加盖单位公章，否则竞标无效 ）</w:t>
      </w:r>
    </w:p>
    <w:p>
      <w:pPr>
        <w:pStyle w:val="26"/>
        <w:spacing w:line="360" w:lineRule="exact"/>
        <w:ind w:firstLine="480" w:firstLineChars="200"/>
        <w:rPr>
          <w:rFonts w:ascii="宋体" w:hAnsi="宋体" w:cs="宋体"/>
          <w:sz w:val="24"/>
        </w:rPr>
      </w:pPr>
      <w:r>
        <w:rPr>
          <w:rFonts w:hint="eastAsia" w:ascii="宋体" w:hAnsi="宋体" w:cs="宋体"/>
          <w:sz w:val="24"/>
        </w:rPr>
        <w:t>（12）无在建项目承诺书：由供应商出具的拟投入本项目的项目经理无在建项目承诺书；（加盖公章）</w:t>
      </w:r>
    </w:p>
    <w:p>
      <w:pPr>
        <w:pStyle w:val="26"/>
        <w:spacing w:line="360" w:lineRule="exact"/>
        <w:ind w:firstLine="480" w:firstLineChars="200"/>
        <w:rPr>
          <w:rFonts w:ascii="宋体" w:hAnsi="宋体" w:cs="宋体"/>
          <w:sz w:val="24"/>
        </w:rPr>
      </w:pPr>
      <w:r>
        <w:rPr>
          <w:rFonts w:hint="eastAsia" w:ascii="宋体" w:hAnsi="宋体" w:cs="宋体"/>
          <w:sz w:val="24"/>
        </w:rPr>
        <w:t>（13）建设工程项目管理承诺书；（加盖公章）</w:t>
      </w:r>
    </w:p>
    <w:p>
      <w:pPr>
        <w:pStyle w:val="26"/>
        <w:spacing w:line="360" w:lineRule="exact"/>
        <w:ind w:firstLine="480" w:firstLineChars="200"/>
        <w:rPr>
          <w:rFonts w:ascii="宋体" w:hAnsi="宋体" w:cs="宋体"/>
          <w:sz w:val="24"/>
        </w:rPr>
      </w:pPr>
      <w:r>
        <w:rPr>
          <w:rFonts w:hint="eastAsia" w:ascii="宋体" w:hAnsi="宋体" w:cs="宋体"/>
          <w:sz w:val="24"/>
        </w:rPr>
        <w:t>（14）提供本单位参加政府采购活动前 3 年内在经营活动中没有重大违法记录的书面声明。（加盖公章）</w:t>
      </w:r>
    </w:p>
    <w:p>
      <w:pPr>
        <w:pStyle w:val="26"/>
        <w:spacing w:line="360" w:lineRule="exact"/>
        <w:ind w:firstLine="480" w:firstLineChars="200"/>
        <w:rPr>
          <w:rFonts w:ascii="宋体" w:hAnsi="宋体" w:cs="宋体"/>
          <w:sz w:val="24"/>
        </w:rPr>
      </w:pPr>
      <w:r>
        <w:rPr>
          <w:rFonts w:hint="eastAsia" w:ascii="宋体" w:hAnsi="宋体" w:cs="宋体"/>
          <w:sz w:val="24"/>
        </w:rPr>
        <w:t>11.1.2商务部分</w:t>
      </w:r>
    </w:p>
    <w:p>
      <w:pPr>
        <w:pStyle w:val="26"/>
        <w:spacing w:line="360" w:lineRule="exact"/>
        <w:ind w:firstLine="480" w:firstLineChars="200"/>
        <w:rPr>
          <w:rFonts w:ascii="宋体" w:hAnsi="宋体" w:cs="宋体"/>
          <w:sz w:val="24"/>
        </w:rPr>
      </w:pPr>
      <w:r>
        <w:rPr>
          <w:rFonts w:hint="eastAsia" w:ascii="宋体" w:hAnsi="宋体" w:cs="宋体"/>
          <w:sz w:val="24"/>
        </w:rPr>
        <w:t>（1）竞标函；（加盖公章）</w:t>
      </w:r>
    </w:p>
    <w:p>
      <w:pPr>
        <w:pStyle w:val="26"/>
        <w:spacing w:line="360" w:lineRule="exact"/>
        <w:ind w:firstLine="480" w:firstLineChars="200"/>
        <w:rPr>
          <w:rFonts w:ascii="宋体" w:hAnsi="宋体" w:cs="宋体"/>
          <w:sz w:val="24"/>
        </w:rPr>
      </w:pPr>
      <w:r>
        <w:rPr>
          <w:rFonts w:hint="eastAsia" w:ascii="宋体" w:hAnsi="宋体" w:cs="宋体"/>
          <w:sz w:val="24"/>
        </w:rPr>
        <w:t>（2）竞标响应表；（加盖公章）</w:t>
      </w:r>
    </w:p>
    <w:p>
      <w:pPr>
        <w:pStyle w:val="26"/>
        <w:spacing w:line="360" w:lineRule="exact"/>
        <w:ind w:firstLine="480" w:firstLineChars="200"/>
        <w:rPr>
          <w:rFonts w:ascii="宋体" w:hAnsi="宋体" w:cs="宋体"/>
          <w:sz w:val="24"/>
        </w:rPr>
      </w:pPr>
      <w:r>
        <w:rPr>
          <w:rFonts w:hint="eastAsia" w:ascii="宋体" w:hAnsi="宋体" w:cs="宋体"/>
          <w:sz w:val="24"/>
        </w:rPr>
        <w:t>（3）已标价工程量清单；（加盖公章）</w:t>
      </w:r>
    </w:p>
    <w:p>
      <w:pPr>
        <w:pStyle w:val="26"/>
        <w:spacing w:line="360" w:lineRule="exact"/>
        <w:ind w:firstLine="480" w:firstLineChars="200"/>
        <w:rPr>
          <w:rFonts w:ascii="宋体" w:hAnsi="宋体" w:cs="宋体"/>
          <w:sz w:val="24"/>
        </w:rPr>
      </w:pPr>
      <w:r>
        <w:rPr>
          <w:rFonts w:hint="eastAsia" w:ascii="宋体" w:hAnsi="宋体" w:cs="宋体"/>
          <w:sz w:val="24"/>
        </w:rPr>
        <w:t>11.1.3技术标</w:t>
      </w:r>
    </w:p>
    <w:p>
      <w:pPr>
        <w:pStyle w:val="26"/>
        <w:spacing w:line="360" w:lineRule="exact"/>
        <w:ind w:firstLine="480" w:firstLineChars="200"/>
        <w:rPr>
          <w:rFonts w:ascii="宋体" w:hAnsi="宋体" w:cs="宋体"/>
          <w:sz w:val="24"/>
        </w:rPr>
      </w:pPr>
      <w:r>
        <w:rPr>
          <w:rFonts w:hint="eastAsia" w:ascii="宋体" w:hAnsi="宋体" w:cs="宋体"/>
          <w:sz w:val="24"/>
        </w:rPr>
        <w:t>(1)施工组织设计</w:t>
      </w:r>
      <w:r>
        <w:rPr>
          <w:rFonts w:hint="eastAsia" w:ascii="宋体" w:hAnsi="宋体" w:cs="宋体"/>
          <w:sz w:val="24"/>
          <w:lang w:eastAsia="zh-CN"/>
        </w:rPr>
        <w:t>；</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(2)项目管理机构配备。（加盖公章）</w:t>
      </w:r>
    </w:p>
    <w:p>
      <w:pPr>
        <w:pStyle w:val="23"/>
        <w:spacing w:line="360" w:lineRule="exact"/>
        <w:ind w:firstLine="480" w:firstLineChars="200"/>
        <w:rPr>
          <w:rFonts w:hAnsi="宋体" w:cs="宋体"/>
          <w:sz w:val="24"/>
        </w:rPr>
      </w:pPr>
      <w:r>
        <w:rPr>
          <w:rFonts w:hint="eastAsia" w:hAnsi="宋体" w:cs="宋体"/>
          <w:sz w:val="24"/>
        </w:rPr>
        <w:t>11.2. 农民工工资保障金承诺书</w:t>
      </w:r>
    </w:p>
    <w:p>
      <w:pPr>
        <w:pStyle w:val="23"/>
        <w:spacing w:line="360" w:lineRule="exact"/>
        <w:ind w:firstLine="480" w:firstLineChars="200"/>
        <w:rPr>
          <w:rFonts w:hAnsi="宋体" w:cs="宋体"/>
          <w:sz w:val="24"/>
        </w:rPr>
      </w:pPr>
      <w:r>
        <w:rPr>
          <w:rFonts w:hint="eastAsia" w:hAnsi="宋体" w:cs="宋体"/>
          <w:sz w:val="24"/>
        </w:rPr>
        <w:t>供应商应在响应文件中出具农民工工资保障金承诺书，主要承诺以下内容：</w:t>
      </w:r>
    </w:p>
    <w:p>
      <w:pPr>
        <w:pStyle w:val="23"/>
        <w:spacing w:line="360" w:lineRule="exact"/>
        <w:ind w:firstLine="480" w:firstLineChars="200"/>
        <w:rPr>
          <w:rFonts w:hAnsi="宋体" w:cs="宋体"/>
          <w:sz w:val="24"/>
        </w:rPr>
      </w:pPr>
      <w:r>
        <w:rPr>
          <w:rFonts w:hint="eastAsia" w:hAnsi="宋体" w:cs="宋体"/>
          <w:sz w:val="24"/>
        </w:rPr>
        <w:t>⑴供应商成交后七个工作日内，按成交金额的2%且不多于80万元的农民工工资保障金足额交纳到指定的帐户；</w:t>
      </w:r>
    </w:p>
    <w:p>
      <w:pPr>
        <w:spacing w:line="360" w:lineRule="exact"/>
        <w:ind w:firstLine="480" w:firstLineChars="200"/>
        <w:rPr>
          <w:rFonts w:ascii="宋体" w:hAnsi="宋体" w:cs="宋体"/>
          <w:sz w:val="24"/>
        </w:rPr>
      </w:pPr>
      <w:r>
        <w:rPr>
          <w:rFonts w:hint="eastAsia" w:ascii="宋体" w:hAnsi="宋体" w:cs="宋体"/>
          <w:sz w:val="24"/>
        </w:rPr>
        <w:t>⑵如供应商成交后不按桂劳社发［2009］50号文件执行，足额缴纳农民工工资保证金，视为无效响应文件，取消其成交资格。</w:t>
      </w:r>
    </w:p>
    <w:p>
      <w:pPr>
        <w:spacing w:line="360" w:lineRule="exact"/>
        <w:ind w:firstLine="523" w:firstLineChars="218"/>
        <w:rPr>
          <w:rFonts w:ascii="宋体" w:hAnsi="宋体" w:cs="宋体"/>
          <w:b/>
          <w:bCs/>
          <w:spacing w:val="2"/>
          <w:sz w:val="24"/>
        </w:rPr>
      </w:pPr>
      <w:r>
        <w:rPr>
          <w:rFonts w:hint="eastAsia" w:ascii="宋体" w:hAnsi="宋体" w:cs="宋体"/>
          <w:sz w:val="24"/>
        </w:rPr>
        <w:t>11.3 供应商应按照</w:t>
      </w:r>
      <w:r>
        <w:rPr>
          <w:rFonts w:hint="eastAsia" w:ascii="宋体" w:hAnsi="宋体" w:cs="宋体"/>
          <w:spacing w:val="2"/>
          <w:sz w:val="24"/>
        </w:rPr>
        <w:t>采购人</w:t>
      </w:r>
      <w:r>
        <w:rPr>
          <w:rFonts w:hint="eastAsia" w:ascii="宋体" w:hAnsi="宋体" w:cs="宋体"/>
          <w:sz w:val="24"/>
        </w:rPr>
        <w:t>提供的响应文件格式和顺序，自行编制响应文件，但表格可以按同样格式扩展。</w:t>
      </w:r>
    </w:p>
    <w:p>
      <w:pPr>
        <w:spacing w:line="360" w:lineRule="exact"/>
        <w:rPr>
          <w:rFonts w:ascii="宋体" w:hAnsi="宋体" w:cs="宋体"/>
          <w:b/>
          <w:bCs/>
          <w:spacing w:val="2"/>
          <w:sz w:val="24"/>
        </w:rPr>
      </w:pPr>
      <w:r>
        <w:rPr>
          <w:rFonts w:hint="eastAsia" w:ascii="宋体" w:hAnsi="宋体" w:cs="宋体"/>
          <w:b/>
          <w:bCs/>
          <w:spacing w:val="2"/>
          <w:sz w:val="24"/>
        </w:rPr>
        <w:t>12. 竞标报价</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12.1 供应商应按第四章“报价编制说明及依据”的要求进行报价。</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12.2 供应商在竞标截止时间前修改竞标函中的竞标总报价，应同时修改工程量清单中的相应报价。此修改须符合本章第18条的有关要求。</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12.3竞标报价（包含首次报价、最后报价）超过所竞标项目规定的采购预算金额或者最高限价的，其响应文件将作无效处理。</w:t>
      </w:r>
    </w:p>
    <w:p>
      <w:pPr>
        <w:spacing w:line="360" w:lineRule="exact"/>
        <w:rPr>
          <w:rFonts w:ascii="宋体" w:hAnsi="宋体" w:cs="宋体"/>
          <w:b/>
          <w:sz w:val="24"/>
        </w:rPr>
      </w:pPr>
      <w:r>
        <w:rPr>
          <w:rFonts w:hint="eastAsia" w:ascii="宋体" w:hAnsi="宋体" w:cs="宋体"/>
          <w:b/>
          <w:bCs/>
          <w:spacing w:val="2"/>
          <w:sz w:val="24"/>
        </w:rPr>
        <w:t>13. 竞标有效期</w:t>
      </w:r>
    </w:p>
    <w:p>
      <w:pPr>
        <w:spacing w:line="360" w:lineRule="exact"/>
        <w:ind w:firstLine="468" w:firstLineChars="195"/>
        <w:rPr>
          <w:rFonts w:ascii="宋体" w:hAnsi="宋体" w:cs="宋体"/>
          <w:sz w:val="24"/>
        </w:rPr>
      </w:pPr>
      <w:r>
        <w:rPr>
          <w:rFonts w:hint="eastAsia" w:ascii="宋体" w:hAnsi="宋体" w:cs="宋体"/>
          <w:sz w:val="24"/>
        </w:rPr>
        <w:t>13.1 在</w:t>
      </w:r>
      <w:r>
        <w:rPr>
          <w:rFonts w:hint="eastAsia" w:ascii="宋体" w:hAnsi="宋体" w:cs="宋体"/>
          <w:spacing w:val="2"/>
          <w:sz w:val="24"/>
        </w:rPr>
        <w:t>供应商须知前附表</w:t>
      </w:r>
      <w:r>
        <w:rPr>
          <w:rFonts w:hint="eastAsia" w:ascii="宋体" w:hAnsi="宋体" w:cs="宋体"/>
          <w:sz w:val="24"/>
        </w:rPr>
        <w:t>规定的竞标有效期内，供应商不得要求撤销或修改其响应文件。</w:t>
      </w:r>
    </w:p>
    <w:p>
      <w:pPr>
        <w:spacing w:line="360" w:lineRule="exact"/>
        <w:ind w:firstLine="468" w:firstLineChars="195"/>
        <w:rPr>
          <w:rFonts w:ascii="宋体" w:hAnsi="宋体" w:cs="宋体"/>
          <w:sz w:val="24"/>
        </w:rPr>
      </w:pPr>
      <w:r>
        <w:rPr>
          <w:rFonts w:hint="eastAsia" w:ascii="宋体" w:hAnsi="宋体" w:cs="宋体"/>
          <w:sz w:val="24"/>
        </w:rPr>
        <w:t>13.2 出现特殊情况需要延长竞标有效期的，采购人以书面形式通知所有供应商延长竞标有效期。</w:t>
      </w:r>
    </w:p>
    <w:p>
      <w:pPr>
        <w:spacing w:line="360" w:lineRule="exact"/>
        <w:rPr>
          <w:rFonts w:ascii="宋体" w:hAnsi="宋体" w:cs="宋体"/>
          <w:b/>
          <w:bCs/>
          <w:spacing w:val="2"/>
          <w:sz w:val="24"/>
        </w:rPr>
      </w:pPr>
      <w:r>
        <w:rPr>
          <w:rFonts w:hint="eastAsia" w:ascii="宋体" w:hAnsi="宋体" w:cs="宋体"/>
          <w:b/>
          <w:bCs/>
          <w:spacing w:val="2"/>
          <w:sz w:val="24"/>
        </w:rPr>
        <w:t>14. 磋商保证金</w:t>
      </w:r>
    </w:p>
    <w:p>
      <w:pPr>
        <w:spacing w:line="360" w:lineRule="exact"/>
        <w:ind w:firstLine="470" w:firstLineChars="195"/>
        <w:rPr>
          <w:rFonts w:ascii="宋体" w:hAnsi="宋体" w:cs="宋体"/>
          <w:spacing w:val="2"/>
          <w:sz w:val="24"/>
        </w:rPr>
      </w:pPr>
      <w:r>
        <w:rPr>
          <w:rFonts w:hint="eastAsia" w:ascii="宋体" w:hAnsi="宋体" w:cs="宋体"/>
          <w:b/>
          <w:bCs/>
          <w:kern w:val="0"/>
          <w:sz w:val="24"/>
        </w:rPr>
        <w:t>根据百政办电〔2021〕34号《百色市2021年持续优化营商环境行动方案》精神，本项目无需缴纳竞标保证金。</w:t>
      </w:r>
    </w:p>
    <w:p>
      <w:pPr>
        <w:spacing w:line="360" w:lineRule="exact"/>
        <w:rPr>
          <w:rFonts w:ascii="宋体" w:hAnsi="宋体" w:cs="宋体"/>
          <w:b/>
          <w:bCs/>
          <w:spacing w:val="2"/>
          <w:sz w:val="24"/>
        </w:rPr>
      </w:pPr>
      <w:r>
        <w:rPr>
          <w:rFonts w:hint="eastAsia" w:ascii="宋体" w:hAnsi="宋体" w:cs="宋体"/>
          <w:b/>
          <w:bCs/>
          <w:spacing w:val="2"/>
          <w:sz w:val="24"/>
        </w:rPr>
        <w:t>15. 响应文件的编制</w:t>
      </w:r>
    </w:p>
    <w:p>
      <w:pPr>
        <w:spacing w:line="360" w:lineRule="exact"/>
        <w:ind w:firstLine="475" w:firstLineChars="195"/>
        <w:rPr>
          <w:rFonts w:ascii="宋体" w:hAnsi="宋体" w:cs="宋体"/>
          <w:spacing w:val="2"/>
          <w:sz w:val="24"/>
        </w:rPr>
      </w:pPr>
      <w:r>
        <w:rPr>
          <w:rFonts w:hint="eastAsia" w:ascii="宋体" w:hAnsi="宋体" w:cs="宋体"/>
          <w:spacing w:val="2"/>
          <w:sz w:val="24"/>
        </w:rPr>
        <w:t>15.1 响应文件应按第六章“响应文件格式”进行编写，如有必要，可以增加附页，作为响应文件的组成部分。其中，竞标函附录在满足竞争性磋商文件实质性要求的基础上，可以提出比竞争性磋商文件要求更有利于采购人的承诺。</w:t>
      </w:r>
    </w:p>
    <w:p>
      <w:pPr>
        <w:spacing w:line="360" w:lineRule="exact"/>
        <w:ind w:firstLine="475" w:firstLineChars="195"/>
        <w:rPr>
          <w:rFonts w:ascii="宋体" w:hAnsi="宋体" w:cs="宋体"/>
          <w:spacing w:val="2"/>
          <w:sz w:val="24"/>
        </w:rPr>
      </w:pPr>
      <w:r>
        <w:rPr>
          <w:rFonts w:hint="eastAsia" w:ascii="宋体" w:hAnsi="宋体" w:cs="宋体"/>
          <w:spacing w:val="2"/>
          <w:sz w:val="24"/>
        </w:rPr>
        <w:t>15.2 响应文件应当对竞争性磋商文件有关工期、竞标有效期、质量要求、技术标准和要求、竞标范围等实质性内容作出响应。</w:t>
      </w:r>
    </w:p>
    <w:p>
      <w:pPr>
        <w:spacing w:line="360" w:lineRule="exact"/>
        <w:ind w:firstLine="475" w:firstLineChars="195"/>
        <w:rPr>
          <w:rFonts w:ascii="宋体" w:hAnsi="宋体" w:cs="宋体"/>
          <w:spacing w:val="2"/>
          <w:sz w:val="24"/>
        </w:rPr>
      </w:pPr>
      <w:r>
        <w:rPr>
          <w:rFonts w:hint="eastAsia" w:ascii="宋体" w:hAnsi="宋体" w:cs="宋体"/>
          <w:spacing w:val="2"/>
          <w:sz w:val="24"/>
        </w:rPr>
        <w:t>15.3 响应文件应用不褪色的材料书写或打印并加盖法人单位公章，响应文件中要求供应商的法定代表人或其委托代理人签字的项目须按要求签字确认。委托代理人签字的，响应文件须附法定代表人签署的授权委托书。响应文件应尽量避免涂改、行间插字或删除。如果出现上述情况，改动之处须加盖单位章或由供应商的法定代表人或其授权的代理人签字确认。</w:t>
      </w:r>
    </w:p>
    <w:p>
      <w:pPr>
        <w:spacing w:line="360" w:lineRule="exact"/>
        <w:ind w:firstLine="475" w:firstLineChars="195"/>
        <w:rPr>
          <w:rFonts w:hint="eastAsia" w:ascii="宋体" w:hAnsi="宋体" w:eastAsia="宋体" w:cs="宋体"/>
          <w:spacing w:val="2"/>
          <w:sz w:val="24"/>
          <w:lang w:eastAsia="zh-CN"/>
        </w:rPr>
      </w:pPr>
      <w:r>
        <w:rPr>
          <w:rFonts w:hint="eastAsia" w:ascii="宋体" w:hAnsi="宋体" w:cs="宋体"/>
          <w:spacing w:val="2"/>
          <w:sz w:val="24"/>
        </w:rPr>
        <w:t xml:space="preserve">15.4 </w:t>
      </w:r>
      <w:r>
        <w:rPr>
          <w:rFonts w:hint="eastAsia" w:ascii="宋体" w:hAnsi="宋体" w:cs="宋体"/>
          <w:sz w:val="24"/>
        </w:rPr>
        <w:t>响应文件应按资格审查部分、商务部分、技术部分分别编制</w:t>
      </w:r>
      <w:r>
        <w:rPr>
          <w:rFonts w:hint="eastAsia" w:ascii="宋体" w:hAnsi="宋体" w:cs="宋体"/>
          <w:sz w:val="24"/>
          <w:lang w:eastAsia="zh-CN"/>
        </w:rPr>
        <w:t>。</w:t>
      </w:r>
    </w:p>
    <w:p>
      <w:pPr>
        <w:spacing w:after="50" w:line="360" w:lineRule="exact"/>
        <w:jc w:val="center"/>
        <w:rPr>
          <w:rFonts w:ascii="宋体" w:hAnsi="宋体" w:cs="宋体"/>
          <w:b/>
          <w:bCs/>
          <w:spacing w:val="2"/>
          <w:sz w:val="28"/>
        </w:rPr>
      </w:pPr>
    </w:p>
    <w:p>
      <w:pPr>
        <w:pStyle w:val="3"/>
        <w:rPr>
          <w:rFonts w:ascii="宋体" w:hAnsi="宋体" w:eastAsia="宋体" w:cs="宋体"/>
        </w:rPr>
      </w:pPr>
      <w:bookmarkStart w:id="6" w:name="_Toc7616"/>
      <w:r>
        <w:rPr>
          <w:rFonts w:hint="eastAsia" w:ascii="宋体" w:hAnsi="宋体" w:eastAsia="宋体" w:cs="宋体"/>
        </w:rPr>
        <w:t>四、竞标</w:t>
      </w:r>
      <w:bookmarkEnd w:id="6"/>
    </w:p>
    <w:p>
      <w:pPr>
        <w:spacing w:line="360" w:lineRule="auto"/>
        <w:rPr>
          <w:rFonts w:ascii="宋体" w:hAnsi="宋体" w:cs="宋体"/>
          <w:b/>
          <w:bCs/>
          <w:sz w:val="24"/>
        </w:rPr>
      </w:pPr>
      <w:r>
        <w:rPr>
          <w:rFonts w:hint="eastAsia" w:ascii="宋体" w:hAnsi="宋体" w:cs="宋体"/>
          <w:b/>
          <w:spacing w:val="2"/>
          <w:sz w:val="24"/>
        </w:rPr>
        <w:t xml:space="preserve">16. </w:t>
      </w:r>
      <w:r>
        <w:rPr>
          <w:rFonts w:hint="eastAsia" w:ascii="宋体" w:hAnsi="宋体" w:eastAsia="宋体" w:cs="宋体"/>
          <w:b/>
          <w:bCs/>
          <w:spacing w:val="2"/>
          <w:sz w:val="24"/>
        </w:rPr>
        <w:t>响应文件的份数和签署</w:t>
      </w:r>
    </w:p>
    <w:p>
      <w:pPr>
        <w:spacing w:line="360" w:lineRule="exact"/>
        <w:ind w:firstLine="468" w:firstLineChars="195"/>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1供应商按本须知第12条的规定，编制一份响应文件“正本”和前附表第7项所述份数的“副本”。谈判供应商将竞争性谈判响应文件按正、副本分别装订成册，在每个正、副本封面上标明“正本”或“副本”，以及项目名称、项目编号、所竞分标号（如有）、谈判供应商名称等内容。副本可以使用已在指定位置签字盖章的正本的复印件（封面除外），一旦正本和副本不符，以正本为准。</w:t>
      </w:r>
    </w:p>
    <w:p>
      <w:pPr>
        <w:spacing w:line="360" w:lineRule="exact"/>
        <w:ind w:firstLine="468" w:firstLineChars="195"/>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2响应文件正本必须用不褪色的墨水书写或打印，修改处应由法定代表人或委托代理人签名和盖公章，否则将会在评审中按无效竞争性谈判响应文件处理。响应文件由法定代表人或委托代理人在凡规定签名、盖章处逐一用不褪色的墨水签名和加盖单位公章，否则竞标无效。由授权代理人签字或盖章的，响应文件中须同时提交法定代表人授权委托书。法定代表人授权委托书格式、签字、盖章均应符合要求，否则授权无效。</w:t>
      </w:r>
    </w:p>
    <w:p>
      <w:pPr>
        <w:spacing w:line="360" w:lineRule="exact"/>
        <w:ind w:firstLine="468" w:firstLineChars="195"/>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3响应文件应无涂改和行间插字，除非这些删改是根据采购代理机构指示进行的，或者是供应商造成的必须修改的错误，但修改处应由供应商法定代表人或委托代理人用不褪色的墨水签字证明并加盖单位公章，否则其修改无效。</w:t>
      </w:r>
    </w:p>
    <w:p>
      <w:pPr>
        <w:spacing w:line="360" w:lineRule="exact"/>
        <w:ind w:firstLine="468" w:firstLineChars="195"/>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.4字迹潦草、表达不清或未按要求填写的竞争性谈判响应文件可能将被认定为无效的竞争性谈判响应文件。</w:t>
      </w:r>
    </w:p>
    <w:p>
      <w:pPr>
        <w:spacing w:line="360" w:lineRule="exact"/>
        <w:rPr>
          <w:rFonts w:ascii="宋体" w:hAnsi="宋体" w:cs="宋体"/>
          <w:b/>
          <w:bCs/>
          <w:spacing w:val="2"/>
          <w:sz w:val="24"/>
        </w:rPr>
      </w:pPr>
      <w:r>
        <w:rPr>
          <w:rFonts w:hint="eastAsia" w:ascii="宋体" w:hAnsi="宋体" w:cs="宋体"/>
          <w:b/>
          <w:bCs/>
          <w:spacing w:val="2"/>
          <w:sz w:val="24"/>
        </w:rPr>
        <w:t>17. 响应文件的递交</w:t>
      </w:r>
    </w:p>
    <w:p>
      <w:pPr>
        <w:pStyle w:val="23"/>
        <w:spacing w:line="420"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17.1竞争性谈判响应文件应于竞争性谈判文件中规定的时间前递交到指定地点位置。</w:t>
      </w:r>
    </w:p>
    <w:p>
      <w:pPr>
        <w:pStyle w:val="23"/>
        <w:spacing w:line="420"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17.2递交竞争性谈判响应文件的地点：见“供应商须知前附表”。</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17.3逾期送达的或者未送达指定地点的竞争性谈判响应文件，采购代理机构拒绝接收。</w:t>
      </w:r>
    </w:p>
    <w:p>
      <w:pPr>
        <w:spacing w:line="360" w:lineRule="exact"/>
        <w:rPr>
          <w:rFonts w:ascii="宋体" w:hAnsi="宋体" w:cs="宋体"/>
          <w:b/>
          <w:bCs/>
          <w:spacing w:val="2"/>
          <w:sz w:val="24"/>
        </w:rPr>
      </w:pPr>
      <w:r>
        <w:rPr>
          <w:rFonts w:hint="eastAsia" w:ascii="宋体" w:hAnsi="宋体" w:cs="宋体"/>
          <w:b/>
          <w:bCs/>
          <w:spacing w:val="2"/>
          <w:sz w:val="24"/>
        </w:rPr>
        <w:t>18. 响应文件的修改和撤回</w:t>
      </w:r>
    </w:p>
    <w:p>
      <w:pPr>
        <w:spacing w:line="360" w:lineRule="auto"/>
        <w:ind w:firstLine="420"/>
        <w:rPr>
          <w:rFonts w:ascii="宋体" w:hAnsi="宋体" w:cs="宋体"/>
          <w:sz w:val="24"/>
        </w:rPr>
      </w:pPr>
      <w:r>
        <w:rPr>
          <w:rFonts w:hint="eastAsia" w:ascii="宋体" w:hAnsi="宋体" w:cs="宋体"/>
          <w:spacing w:val="2"/>
          <w:sz w:val="24"/>
        </w:rPr>
        <w:t>供应商应当在截止时间前完成响应文件的提交，并可以补充、修改或者撤回响应文件。补充或者修改响应文件的，应当先行撤回原文件，补充、修改后重新递交。截止时间前未完成递交的，视为撤回响应文件。截止时间后递交的响应文件，将予以拒收。</w:t>
      </w:r>
    </w:p>
    <w:p>
      <w:pPr>
        <w:pStyle w:val="23"/>
        <w:spacing w:after="50" w:line="360" w:lineRule="exact"/>
        <w:jc w:val="center"/>
        <w:rPr>
          <w:rFonts w:hAnsi="宋体" w:cs="宋体"/>
          <w:b/>
          <w:bCs/>
          <w:spacing w:val="2"/>
          <w:sz w:val="28"/>
        </w:rPr>
      </w:pPr>
    </w:p>
    <w:p>
      <w:pPr>
        <w:pStyle w:val="3"/>
        <w:rPr>
          <w:rFonts w:ascii="宋体" w:hAnsi="宋体" w:eastAsia="宋体" w:cs="宋体"/>
        </w:rPr>
      </w:pPr>
      <w:bookmarkStart w:id="7" w:name="_Toc4734"/>
      <w:r>
        <w:rPr>
          <w:rFonts w:hint="eastAsia" w:ascii="宋体" w:hAnsi="宋体" w:eastAsia="宋体" w:cs="宋体"/>
        </w:rPr>
        <w:t>五、评审及磋商</w:t>
      </w:r>
      <w:bookmarkEnd w:id="7"/>
    </w:p>
    <w:p>
      <w:pPr>
        <w:pStyle w:val="23"/>
        <w:spacing w:line="360" w:lineRule="exact"/>
        <w:rPr>
          <w:rFonts w:hAnsi="宋体" w:cs="宋体"/>
          <w:b/>
          <w:sz w:val="24"/>
        </w:rPr>
      </w:pPr>
      <w:r>
        <w:rPr>
          <w:rFonts w:hint="eastAsia" w:hAnsi="宋体" w:cs="宋体"/>
          <w:b/>
          <w:sz w:val="24"/>
        </w:rPr>
        <w:t>19. 1 磋商时间和地点</w:t>
      </w:r>
    </w:p>
    <w:p>
      <w:pPr>
        <w:tabs>
          <w:tab w:val="left" w:pos="-10"/>
          <w:tab w:val="left" w:pos="996"/>
        </w:tabs>
        <w:adjustRightInd w:val="0"/>
        <w:spacing w:line="360" w:lineRule="exact"/>
        <w:ind w:firstLine="480" w:firstLineChars="200"/>
        <w:textAlignment w:val="baseline"/>
        <w:rPr>
          <w:rFonts w:ascii="宋体" w:hAnsi="宋体" w:cs="宋体"/>
          <w:sz w:val="24"/>
        </w:rPr>
      </w:pPr>
      <w:r>
        <w:rPr>
          <w:rFonts w:hint="eastAsia" w:ascii="宋体" w:hAnsi="宋体" w:cs="宋体"/>
          <w:sz w:val="24"/>
        </w:rPr>
        <w:t>本项目要求竞标人到达开标现场，竞标人应派法定代表人或委托代理人在“供应商须知前附表”规定的时间准时出席开评标会议。</w:t>
      </w:r>
    </w:p>
    <w:p>
      <w:pPr>
        <w:pStyle w:val="23"/>
        <w:spacing w:line="360" w:lineRule="exact"/>
        <w:rPr>
          <w:rFonts w:hAnsi="宋体" w:cs="宋体"/>
          <w:b/>
          <w:sz w:val="24"/>
        </w:rPr>
      </w:pPr>
      <w:r>
        <w:rPr>
          <w:rFonts w:hint="eastAsia" w:hAnsi="宋体" w:cs="宋体"/>
          <w:b/>
          <w:sz w:val="24"/>
        </w:rPr>
        <w:t>19．2 磋商小组</w:t>
      </w:r>
    </w:p>
    <w:p>
      <w:pPr>
        <w:spacing w:line="360" w:lineRule="exact"/>
        <w:ind w:firstLine="420"/>
        <w:rPr>
          <w:rFonts w:ascii="宋体" w:hAnsi="宋体" w:cs="宋体"/>
          <w:spacing w:val="2"/>
          <w:sz w:val="24"/>
        </w:rPr>
      </w:pPr>
      <w:r>
        <w:rPr>
          <w:rFonts w:hint="eastAsia" w:ascii="宋体" w:hAnsi="宋体" w:cs="宋体"/>
          <w:spacing w:val="2"/>
          <w:sz w:val="24"/>
        </w:rPr>
        <w:t>19.1磋商小组由采购人代表和评审专家共3人单数组成，其中评审专家人数不得少于磋商小组成员总数的2/3。采购人代表不得以评审专家身份参加本部门或者本单位采购项目的评审。采购代理机构人员不得参加本机构代理的采购项目的评审。</w:t>
      </w:r>
    </w:p>
    <w:p>
      <w:pPr>
        <w:spacing w:line="360" w:lineRule="exact"/>
        <w:ind w:firstLine="420"/>
        <w:rPr>
          <w:rFonts w:ascii="宋体" w:hAnsi="宋体" w:cs="宋体"/>
          <w:sz w:val="24"/>
        </w:rPr>
      </w:pPr>
      <w:r>
        <w:rPr>
          <w:rFonts w:hint="eastAsia" w:ascii="宋体" w:hAnsi="宋体" w:cs="宋体"/>
          <w:spacing w:val="2"/>
          <w:sz w:val="24"/>
        </w:rPr>
        <w:t>19.2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pStyle w:val="23"/>
        <w:spacing w:line="360" w:lineRule="exact"/>
        <w:rPr>
          <w:rFonts w:hAnsi="宋体" w:cs="宋体"/>
          <w:b/>
          <w:sz w:val="24"/>
        </w:rPr>
      </w:pPr>
      <w:r>
        <w:rPr>
          <w:rFonts w:hint="eastAsia" w:hAnsi="宋体" w:cs="宋体"/>
          <w:b/>
          <w:sz w:val="24"/>
        </w:rPr>
        <w:t>2</w:t>
      </w:r>
      <w:r>
        <w:rPr>
          <w:rFonts w:hint="eastAsia" w:hAnsi="宋体" w:cs="宋体"/>
          <w:b/>
          <w:sz w:val="24"/>
          <w:lang w:val="en-US" w:eastAsia="zh-CN"/>
        </w:rPr>
        <w:t>0</w:t>
      </w:r>
      <w:r>
        <w:rPr>
          <w:rFonts w:hint="eastAsia" w:hAnsi="宋体" w:cs="宋体"/>
          <w:b/>
          <w:sz w:val="24"/>
        </w:rPr>
        <w:t>.评审程序、评审方法和评审标准</w:t>
      </w:r>
    </w:p>
    <w:p>
      <w:pPr>
        <w:spacing w:line="360" w:lineRule="exact"/>
        <w:ind w:firstLine="480" w:firstLineChars="200"/>
        <w:rPr>
          <w:rFonts w:ascii="宋体" w:hAnsi="宋体" w:cs="宋体"/>
          <w:sz w:val="24"/>
        </w:rPr>
      </w:pPr>
      <w:r>
        <w:rPr>
          <w:rFonts w:hint="eastAsia" w:ascii="宋体" w:hAnsi="宋体" w:cs="宋体"/>
          <w:sz w:val="24"/>
        </w:rPr>
        <w:t>21.1本项目的评审方法为综合评分法。</w:t>
      </w:r>
    </w:p>
    <w:p>
      <w:pPr>
        <w:spacing w:line="360" w:lineRule="exact"/>
        <w:ind w:firstLine="480" w:firstLineChars="200"/>
        <w:rPr>
          <w:rFonts w:ascii="宋体" w:hAnsi="宋体" w:cs="宋体"/>
          <w:sz w:val="24"/>
        </w:rPr>
      </w:pPr>
      <w:r>
        <w:rPr>
          <w:rFonts w:hint="eastAsia" w:ascii="宋体" w:hAnsi="宋体" w:cs="宋体"/>
          <w:sz w:val="24"/>
        </w:rPr>
        <w:t>21.2磋商小组按照“第三章 评审程序、评审方法和评审标准”规定的方法、评审因素、标准和程序对响应文件进行评审。</w:t>
      </w:r>
    </w:p>
    <w:p>
      <w:pPr>
        <w:pStyle w:val="23"/>
        <w:spacing w:line="360" w:lineRule="exact"/>
        <w:rPr>
          <w:rFonts w:hAnsi="宋体" w:cs="宋体"/>
          <w:b/>
          <w:sz w:val="24"/>
        </w:rPr>
      </w:pPr>
      <w:r>
        <w:rPr>
          <w:rFonts w:hint="eastAsia" w:hAnsi="宋体" w:cs="宋体"/>
          <w:b/>
          <w:sz w:val="24"/>
        </w:rPr>
        <w:t>21.确定成交供应商及结果公告</w:t>
      </w:r>
    </w:p>
    <w:p>
      <w:pPr>
        <w:spacing w:line="360" w:lineRule="exact"/>
        <w:ind w:firstLine="480" w:firstLineChars="200"/>
        <w:rPr>
          <w:rFonts w:ascii="宋体" w:hAnsi="宋体" w:cs="宋体"/>
          <w:sz w:val="24"/>
        </w:rPr>
      </w:pPr>
      <w:r>
        <w:rPr>
          <w:rFonts w:hint="eastAsia" w:ascii="宋体" w:hAnsi="宋体" w:cs="宋体"/>
          <w:sz w:val="24"/>
        </w:rPr>
        <w:t>21.1</w:t>
      </w:r>
      <w:r>
        <w:rPr>
          <w:rFonts w:hint="eastAsia" w:ascii="宋体" w:hAnsi="宋体" w:cs="宋体"/>
          <w:kern w:val="0"/>
          <w:sz w:val="24"/>
        </w:rPr>
        <w:t xml:space="preserve"> </w:t>
      </w: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exact"/>
        <w:ind w:firstLine="480" w:firstLineChars="200"/>
        <w:rPr>
          <w:rFonts w:ascii="宋体" w:hAnsi="宋体" w:cs="宋体"/>
          <w:sz w:val="24"/>
        </w:rPr>
      </w:pPr>
      <w:r>
        <w:rPr>
          <w:rFonts w:hint="eastAsia" w:ascii="宋体" w:hAnsi="宋体" w:cs="宋体"/>
          <w:sz w:val="24"/>
        </w:rPr>
        <w:t>21.2采购代理机构应当在</w:t>
      </w:r>
      <w:r>
        <w:rPr>
          <w:rFonts w:hint="eastAsia" w:ascii="宋体" w:hAnsi="宋体" w:cs="宋体"/>
          <w:kern w:val="0"/>
          <w:sz w:val="24"/>
        </w:rPr>
        <w:t>成交</w:t>
      </w:r>
      <w:r>
        <w:rPr>
          <w:rFonts w:hint="eastAsia" w:ascii="宋体" w:hAnsi="宋体" w:cs="宋体"/>
          <w:sz w:val="24"/>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360" w:lineRule="exact"/>
        <w:ind w:firstLine="480" w:firstLineChars="200"/>
        <w:rPr>
          <w:rFonts w:ascii="宋体" w:hAnsi="宋体" w:cs="宋体"/>
          <w:sz w:val="24"/>
        </w:rPr>
      </w:pPr>
      <w:r>
        <w:rPr>
          <w:rFonts w:hint="eastAsia" w:ascii="宋体" w:hAnsi="宋体" w:cs="宋体"/>
          <w:sz w:val="24"/>
        </w:rPr>
        <w:t>21.3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pStyle w:val="13"/>
        <w:spacing w:line="360" w:lineRule="exact"/>
        <w:rPr>
          <w:rFonts w:ascii="宋体" w:hAnsi="宋体" w:cs="宋体"/>
          <w:bCs/>
          <w:sz w:val="24"/>
        </w:rPr>
      </w:pPr>
      <w:r>
        <w:rPr>
          <w:rFonts w:hint="eastAsia" w:ascii="宋体" w:hAnsi="宋体" w:cs="宋体"/>
          <w:bCs/>
          <w:sz w:val="24"/>
        </w:rPr>
        <w:t>21.4</w:t>
      </w:r>
      <w:r>
        <w:rPr>
          <w:rFonts w:hint="eastAsia" w:ascii="宋体" w:hAnsi="宋体" w:cs="宋体"/>
          <w:sz w:val="24"/>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exact"/>
        <w:rPr>
          <w:rFonts w:ascii="宋体" w:hAnsi="宋体" w:cs="宋体"/>
          <w:b/>
          <w:bCs/>
          <w:sz w:val="24"/>
        </w:rPr>
      </w:pPr>
      <w:r>
        <w:rPr>
          <w:rFonts w:hint="eastAsia" w:ascii="宋体" w:hAnsi="宋体" w:cs="宋体"/>
          <w:b/>
          <w:bCs/>
          <w:sz w:val="24"/>
        </w:rPr>
        <w:t>22. 评标内容的保密</w:t>
      </w:r>
    </w:p>
    <w:p>
      <w:pPr>
        <w:spacing w:line="360" w:lineRule="exact"/>
        <w:ind w:firstLine="480" w:firstLineChars="200"/>
        <w:rPr>
          <w:rFonts w:ascii="宋体" w:hAnsi="宋体" w:cs="宋体"/>
          <w:bCs/>
          <w:sz w:val="24"/>
        </w:rPr>
      </w:pPr>
      <w:r>
        <w:rPr>
          <w:rFonts w:hint="eastAsia" w:ascii="宋体" w:hAnsi="宋体" w:cs="宋体"/>
          <w:bCs/>
          <w:sz w:val="24"/>
        </w:rPr>
        <w:t>22.1 在评标活动中，凡属于审查、澄清、评价和比较竞标的有关资料及有关授予合同的信息，都不应向供应商或与评标无关的其他人泄露。</w:t>
      </w:r>
    </w:p>
    <w:p>
      <w:pPr>
        <w:spacing w:line="360" w:lineRule="exact"/>
        <w:ind w:firstLine="480" w:firstLineChars="200"/>
        <w:rPr>
          <w:rFonts w:ascii="宋体" w:hAnsi="宋体" w:cs="宋体"/>
          <w:bCs/>
          <w:sz w:val="24"/>
        </w:rPr>
      </w:pPr>
      <w:r>
        <w:rPr>
          <w:rFonts w:hint="eastAsia" w:ascii="宋体" w:hAnsi="宋体" w:cs="宋体"/>
          <w:bCs/>
          <w:sz w:val="24"/>
        </w:rPr>
        <w:t>22.2 在响应文件的审查、澄清、评价和比较以及授予合同的过程中，供应商对采购人和磋商小组成员施加影响的任何行为，都将导致被取消竞标资格。</w:t>
      </w:r>
    </w:p>
    <w:p>
      <w:pPr>
        <w:spacing w:after="50" w:line="360" w:lineRule="exact"/>
        <w:jc w:val="center"/>
        <w:rPr>
          <w:rFonts w:ascii="宋体" w:hAnsi="宋体" w:cs="宋体"/>
          <w:b/>
          <w:bCs/>
          <w:sz w:val="30"/>
          <w:szCs w:val="30"/>
        </w:rPr>
      </w:pPr>
    </w:p>
    <w:p>
      <w:pPr>
        <w:pStyle w:val="3"/>
        <w:rPr>
          <w:rFonts w:ascii="宋体" w:hAnsi="宋体" w:eastAsia="宋体" w:cs="宋体"/>
        </w:rPr>
      </w:pPr>
      <w:bookmarkStart w:id="8" w:name="_Toc22546"/>
      <w:r>
        <w:rPr>
          <w:rFonts w:hint="eastAsia" w:ascii="宋体" w:hAnsi="宋体" w:eastAsia="宋体" w:cs="宋体"/>
        </w:rPr>
        <w:t>七、合同授予</w:t>
      </w:r>
      <w:bookmarkEnd w:id="8"/>
    </w:p>
    <w:p>
      <w:pPr>
        <w:spacing w:line="340" w:lineRule="exact"/>
        <w:rPr>
          <w:rFonts w:ascii="宋体" w:hAnsi="宋体" w:cs="宋体"/>
          <w:b/>
          <w:bCs/>
          <w:sz w:val="24"/>
        </w:rPr>
      </w:pPr>
      <w:r>
        <w:rPr>
          <w:rFonts w:hint="eastAsia" w:ascii="宋体" w:hAnsi="宋体" w:cs="宋体"/>
          <w:b/>
          <w:bCs/>
          <w:sz w:val="24"/>
        </w:rPr>
        <w:t>23. 成交通知</w:t>
      </w:r>
    </w:p>
    <w:p>
      <w:pPr>
        <w:spacing w:line="340" w:lineRule="exact"/>
        <w:ind w:firstLine="480" w:firstLineChars="200"/>
        <w:rPr>
          <w:rFonts w:ascii="宋体" w:hAnsi="宋体" w:cs="宋体"/>
          <w:sz w:val="24"/>
        </w:rPr>
      </w:pPr>
      <w:r>
        <w:rPr>
          <w:rFonts w:hint="eastAsia" w:ascii="宋体" w:hAnsi="宋体" w:cs="宋体"/>
          <w:sz w:val="24"/>
        </w:rPr>
        <w:t>23.1 采购人和采购代理机构在成交结果公示的同时</w:t>
      </w:r>
      <w:r>
        <w:rPr>
          <w:rFonts w:hint="eastAsia" w:ascii="宋体" w:hAnsi="宋体" w:cs="宋体"/>
          <w:spacing w:val="2"/>
          <w:sz w:val="24"/>
        </w:rPr>
        <w:t>向成交人发出成交通知书</w:t>
      </w:r>
      <w:r>
        <w:rPr>
          <w:rFonts w:hint="eastAsia" w:ascii="宋体" w:hAnsi="宋体" w:cs="宋体"/>
          <w:sz w:val="24"/>
        </w:rPr>
        <w:t>。</w:t>
      </w:r>
    </w:p>
    <w:p>
      <w:pPr>
        <w:spacing w:line="340" w:lineRule="exact"/>
        <w:ind w:firstLine="480" w:firstLineChars="200"/>
        <w:rPr>
          <w:rFonts w:ascii="宋体" w:hAnsi="宋体" w:cs="宋体"/>
          <w:sz w:val="24"/>
        </w:rPr>
      </w:pPr>
      <w:r>
        <w:rPr>
          <w:rFonts w:hint="eastAsia" w:ascii="宋体" w:hAnsi="宋体" w:cs="宋体"/>
          <w:sz w:val="24"/>
        </w:rPr>
        <w:t>23.2 在该通知书（以下合同条件中称“成交通知书”）中给出</w:t>
      </w:r>
      <w:r>
        <w:rPr>
          <w:rFonts w:hint="eastAsia" w:ascii="宋体" w:hAnsi="宋体" w:cs="宋体"/>
          <w:spacing w:val="2"/>
          <w:sz w:val="24"/>
        </w:rPr>
        <w:t>采购人</w:t>
      </w:r>
      <w:r>
        <w:rPr>
          <w:rFonts w:hint="eastAsia" w:ascii="宋体" w:hAnsi="宋体" w:cs="宋体"/>
          <w:sz w:val="24"/>
        </w:rPr>
        <w:t>对成交的供应商按本合同施工、竣工和保修工程的成交价（以下合同条件中称为“合同价格”），以及工期、质量和有关合同签订的日期、地点。</w:t>
      </w:r>
    </w:p>
    <w:p>
      <w:pPr>
        <w:spacing w:line="340" w:lineRule="exact"/>
        <w:ind w:firstLine="480" w:firstLineChars="200"/>
        <w:rPr>
          <w:rFonts w:ascii="宋体" w:hAnsi="宋体" w:cs="宋体"/>
          <w:sz w:val="24"/>
        </w:rPr>
      </w:pPr>
      <w:r>
        <w:rPr>
          <w:rFonts w:hint="eastAsia" w:ascii="宋体" w:hAnsi="宋体" w:cs="宋体"/>
          <w:sz w:val="24"/>
        </w:rPr>
        <w:t>24.3 成交通知书为合同的组成部分。</w:t>
      </w:r>
    </w:p>
    <w:p>
      <w:pPr>
        <w:pStyle w:val="23"/>
        <w:spacing w:line="360" w:lineRule="exact"/>
        <w:ind w:firstLine="480" w:firstLineChars="200"/>
        <w:rPr>
          <w:rFonts w:hAnsi="宋体" w:cs="宋体"/>
          <w:sz w:val="24"/>
        </w:rPr>
      </w:pPr>
      <w:r>
        <w:rPr>
          <w:rFonts w:hint="eastAsia" w:hAnsi="宋体" w:cs="宋体"/>
          <w:sz w:val="24"/>
        </w:rPr>
        <w:t xml:space="preserve">25.4 </w:t>
      </w:r>
      <w:r>
        <w:rPr>
          <w:rFonts w:hint="eastAsia" w:hAnsi="宋体" w:cs="宋体"/>
          <w:spacing w:val="2"/>
          <w:sz w:val="24"/>
        </w:rPr>
        <w:t>采购人及采购代理机构</w:t>
      </w:r>
      <w:r>
        <w:rPr>
          <w:rFonts w:hint="eastAsia" w:hAnsi="宋体" w:cs="宋体"/>
          <w:sz w:val="24"/>
        </w:rPr>
        <w:t>应及时将未成交的结果通知其他供应商。</w:t>
      </w:r>
    </w:p>
    <w:p>
      <w:pPr>
        <w:spacing w:line="360" w:lineRule="exact"/>
        <w:rPr>
          <w:rFonts w:ascii="宋体" w:hAnsi="宋体" w:cs="宋体"/>
          <w:b/>
          <w:sz w:val="24"/>
        </w:rPr>
      </w:pPr>
      <w:r>
        <w:rPr>
          <w:rFonts w:hint="eastAsia" w:ascii="宋体" w:hAnsi="宋体" w:cs="宋体"/>
          <w:b/>
          <w:sz w:val="24"/>
        </w:rPr>
        <w:t>24. 履约保证金</w:t>
      </w:r>
    </w:p>
    <w:p>
      <w:pPr>
        <w:spacing w:line="360" w:lineRule="exact"/>
        <w:ind w:firstLine="482" w:firstLineChars="200"/>
        <w:rPr>
          <w:rFonts w:ascii="宋体" w:hAnsi="宋体" w:cs="宋体"/>
          <w:sz w:val="24"/>
        </w:rPr>
      </w:pPr>
      <w:r>
        <w:rPr>
          <w:rFonts w:hint="eastAsia" w:ascii="宋体" w:hAnsi="宋体" w:cs="宋体"/>
          <w:b/>
          <w:bCs/>
          <w:kern w:val="0"/>
          <w:sz w:val="24"/>
        </w:rPr>
        <w:t>根据百政办电〔2021〕34号《百色市2021年持续优化营商环境行动方案》精神，本项目无需缴纳履约保证金</w:t>
      </w:r>
      <w:r>
        <w:rPr>
          <w:rFonts w:hint="eastAsia" w:ascii="宋体" w:hAnsi="宋体" w:cs="宋体"/>
          <w:b/>
          <w:kern w:val="0"/>
          <w:sz w:val="24"/>
        </w:rPr>
        <w:t>。</w:t>
      </w:r>
    </w:p>
    <w:p>
      <w:pPr>
        <w:spacing w:line="360" w:lineRule="exact"/>
        <w:rPr>
          <w:rFonts w:ascii="宋体" w:hAnsi="宋体" w:cs="宋体"/>
          <w:b/>
          <w:bCs/>
          <w:sz w:val="24"/>
        </w:rPr>
      </w:pPr>
      <w:r>
        <w:rPr>
          <w:rFonts w:hint="eastAsia" w:ascii="宋体" w:hAnsi="宋体" w:cs="宋体"/>
          <w:b/>
          <w:bCs/>
          <w:sz w:val="24"/>
        </w:rPr>
        <w:t>25. 签订合同</w:t>
      </w:r>
    </w:p>
    <w:p>
      <w:pPr>
        <w:pStyle w:val="23"/>
        <w:spacing w:line="360" w:lineRule="exact"/>
        <w:ind w:firstLine="480" w:firstLineChars="200"/>
        <w:rPr>
          <w:rFonts w:hAnsi="宋体" w:cs="宋体"/>
          <w:sz w:val="24"/>
        </w:rPr>
      </w:pPr>
      <w:r>
        <w:rPr>
          <w:rFonts w:hint="eastAsia" w:hAnsi="宋体" w:cs="宋体"/>
          <w:sz w:val="24"/>
        </w:rPr>
        <w:t>25.1成交供应商在收到成交通知书后，按须知前附表规定向采购人出示相关证明材料，经采购人核验合格后方可签订合同。</w:t>
      </w:r>
    </w:p>
    <w:p>
      <w:pPr>
        <w:pStyle w:val="23"/>
        <w:spacing w:line="360" w:lineRule="exact"/>
        <w:ind w:firstLine="480" w:firstLineChars="200"/>
        <w:rPr>
          <w:rFonts w:hAnsi="宋体" w:cs="宋体"/>
          <w:sz w:val="24"/>
        </w:rPr>
      </w:pPr>
      <w:r>
        <w:rPr>
          <w:rFonts w:hint="eastAsia" w:hAnsi="宋体" w:cs="宋体"/>
          <w:sz w:val="24"/>
        </w:rPr>
        <w:t>25.2 签订合同时间：按成交通知书的规定与采购人签订政府采购合同。</w:t>
      </w:r>
    </w:p>
    <w:p>
      <w:pPr>
        <w:pStyle w:val="23"/>
        <w:spacing w:line="360" w:lineRule="exact"/>
        <w:ind w:firstLine="480" w:firstLineChars="200"/>
        <w:rPr>
          <w:rFonts w:hAnsi="宋体" w:cs="宋体"/>
          <w:sz w:val="24"/>
        </w:rPr>
      </w:pPr>
      <w:r>
        <w:rPr>
          <w:rFonts w:hint="eastAsia" w:hAnsi="宋体" w:cs="宋体"/>
          <w:sz w:val="24"/>
        </w:rPr>
        <w:t>25.3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exact"/>
        <w:rPr>
          <w:rFonts w:ascii="宋体" w:hAnsi="宋体" w:cs="宋体"/>
          <w:b/>
          <w:bCs/>
          <w:sz w:val="24"/>
        </w:rPr>
      </w:pPr>
      <w:r>
        <w:rPr>
          <w:rFonts w:hint="eastAsia" w:ascii="宋体" w:hAnsi="宋体" w:cs="宋体"/>
          <w:b/>
          <w:bCs/>
          <w:sz w:val="24"/>
        </w:rPr>
        <w:t>26.政府采购合同公告</w:t>
      </w:r>
    </w:p>
    <w:p>
      <w:pPr>
        <w:pStyle w:val="23"/>
        <w:spacing w:line="360" w:lineRule="exact"/>
        <w:ind w:firstLine="480" w:firstLineChars="200"/>
        <w:rPr>
          <w:rFonts w:hAnsi="宋体" w:cs="宋体"/>
          <w:sz w:val="24"/>
        </w:rPr>
      </w:pPr>
      <w:r>
        <w:rPr>
          <w:rFonts w:hint="eastAsia" w:hAnsi="宋体" w:cs="宋体"/>
          <w:sz w:val="24"/>
        </w:rPr>
        <w:t>根据2021年广西壮族自治区优化营商环境相关要求，采购人应当自政府采购合同签订之日起2个工作日内，将政府采购合同通过委托的代理机构在广西政府采购网上公告，但政府采购合同中涉及国家秘密、商业秘密的内容除外。</w:t>
      </w:r>
    </w:p>
    <w:p>
      <w:pPr>
        <w:pStyle w:val="3"/>
        <w:rPr>
          <w:rFonts w:ascii="宋体" w:hAnsi="宋体" w:eastAsia="宋体" w:cs="宋体"/>
        </w:rPr>
      </w:pPr>
      <w:bookmarkStart w:id="9" w:name="_Toc14110"/>
      <w:r>
        <w:rPr>
          <w:rFonts w:hint="eastAsia" w:ascii="宋体" w:hAnsi="宋体" w:eastAsia="宋体" w:cs="宋体"/>
        </w:rPr>
        <w:t>八、其他</w:t>
      </w:r>
      <w:bookmarkEnd w:id="9"/>
    </w:p>
    <w:p>
      <w:pPr>
        <w:spacing w:line="340" w:lineRule="exact"/>
        <w:rPr>
          <w:rFonts w:ascii="宋体" w:hAnsi="宋体" w:cs="宋体"/>
          <w:b/>
        </w:rPr>
      </w:pPr>
      <w:r>
        <w:rPr>
          <w:rFonts w:hint="eastAsia" w:ascii="宋体" w:hAnsi="宋体" w:cs="宋体"/>
          <w:b/>
        </w:rPr>
        <w:t>27. 成交代理服务费</w:t>
      </w:r>
    </w:p>
    <w:p>
      <w:pPr>
        <w:spacing w:line="340" w:lineRule="exact"/>
        <w:ind w:firstLine="480" w:firstLineChars="200"/>
        <w:rPr>
          <w:rFonts w:ascii="宋体" w:hAnsi="宋体" w:cs="宋体"/>
          <w:sz w:val="24"/>
        </w:rPr>
      </w:pPr>
      <w:r>
        <w:rPr>
          <w:rFonts w:hint="eastAsia" w:ascii="宋体" w:hAnsi="宋体" w:cs="宋体"/>
          <w:sz w:val="24"/>
        </w:rPr>
        <w:t>27.1代理服务费按桂价费字〔2011〕55号文件“工程类”标准计取，由成交人在领取通知书时向采购代理机构一次性支付[成交价低于100万按成交金额的百分之一（1%）计费，100万以上的代理服务费按差额定率累进法计算计费]</w:t>
      </w:r>
      <w:r>
        <w:rPr>
          <w:rFonts w:hint="eastAsia" w:ascii="宋体" w:hAnsi="宋体" w:cs="宋体"/>
          <w:sz w:val="24"/>
          <w:lang w:val="zh-CN"/>
        </w:rPr>
        <w:t>。</w:t>
      </w:r>
      <w:r>
        <w:rPr>
          <w:rFonts w:hint="eastAsia" w:ascii="宋体" w:hAnsi="宋体" w:cs="宋体"/>
          <w:kern w:val="0"/>
          <w:sz w:val="24"/>
        </w:rPr>
        <w:t>具体标准如下：</w:t>
      </w:r>
    </w:p>
    <w:p>
      <w:pPr>
        <w:spacing w:line="400" w:lineRule="exact"/>
        <w:jc w:val="center"/>
        <w:rPr>
          <w:rFonts w:ascii="宋体" w:hAnsi="宋体" w:cs="宋体"/>
          <w:sz w:val="24"/>
        </w:rPr>
      </w:pPr>
      <w:r>
        <w:rPr>
          <w:rFonts w:hint="eastAsia" w:ascii="宋体" w:hAnsi="宋体" w:cs="宋体"/>
          <w:sz w:val="24"/>
        </w:rPr>
        <w:t>采购代理服务收费标准</w:t>
      </w: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719" w:type="dxa"/>
          </w:tcPr>
          <w:p>
            <w:pPr>
              <w:pStyle w:val="23"/>
              <w:spacing w:line="400" w:lineRule="exact"/>
              <w:ind w:left="25"/>
              <w:rPr>
                <w:rFonts w:hAnsi="宋体" w:cs="宋体"/>
                <w:sz w:val="24"/>
              </w:rPr>
            </w:pPr>
            <w:r>
              <w:rPr>
                <w:rFonts w:hAnsi="宋体" w:cs="宋体"/>
                <w:sz w:val="24"/>
              </w:rPr>
              <w:pict>
                <v:line id="直线 99" o:spid="_x0000_s1033" o:spt="20" style="position:absolute;left:0pt;margin-left:27.7pt;margin-top:-0.35pt;height:36.1pt;width:101.95pt;z-index:251659264;mso-width-relative:page;mso-height-relative:page;" coordsize="21600,21600">
                  <v:path arrowok="t"/>
                  <v:fill focussize="0,0"/>
                  <v:stroke/>
                  <v:imagedata o:title=""/>
                  <o:lock v:ext="edit"/>
                </v:line>
              </w:pict>
            </w:r>
            <w:r>
              <w:rPr>
                <w:rFonts w:hint="eastAsia" w:hAnsi="宋体" w:cs="宋体"/>
                <w:sz w:val="24"/>
              </w:rPr>
              <w:t>费率           服务类型</w:t>
            </w:r>
          </w:p>
          <w:p>
            <w:pPr>
              <w:pStyle w:val="23"/>
              <w:spacing w:line="400" w:lineRule="exact"/>
              <w:ind w:left="25"/>
              <w:rPr>
                <w:rFonts w:hAnsi="宋体" w:cs="宋体"/>
                <w:sz w:val="24"/>
              </w:rPr>
            </w:pPr>
            <w:r>
              <w:rPr>
                <w:rFonts w:hAnsi="宋体" w:cs="宋体"/>
                <w:sz w:val="24"/>
              </w:rPr>
              <w:pict>
                <v:line id="直线 100" o:spid="_x0000_s1034" o:spt="20" style="position:absolute;left:0pt;margin-left:-5.25pt;margin-top:3.55pt;height:13.2pt;width:134.9pt;z-index:251659264;mso-width-relative:page;mso-height-relative:page;" coordsize="21600,21600">
                  <v:path arrowok="t"/>
                  <v:fill focussize="0,0"/>
                  <v:stroke/>
                  <v:imagedata o:title=""/>
                  <o:lock v:ext="edit"/>
                </v:line>
              </w:pict>
            </w:r>
          </w:p>
          <w:p>
            <w:pPr>
              <w:pStyle w:val="23"/>
              <w:spacing w:line="400" w:lineRule="exact"/>
              <w:ind w:left="25"/>
              <w:rPr>
                <w:rFonts w:hAnsi="宋体" w:cs="宋体"/>
                <w:sz w:val="24"/>
              </w:rPr>
            </w:pPr>
            <w:r>
              <w:rPr>
                <w:rFonts w:hint="eastAsia" w:hAnsi="宋体" w:cs="宋体"/>
                <w:sz w:val="24"/>
              </w:rPr>
              <w:t>成交金额（万元）</w:t>
            </w:r>
          </w:p>
        </w:tc>
        <w:tc>
          <w:tcPr>
            <w:tcW w:w="2002" w:type="dxa"/>
            <w:vAlign w:val="center"/>
          </w:tcPr>
          <w:p>
            <w:pPr>
              <w:pStyle w:val="23"/>
              <w:spacing w:line="400" w:lineRule="exact"/>
              <w:ind w:left="25"/>
              <w:jc w:val="center"/>
              <w:rPr>
                <w:rFonts w:hAnsi="宋体" w:cs="宋体"/>
                <w:sz w:val="24"/>
              </w:rPr>
            </w:pPr>
            <w:r>
              <w:rPr>
                <w:rFonts w:hint="eastAsia" w:hAnsi="宋体" w:cs="宋体"/>
                <w:sz w:val="24"/>
              </w:rPr>
              <w:t>货物招标</w:t>
            </w:r>
          </w:p>
        </w:tc>
        <w:tc>
          <w:tcPr>
            <w:tcW w:w="1992" w:type="dxa"/>
            <w:vAlign w:val="center"/>
          </w:tcPr>
          <w:p>
            <w:pPr>
              <w:pStyle w:val="23"/>
              <w:spacing w:line="400" w:lineRule="exact"/>
              <w:ind w:left="25"/>
              <w:jc w:val="center"/>
              <w:rPr>
                <w:rFonts w:hAnsi="宋体" w:cs="宋体"/>
                <w:sz w:val="24"/>
              </w:rPr>
            </w:pPr>
            <w:r>
              <w:rPr>
                <w:rFonts w:hint="eastAsia" w:hAnsi="宋体" w:cs="宋体"/>
                <w:sz w:val="24"/>
              </w:rPr>
              <w:t>服务招标</w:t>
            </w:r>
          </w:p>
        </w:tc>
        <w:tc>
          <w:tcPr>
            <w:tcW w:w="2293" w:type="dxa"/>
            <w:vAlign w:val="center"/>
          </w:tcPr>
          <w:p>
            <w:pPr>
              <w:pStyle w:val="23"/>
              <w:spacing w:line="400" w:lineRule="exact"/>
              <w:ind w:left="25"/>
              <w:jc w:val="center"/>
              <w:rPr>
                <w:rFonts w:hAnsi="宋体" w:cs="宋体"/>
                <w:sz w:val="24"/>
              </w:rPr>
            </w:pPr>
            <w:r>
              <w:rPr>
                <w:rFonts w:hint="eastAsia"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23"/>
              <w:spacing w:line="400" w:lineRule="exact"/>
              <w:ind w:left="25"/>
              <w:rPr>
                <w:rFonts w:hAnsi="宋体" w:cs="宋体"/>
                <w:sz w:val="24"/>
              </w:rPr>
            </w:pPr>
            <w:r>
              <w:rPr>
                <w:rFonts w:hint="eastAsia" w:hAnsi="宋体" w:cs="宋体"/>
                <w:sz w:val="24"/>
              </w:rPr>
              <w:t>100万元以下</w:t>
            </w:r>
          </w:p>
        </w:tc>
        <w:tc>
          <w:tcPr>
            <w:tcW w:w="2002" w:type="dxa"/>
          </w:tcPr>
          <w:p>
            <w:pPr>
              <w:pStyle w:val="23"/>
              <w:spacing w:line="400" w:lineRule="exact"/>
              <w:ind w:left="25"/>
              <w:jc w:val="center"/>
              <w:rPr>
                <w:rFonts w:hAnsi="宋体" w:cs="宋体"/>
                <w:sz w:val="24"/>
              </w:rPr>
            </w:pPr>
            <w:r>
              <w:rPr>
                <w:rFonts w:hint="eastAsia" w:hAnsi="宋体" w:cs="宋体"/>
                <w:sz w:val="24"/>
              </w:rPr>
              <w:t>1.5%</w:t>
            </w:r>
          </w:p>
        </w:tc>
        <w:tc>
          <w:tcPr>
            <w:tcW w:w="1992" w:type="dxa"/>
          </w:tcPr>
          <w:p>
            <w:pPr>
              <w:pStyle w:val="23"/>
              <w:spacing w:line="400" w:lineRule="exact"/>
              <w:ind w:left="25"/>
              <w:jc w:val="center"/>
              <w:rPr>
                <w:rFonts w:hAnsi="宋体" w:cs="宋体"/>
                <w:sz w:val="24"/>
              </w:rPr>
            </w:pPr>
            <w:r>
              <w:rPr>
                <w:rFonts w:hint="eastAsia" w:hAnsi="宋体" w:cs="宋体"/>
                <w:sz w:val="24"/>
              </w:rPr>
              <w:t>1.5%</w:t>
            </w:r>
          </w:p>
        </w:tc>
        <w:tc>
          <w:tcPr>
            <w:tcW w:w="2293" w:type="dxa"/>
          </w:tcPr>
          <w:p>
            <w:pPr>
              <w:pStyle w:val="23"/>
              <w:spacing w:line="400" w:lineRule="exact"/>
              <w:ind w:left="25"/>
              <w:jc w:val="center"/>
              <w:rPr>
                <w:rFonts w:hAnsi="宋体" w:cs="宋体"/>
                <w:sz w:val="24"/>
              </w:rPr>
            </w:pPr>
            <w:r>
              <w:rPr>
                <w:rFonts w:hint="eastAsia"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23"/>
              <w:spacing w:line="400" w:lineRule="exact"/>
              <w:ind w:left="25"/>
              <w:rPr>
                <w:rFonts w:hAnsi="宋体" w:cs="宋体"/>
                <w:sz w:val="24"/>
              </w:rPr>
            </w:pPr>
            <w:r>
              <w:rPr>
                <w:rFonts w:hint="eastAsia" w:hAnsi="宋体" w:cs="宋体"/>
                <w:sz w:val="24"/>
              </w:rPr>
              <w:t>100-500万元</w:t>
            </w:r>
          </w:p>
        </w:tc>
        <w:tc>
          <w:tcPr>
            <w:tcW w:w="2002" w:type="dxa"/>
          </w:tcPr>
          <w:p>
            <w:pPr>
              <w:pStyle w:val="23"/>
              <w:spacing w:line="400" w:lineRule="exact"/>
              <w:ind w:left="25"/>
              <w:jc w:val="center"/>
              <w:rPr>
                <w:rFonts w:hAnsi="宋体" w:cs="宋体"/>
                <w:sz w:val="24"/>
              </w:rPr>
            </w:pPr>
            <w:r>
              <w:rPr>
                <w:rFonts w:hint="eastAsia" w:hAnsi="宋体" w:cs="宋体"/>
                <w:sz w:val="24"/>
              </w:rPr>
              <w:t>1.1%</w:t>
            </w:r>
          </w:p>
        </w:tc>
        <w:tc>
          <w:tcPr>
            <w:tcW w:w="1992" w:type="dxa"/>
          </w:tcPr>
          <w:p>
            <w:pPr>
              <w:pStyle w:val="23"/>
              <w:spacing w:line="400" w:lineRule="exact"/>
              <w:ind w:left="25"/>
              <w:jc w:val="center"/>
              <w:rPr>
                <w:rFonts w:hAnsi="宋体" w:cs="宋体"/>
                <w:sz w:val="24"/>
              </w:rPr>
            </w:pPr>
            <w:r>
              <w:rPr>
                <w:rFonts w:hint="eastAsia" w:hAnsi="宋体" w:cs="宋体"/>
                <w:sz w:val="24"/>
              </w:rPr>
              <w:t>0.8%</w:t>
            </w:r>
          </w:p>
        </w:tc>
        <w:tc>
          <w:tcPr>
            <w:tcW w:w="2293" w:type="dxa"/>
          </w:tcPr>
          <w:p>
            <w:pPr>
              <w:pStyle w:val="23"/>
              <w:spacing w:line="400" w:lineRule="exact"/>
              <w:ind w:left="25"/>
              <w:jc w:val="center"/>
              <w:rPr>
                <w:rFonts w:hAnsi="宋体" w:cs="宋体"/>
                <w:sz w:val="24"/>
              </w:rPr>
            </w:pPr>
            <w:r>
              <w:rPr>
                <w:rFonts w:hint="eastAsia" w:hAnsi="宋体" w:cs="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23"/>
              <w:spacing w:line="400" w:lineRule="exact"/>
              <w:ind w:left="25"/>
              <w:rPr>
                <w:rFonts w:hAnsi="宋体" w:cs="宋体"/>
                <w:sz w:val="24"/>
              </w:rPr>
            </w:pPr>
            <w:r>
              <w:rPr>
                <w:rFonts w:hint="eastAsia" w:hAnsi="宋体" w:cs="宋体"/>
                <w:sz w:val="24"/>
              </w:rPr>
              <w:t>500-1000万元</w:t>
            </w:r>
          </w:p>
        </w:tc>
        <w:tc>
          <w:tcPr>
            <w:tcW w:w="2002" w:type="dxa"/>
          </w:tcPr>
          <w:p>
            <w:pPr>
              <w:pStyle w:val="23"/>
              <w:spacing w:line="400" w:lineRule="exact"/>
              <w:ind w:left="25"/>
              <w:jc w:val="center"/>
              <w:rPr>
                <w:rFonts w:hAnsi="宋体" w:cs="宋体"/>
                <w:sz w:val="24"/>
              </w:rPr>
            </w:pPr>
            <w:r>
              <w:rPr>
                <w:rFonts w:hint="eastAsia" w:hAnsi="宋体" w:cs="宋体"/>
                <w:sz w:val="24"/>
              </w:rPr>
              <w:t>0.8%</w:t>
            </w:r>
          </w:p>
        </w:tc>
        <w:tc>
          <w:tcPr>
            <w:tcW w:w="1992" w:type="dxa"/>
          </w:tcPr>
          <w:p>
            <w:pPr>
              <w:pStyle w:val="23"/>
              <w:spacing w:line="400" w:lineRule="exact"/>
              <w:ind w:left="25"/>
              <w:jc w:val="center"/>
              <w:rPr>
                <w:rFonts w:hAnsi="宋体" w:cs="宋体"/>
                <w:sz w:val="24"/>
              </w:rPr>
            </w:pPr>
            <w:r>
              <w:rPr>
                <w:rFonts w:hint="eastAsia" w:hAnsi="宋体" w:cs="宋体"/>
                <w:sz w:val="24"/>
              </w:rPr>
              <w:t>0.45%</w:t>
            </w:r>
          </w:p>
        </w:tc>
        <w:tc>
          <w:tcPr>
            <w:tcW w:w="2293" w:type="dxa"/>
          </w:tcPr>
          <w:p>
            <w:pPr>
              <w:pStyle w:val="23"/>
              <w:spacing w:line="400" w:lineRule="exact"/>
              <w:ind w:left="25"/>
              <w:jc w:val="center"/>
              <w:rPr>
                <w:rFonts w:hAnsi="宋体" w:cs="宋体"/>
                <w:sz w:val="24"/>
              </w:rPr>
            </w:pPr>
            <w:r>
              <w:rPr>
                <w:rFonts w:hint="eastAsia" w:hAnsi="宋体" w:cs="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23"/>
              <w:spacing w:line="400" w:lineRule="exact"/>
              <w:ind w:left="25"/>
              <w:rPr>
                <w:rFonts w:hAnsi="宋体" w:cs="宋体"/>
                <w:sz w:val="24"/>
              </w:rPr>
            </w:pPr>
            <w:r>
              <w:rPr>
                <w:rFonts w:hint="eastAsia" w:hAnsi="宋体" w:cs="宋体"/>
                <w:sz w:val="24"/>
              </w:rPr>
              <w:t>1000-5000万元</w:t>
            </w:r>
          </w:p>
        </w:tc>
        <w:tc>
          <w:tcPr>
            <w:tcW w:w="2002" w:type="dxa"/>
          </w:tcPr>
          <w:p>
            <w:pPr>
              <w:pStyle w:val="23"/>
              <w:spacing w:line="400" w:lineRule="exact"/>
              <w:ind w:left="25"/>
              <w:jc w:val="center"/>
              <w:rPr>
                <w:rFonts w:hAnsi="宋体" w:cs="宋体"/>
                <w:sz w:val="24"/>
              </w:rPr>
            </w:pPr>
            <w:r>
              <w:rPr>
                <w:rFonts w:hint="eastAsia" w:hAnsi="宋体" w:cs="宋体"/>
                <w:sz w:val="24"/>
              </w:rPr>
              <w:t>0.5%</w:t>
            </w:r>
          </w:p>
        </w:tc>
        <w:tc>
          <w:tcPr>
            <w:tcW w:w="1992" w:type="dxa"/>
          </w:tcPr>
          <w:p>
            <w:pPr>
              <w:pStyle w:val="23"/>
              <w:spacing w:line="400" w:lineRule="exact"/>
              <w:ind w:left="25"/>
              <w:jc w:val="center"/>
              <w:rPr>
                <w:rFonts w:hAnsi="宋体" w:cs="宋体"/>
                <w:sz w:val="24"/>
              </w:rPr>
            </w:pPr>
            <w:r>
              <w:rPr>
                <w:rFonts w:hint="eastAsia" w:hAnsi="宋体" w:cs="宋体"/>
                <w:sz w:val="24"/>
              </w:rPr>
              <w:t>0.25%</w:t>
            </w:r>
          </w:p>
        </w:tc>
        <w:tc>
          <w:tcPr>
            <w:tcW w:w="2293" w:type="dxa"/>
          </w:tcPr>
          <w:p>
            <w:pPr>
              <w:pStyle w:val="23"/>
              <w:spacing w:line="400" w:lineRule="exact"/>
              <w:ind w:left="25"/>
              <w:jc w:val="center"/>
              <w:rPr>
                <w:rFonts w:hAnsi="宋体" w:cs="宋体"/>
                <w:sz w:val="24"/>
              </w:rPr>
            </w:pPr>
            <w:r>
              <w:rPr>
                <w:rFonts w:hint="eastAsia" w:hAnsi="宋体" w:cs="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23"/>
              <w:spacing w:line="400" w:lineRule="exact"/>
              <w:ind w:left="25"/>
              <w:rPr>
                <w:rFonts w:hAnsi="宋体" w:cs="宋体"/>
                <w:sz w:val="24"/>
              </w:rPr>
            </w:pPr>
            <w:r>
              <w:rPr>
                <w:rFonts w:hint="eastAsia" w:hAnsi="宋体" w:cs="宋体"/>
                <w:sz w:val="24"/>
              </w:rPr>
              <w:t>5000万元-1亿元</w:t>
            </w:r>
          </w:p>
        </w:tc>
        <w:tc>
          <w:tcPr>
            <w:tcW w:w="2002" w:type="dxa"/>
          </w:tcPr>
          <w:p>
            <w:pPr>
              <w:pStyle w:val="23"/>
              <w:spacing w:line="400" w:lineRule="exact"/>
              <w:ind w:left="25"/>
              <w:jc w:val="center"/>
              <w:rPr>
                <w:rFonts w:hAnsi="宋体" w:cs="宋体"/>
                <w:sz w:val="24"/>
              </w:rPr>
            </w:pPr>
            <w:r>
              <w:rPr>
                <w:rFonts w:hint="eastAsia" w:hAnsi="宋体" w:cs="宋体"/>
                <w:sz w:val="24"/>
              </w:rPr>
              <w:t>0.25%</w:t>
            </w:r>
          </w:p>
        </w:tc>
        <w:tc>
          <w:tcPr>
            <w:tcW w:w="1992" w:type="dxa"/>
          </w:tcPr>
          <w:p>
            <w:pPr>
              <w:pStyle w:val="23"/>
              <w:spacing w:line="400" w:lineRule="exact"/>
              <w:ind w:left="25"/>
              <w:jc w:val="center"/>
              <w:rPr>
                <w:rFonts w:hAnsi="宋体" w:cs="宋体"/>
                <w:sz w:val="24"/>
              </w:rPr>
            </w:pPr>
            <w:r>
              <w:rPr>
                <w:rFonts w:hint="eastAsia" w:hAnsi="宋体" w:cs="宋体"/>
                <w:sz w:val="24"/>
              </w:rPr>
              <w:t>0.1%</w:t>
            </w:r>
          </w:p>
        </w:tc>
        <w:tc>
          <w:tcPr>
            <w:tcW w:w="2293" w:type="dxa"/>
          </w:tcPr>
          <w:p>
            <w:pPr>
              <w:pStyle w:val="23"/>
              <w:spacing w:line="400" w:lineRule="exact"/>
              <w:ind w:left="25"/>
              <w:jc w:val="center"/>
              <w:rPr>
                <w:rFonts w:hAnsi="宋体" w:cs="宋体"/>
                <w:sz w:val="24"/>
              </w:rPr>
            </w:pPr>
            <w:r>
              <w:rPr>
                <w:rFonts w:hint="eastAsia"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23"/>
              <w:spacing w:line="400" w:lineRule="exact"/>
              <w:ind w:left="25"/>
              <w:rPr>
                <w:rFonts w:hAnsi="宋体" w:cs="宋体"/>
                <w:sz w:val="24"/>
              </w:rPr>
            </w:pPr>
            <w:r>
              <w:rPr>
                <w:rFonts w:hint="eastAsia" w:hAnsi="宋体" w:cs="宋体"/>
                <w:sz w:val="24"/>
              </w:rPr>
              <w:t>1-5亿元</w:t>
            </w:r>
          </w:p>
        </w:tc>
        <w:tc>
          <w:tcPr>
            <w:tcW w:w="2002" w:type="dxa"/>
          </w:tcPr>
          <w:p>
            <w:pPr>
              <w:pStyle w:val="23"/>
              <w:spacing w:line="400" w:lineRule="exact"/>
              <w:ind w:left="25"/>
              <w:jc w:val="center"/>
              <w:rPr>
                <w:rFonts w:hAnsi="宋体" w:cs="宋体"/>
                <w:sz w:val="24"/>
              </w:rPr>
            </w:pPr>
            <w:r>
              <w:rPr>
                <w:rFonts w:hint="eastAsia" w:hAnsi="宋体" w:cs="宋体"/>
                <w:sz w:val="24"/>
              </w:rPr>
              <w:t>0.05%</w:t>
            </w:r>
          </w:p>
        </w:tc>
        <w:tc>
          <w:tcPr>
            <w:tcW w:w="1992" w:type="dxa"/>
          </w:tcPr>
          <w:p>
            <w:pPr>
              <w:pStyle w:val="23"/>
              <w:spacing w:line="400" w:lineRule="exact"/>
              <w:ind w:left="25"/>
              <w:jc w:val="center"/>
              <w:rPr>
                <w:rFonts w:hAnsi="宋体" w:cs="宋体"/>
                <w:sz w:val="24"/>
              </w:rPr>
            </w:pPr>
            <w:r>
              <w:rPr>
                <w:rFonts w:hint="eastAsia" w:hAnsi="宋体" w:cs="宋体"/>
                <w:sz w:val="24"/>
              </w:rPr>
              <w:t>0.05%</w:t>
            </w:r>
          </w:p>
        </w:tc>
        <w:tc>
          <w:tcPr>
            <w:tcW w:w="2293" w:type="dxa"/>
          </w:tcPr>
          <w:p>
            <w:pPr>
              <w:pStyle w:val="23"/>
              <w:spacing w:line="400" w:lineRule="exact"/>
              <w:ind w:left="25"/>
              <w:jc w:val="center"/>
              <w:rPr>
                <w:rFonts w:hAnsi="宋体" w:cs="宋体"/>
                <w:sz w:val="24"/>
              </w:rPr>
            </w:pPr>
            <w:r>
              <w:rPr>
                <w:rFonts w:hint="eastAsia" w:hAnsi="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23"/>
              <w:spacing w:line="400" w:lineRule="exact"/>
              <w:ind w:left="25"/>
              <w:rPr>
                <w:rFonts w:hAnsi="宋体" w:cs="宋体"/>
                <w:sz w:val="24"/>
              </w:rPr>
            </w:pPr>
            <w:r>
              <w:rPr>
                <w:rFonts w:hint="eastAsia" w:hAnsi="宋体" w:cs="宋体"/>
                <w:sz w:val="24"/>
              </w:rPr>
              <w:t>5-10亿元</w:t>
            </w:r>
          </w:p>
        </w:tc>
        <w:tc>
          <w:tcPr>
            <w:tcW w:w="2002" w:type="dxa"/>
          </w:tcPr>
          <w:p>
            <w:pPr>
              <w:pStyle w:val="23"/>
              <w:spacing w:line="400" w:lineRule="exact"/>
              <w:ind w:left="25"/>
              <w:jc w:val="center"/>
              <w:rPr>
                <w:rFonts w:hAnsi="宋体" w:cs="宋体"/>
                <w:sz w:val="24"/>
              </w:rPr>
            </w:pPr>
            <w:r>
              <w:rPr>
                <w:rFonts w:hint="eastAsia" w:hAnsi="宋体" w:cs="宋体"/>
                <w:sz w:val="24"/>
              </w:rPr>
              <w:t>0.035%</w:t>
            </w:r>
          </w:p>
        </w:tc>
        <w:tc>
          <w:tcPr>
            <w:tcW w:w="1992" w:type="dxa"/>
          </w:tcPr>
          <w:p>
            <w:pPr>
              <w:pStyle w:val="23"/>
              <w:spacing w:line="400" w:lineRule="exact"/>
              <w:ind w:left="25"/>
              <w:jc w:val="center"/>
              <w:rPr>
                <w:rFonts w:hAnsi="宋体" w:cs="宋体"/>
                <w:sz w:val="24"/>
              </w:rPr>
            </w:pPr>
            <w:r>
              <w:rPr>
                <w:rFonts w:hint="eastAsia" w:hAnsi="宋体" w:cs="宋体"/>
                <w:sz w:val="24"/>
              </w:rPr>
              <w:t>0.035%</w:t>
            </w:r>
          </w:p>
        </w:tc>
        <w:tc>
          <w:tcPr>
            <w:tcW w:w="2293" w:type="dxa"/>
          </w:tcPr>
          <w:p>
            <w:pPr>
              <w:pStyle w:val="23"/>
              <w:spacing w:line="400" w:lineRule="exact"/>
              <w:ind w:left="25"/>
              <w:jc w:val="center"/>
              <w:rPr>
                <w:rFonts w:hAnsi="宋体" w:cs="宋体"/>
                <w:sz w:val="24"/>
              </w:rPr>
            </w:pPr>
            <w:r>
              <w:rPr>
                <w:rFonts w:hint="eastAsia" w:hAnsi="宋体" w:cs="宋体"/>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23"/>
              <w:spacing w:line="400" w:lineRule="exact"/>
              <w:ind w:left="25"/>
              <w:rPr>
                <w:rFonts w:hAnsi="宋体" w:cs="宋体"/>
                <w:sz w:val="24"/>
              </w:rPr>
            </w:pPr>
            <w:r>
              <w:rPr>
                <w:rFonts w:hint="eastAsia" w:hAnsi="宋体" w:cs="宋体"/>
                <w:sz w:val="24"/>
              </w:rPr>
              <w:t>10-50亿元</w:t>
            </w:r>
          </w:p>
        </w:tc>
        <w:tc>
          <w:tcPr>
            <w:tcW w:w="2002" w:type="dxa"/>
          </w:tcPr>
          <w:p>
            <w:pPr>
              <w:pStyle w:val="23"/>
              <w:spacing w:line="400" w:lineRule="exact"/>
              <w:ind w:left="25"/>
              <w:jc w:val="center"/>
              <w:rPr>
                <w:rFonts w:hAnsi="宋体" w:cs="宋体"/>
                <w:sz w:val="24"/>
              </w:rPr>
            </w:pPr>
            <w:r>
              <w:rPr>
                <w:rFonts w:hint="eastAsia" w:hAnsi="宋体" w:cs="宋体"/>
                <w:sz w:val="24"/>
              </w:rPr>
              <w:t>0.008%</w:t>
            </w:r>
          </w:p>
        </w:tc>
        <w:tc>
          <w:tcPr>
            <w:tcW w:w="1992" w:type="dxa"/>
          </w:tcPr>
          <w:p>
            <w:pPr>
              <w:pStyle w:val="23"/>
              <w:spacing w:line="400" w:lineRule="exact"/>
              <w:ind w:left="25"/>
              <w:jc w:val="center"/>
              <w:rPr>
                <w:rFonts w:hAnsi="宋体" w:cs="宋体"/>
                <w:sz w:val="24"/>
              </w:rPr>
            </w:pPr>
            <w:r>
              <w:rPr>
                <w:rFonts w:hint="eastAsia" w:hAnsi="宋体" w:cs="宋体"/>
                <w:sz w:val="24"/>
              </w:rPr>
              <w:t>0.008%</w:t>
            </w:r>
          </w:p>
        </w:tc>
        <w:tc>
          <w:tcPr>
            <w:tcW w:w="2293" w:type="dxa"/>
          </w:tcPr>
          <w:p>
            <w:pPr>
              <w:pStyle w:val="23"/>
              <w:spacing w:line="400" w:lineRule="exact"/>
              <w:ind w:left="25"/>
              <w:jc w:val="center"/>
              <w:rPr>
                <w:rFonts w:hAnsi="宋体" w:cs="宋体"/>
                <w:sz w:val="24"/>
              </w:rPr>
            </w:pPr>
            <w:r>
              <w:rPr>
                <w:rFonts w:hint="eastAsia" w:hAnsi="宋体" w:cs="宋体"/>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23"/>
              <w:spacing w:line="400" w:lineRule="exact"/>
              <w:ind w:left="25"/>
              <w:rPr>
                <w:rFonts w:hAnsi="宋体" w:cs="宋体"/>
                <w:sz w:val="24"/>
              </w:rPr>
            </w:pPr>
            <w:r>
              <w:rPr>
                <w:rFonts w:hint="eastAsia" w:hAnsi="宋体" w:cs="宋体"/>
                <w:sz w:val="24"/>
              </w:rPr>
              <w:t>50-100亿元</w:t>
            </w:r>
          </w:p>
        </w:tc>
        <w:tc>
          <w:tcPr>
            <w:tcW w:w="2002" w:type="dxa"/>
          </w:tcPr>
          <w:p>
            <w:pPr>
              <w:pStyle w:val="23"/>
              <w:spacing w:line="400" w:lineRule="exact"/>
              <w:ind w:left="25"/>
              <w:jc w:val="center"/>
              <w:rPr>
                <w:rFonts w:hAnsi="宋体" w:cs="宋体"/>
                <w:sz w:val="24"/>
              </w:rPr>
            </w:pPr>
            <w:r>
              <w:rPr>
                <w:rFonts w:hint="eastAsia" w:hAnsi="宋体" w:cs="宋体"/>
                <w:sz w:val="24"/>
              </w:rPr>
              <w:t>0.006%</w:t>
            </w:r>
          </w:p>
        </w:tc>
        <w:tc>
          <w:tcPr>
            <w:tcW w:w="1992" w:type="dxa"/>
          </w:tcPr>
          <w:p>
            <w:pPr>
              <w:pStyle w:val="23"/>
              <w:spacing w:line="400" w:lineRule="exact"/>
              <w:ind w:left="25"/>
              <w:jc w:val="center"/>
              <w:rPr>
                <w:rFonts w:hAnsi="宋体" w:cs="宋体"/>
                <w:sz w:val="24"/>
              </w:rPr>
            </w:pPr>
            <w:r>
              <w:rPr>
                <w:rFonts w:hint="eastAsia" w:hAnsi="宋体" w:cs="宋体"/>
                <w:sz w:val="24"/>
              </w:rPr>
              <w:t>0.006%</w:t>
            </w:r>
          </w:p>
        </w:tc>
        <w:tc>
          <w:tcPr>
            <w:tcW w:w="2293" w:type="dxa"/>
          </w:tcPr>
          <w:p>
            <w:pPr>
              <w:pStyle w:val="23"/>
              <w:spacing w:line="400" w:lineRule="exact"/>
              <w:ind w:left="25"/>
              <w:jc w:val="center"/>
              <w:rPr>
                <w:rFonts w:hAnsi="宋体" w:cs="宋体"/>
                <w:sz w:val="24"/>
              </w:rPr>
            </w:pPr>
            <w:r>
              <w:rPr>
                <w:rFonts w:hint="eastAsia" w:hAnsi="宋体" w:cs="宋体"/>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23"/>
              <w:spacing w:line="400" w:lineRule="exact"/>
              <w:ind w:left="25"/>
              <w:rPr>
                <w:rFonts w:hAnsi="宋体" w:cs="宋体"/>
                <w:sz w:val="24"/>
              </w:rPr>
            </w:pPr>
            <w:r>
              <w:rPr>
                <w:rFonts w:hint="eastAsia" w:hAnsi="宋体" w:cs="宋体"/>
                <w:sz w:val="24"/>
              </w:rPr>
              <w:t>100亿元以上</w:t>
            </w:r>
          </w:p>
        </w:tc>
        <w:tc>
          <w:tcPr>
            <w:tcW w:w="2002" w:type="dxa"/>
          </w:tcPr>
          <w:p>
            <w:pPr>
              <w:pStyle w:val="23"/>
              <w:spacing w:line="400" w:lineRule="exact"/>
              <w:ind w:left="25"/>
              <w:jc w:val="center"/>
              <w:rPr>
                <w:rFonts w:hAnsi="宋体" w:cs="宋体"/>
                <w:sz w:val="24"/>
              </w:rPr>
            </w:pPr>
            <w:r>
              <w:rPr>
                <w:rFonts w:hint="eastAsia" w:hAnsi="宋体" w:cs="宋体"/>
                <w:sz w:val="24"/>
              </w:rPr>
              <w:t>0.004%</w:t>
            </w:r>
          </w:p>
        </w:tc>
        <w:tc>
          <w:tcPr>
            <w:tcW w:w="1992" w:type="dxa"/>
          </w:tcPr>
          <w:p>
            <w:pPr>
              <w:pStyle w:val="23"/>
              <w:spacing w:line="400" w:lineRule="exact"/>
              <w:ind w:left="25"/>
              <w:jc w:val="center"/>
              <w:rPr>
                <w:rFonts w:hAnsi="宋体" w:cs="宋体"/>
                <w:sz w:val="24"/>
              </w:rPr>
            </w:pPr>
            <w:r>
              <w:rPr>
                <w:rFonts w:hint="eastAsia" w:hAnsi="宋体" w:cs="宋体"/>
                <w:sz w:val="24"/>
              </w:rPr>
              <w:t>0.004%</w:t>
            </w:r>
          </w:p>
        </w:tc>
        <w:tc>
          <w:tcPr>
            <w:tcW w:w="2293" w:type="dxa"/>
          </w:tcPr>
          <w:p>
            <w:pPr>
              <w:pStyle w:val="23"/>
              <w:spacing w:line="400" w:lineRule="exact"/>
              <w:ind w:left="25"/>
              <w:jc w:val="center"/>
              <w:rPr>
                <w:rFonts w:hAnsi="宋体" w:cs="宋体"/>
                <w:sz w:val="24"/>
              </w:rPr>
            </w:pPr>
            <w:r>
              <w:rPr>
                <w:rFonts w:hint="eastAsia" w:hAnsi="宋体" w:cs="宋体"/>
                <w:sz w:val="24"/>
              </w:rPr>
              <w:t>0.004%</w:t>
            </w:r>
          </w:p>
        </w:tc>
      </w:tr>
    </w:tbl>
    <w:p>
      <w:pPr>
        <w:spacing w:line="340" w:lineRule="exact"/>
        <w:ind w:firstLine="480" w:firstLineChars="200"/>
        <w:rPr>
          <w:rFonts w:ascii="宋体" w:hAnsi="宋体" w:cs="宋体"/>
          <w:sz w:val="24"/>
        </w:rPr>
      </w:pPr>
      <w:r>
        <w:rPr>
          <w:rFonts w:hint="eastAsia" w:ascii="宋体" w:hAnsi="宋体" w:cs="宋体"/>
          <w:sz w:val="24"/>
        </w:rPr>
        <w:t>注：采购代理服务收费按差额定率累进法计算。</w:t>
      </w:r>
    </w:p>
    <w:p>
      <w:pPr>
        <w:spacing w:line="340" w:lineRule="exact"/>
        <w:rPr>
          <w:rFonts w:ascii="宋体" w:hAnsi="宋体" w:cs="宋体"/>
          <w:b/>
          <w:sz w:val="24"/>
        </w:rPr>
      </w:pPr>
      <w:r>
        <w:rPr>
          <w:rFonts w:hint="eastAsia" w:ascii="宋体" w:hAnsi="宋体" w:cs="宋体"/>
          <w:b/>
          <w:sz w:val="24"/>
        </w:rPr>
        <w:t>28. 废标</w:t>
      </w:r>
    </w:p>
    <w:p>
      <w:pPr>
        <w:spacing w:line="340" w:lineRule="exact"/>
        <w:ind w:firstLine="480" w:firstLineChars="200"/>
        <w:rPr>
          <w:rFonts w:ascii="宋体" w:hAnsi="宋体" w:cs="宋体"/>
          <w:sz w:val="24"/>
        </w:rPr>
      </w:pPr>
      <w:r>
        <w:rPr>
          <w:rFonts w:hint="eastAsia" w:ascii="宋体" w:hAnsi="宋体" w:cs="宋体"/>
          <w:sz w:val="24"/>
        </w:rPr>
        <w:t>28.1 有下列情形之一的，应予以废标：</w:t>
      </w:r>
    </w:p>
    <w:p>
      <w:pPr>
        <w:spacing w:line="340" w:lineRule="exact"/>
        <w:ind w:firstLine="480" w:firstLineChars="200"/>
        <w:rPr>
          <w:rFonts w:ascii="宋体" w:hAnsi="宋体" w:cs="宋体"/>
          <w:sz w:val="24"/>
        </w:rPr>
      </w:pPr>
      <w:r>
        <w:rPr>
          <w:rFonts w:hint="eastAsia" w:ascii="宋体" w:hAnsi="宋体" w:cs="宋体"/>
          <w:sz w:val="24"/>
        </w:rPr>
        <w:t>⑴竞标截止时间止，供应商不足3家的；</w:t>
      </w:r>
    </w:p>
    <w:p>
      <w:pPr>
        <w:spacing w:line="340" w:lineRule="exact"/>
        <w:ind w:firstLine="480" w:firstLineChars="200"/>
        <w:rPr>
          <w:rFonts w:ascii="宋体" w:hAnsi="宋体" w:cs="宋体"/>
          <w:sz w:val="24"/>
        </w:rPr>
      </w:pPr>
      <w:r>
        <w:rPr>
          <w:rFonts w:hint="eastAsia" w:ascii="宋体" w:hAnsi="宋体" w:cs="宋体"/>
          <w:sz w:val="24"/>
        </w:rPr>
        <w:t>⑵评标过程中符合专业条件或者对竞争性磋商文件作出实质响应的供应商不足三家的；</w:t>
      </w:r>
    </w:p>
    <w:p>
      <w:pPr>
        <w:spacing w:line="340" w:lineRule="exact"/>
        <w:ind w:firstLine="480" w:firstLineChars="200"/>
        <w:rPr>
          <w:rFonts w:ascii="宋体" w:hAnsi="宋体" w:cs="宋体"/>
          <w:sz w:val="24"/>
        </w:rPr>
      </w:pPr>
      <w:r>
        <w:rPr>
          <w:rFonts w:hint="eastAsia" w:ascii="宋体" w:hAnsi="宋体" w:cs="宋体"/>
          <w:sz w:val="24"/>
        </w:rPr>
        <w:t>⑶出现影响采购公正的违法、违规行为的；</w:t>
      </w:r>
    </w:p>
    <w:p>
      <w:pPr>
        <w:spacing w:line="340" w:lineRule="exact"/>
        <w:ind w:firstLine="480" w:firstLineChars="200"/>
        <w:rPr>
          <w:rFonts w:ascii="宋体" w:hAnsi="宋体" w:cs="宋体"/>
          <w:sz w:val="24"/>
        </w:rPr>
      </w:pPr>
      <w:r>
        <w:rPr>
          <w:rFonts w:hint="eastAsia" w:ascii="宋体" w:hAnsi="宋体" w:cs="宋体"/>
          <w:sz w:val="24"/>
        </w:rPr>
        <w:t>⑷供应商的报价均超过了采购预算，采购人不能支付的；</w:t>
      </w:r>
    </w:p>
    <w:p>
      <w:pPr>
        <w:spacing w:line="340" w:lineRule="exact"/>
        <w:ind w:firstLine="480" w:firstLineChars="200"/>
        <w:rPr>
          <w:rFonts w:ascii="宋体" w:hAnsi="宋体" w:cs="宋体"/>
          <w:sz w:val="24"/>
        </w:rPr>
      </w:pPr>
      <w:r>
        <w:rPr>
          <w:rFonts w:hint="eastAsia" w:ascii="宋体" w:hAnsi="宋体" w:cs="宋体"/>
          <w:sz w:val="24"/>
        </w:rPr>
        <w:t>⑸因重大变故，采购任务取消的。</w:t>
      </w:r>
    </w:p>
    <w:p>
      <w:pPr>
        <w:pStyle w:val="13"/>
        <w:rPr>
          <w:rFonts w:ascii="宋体" w:hAnsi="宋体" w:cs="宋体"/>
          <w:sz w:val="24"/>
        </w:rPr>
      </w:pPr>
    </w:p>
    <w:p>
      <w:pPr>
        <w:spacing w:line="340" w:lineRule="exact"/>
        <w:rPr>
          <w:rFonts w:ascii="宋体" w:hAnsi="宋体" w:cs="宋体"/>
          <w:b/>
          <w:sz w:val="24"/>
        </w:rPr>
      </w:pPr>
      <w:r>
        <w:rPr>
          <w:rFonts w:hint="eastAsia" w:ascii="宋体" w:hAnsi="宋体" w:cs="宋体"/>
          <w:b/>
          <w:sz w:val="24"/>
        </w:rPr>
        <w:t>29. 询问、质疑和投诉</w:t>
      </w:r>
    </w:p>
    <w:p>
      <w:pPr>
        <w:spacing w:line="340" w:lineRule="exact"/>
        <w:ind w:firstLine="480" w:firstLineChars="200"/>
        <w:rPr>
          <w:rFonts w:ascii="宋体" w:hAnsi="宋体" w:cs="宋体"/>
          <w:sz w:val="24"/>
        </w:rPr>
      </w:pPr>
      <w:r>
        <w:rPr>
          <w:rFonts w:hint="eastAsia" w:ascii="宋体" w:hAnsi="宋体" w:cs="宋体"/>
          <w:sz w:val="24"/>
        </w:rPr>
        <w:t>29.1供应商对政府采购活动事项有疑问的，可以向采购人、采购代理机构提出询问，采购人或者采购代理机构应当在3个工作日内对供应商依法提出的询问作出答复。</w:t>
      </w:r>
    </w:p>
    <w:p>
      <w:pPr>
        <w:spacing w:line="340" w:lineRule="exact"/>
        <w:ind w:firstLine="480" w:firstLineChars="200"/>
        <w:rPr>
          <w:rFonts w:ascii="宋体" w:hAnsi="宋体" w:cs="宋体"/>
          <w:sz w:val="24"/>
        </w:rPr>
      </w:pPr>
      <w:r>
        <w:rPr>
          <w:rFonts w:hint="eastAsia" w:ascii="宋体" w:hAnsi="宋体" w:cs="宋体"/>
          <w:sz w:val="24"/>
        </w:rPr>
        <w:t>29.2供应商认为竞争性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本须知前附表。具体质疑起算时间如下：</w:t>
      </w:r>
    </w:p>
    <w:p>
      <w:pPr>
        <w:spacing w:line="340" w:lineRule="exact"/>
        <w:ind w:firstLine="480" w:firstLineChars="200"/>
        <w:rPr>
          <w:rFonts w:ascii="宋体" w:hAnsi="宋体" w:cs="宋体"/>
          <w:sz w:val="24"/>
        </w:rPr>
      </w:pPr>
      <w:r>
        <w:rPr>
          <w:rFonts w:hint="eastAsia" w:ascii="宋体" w:hAnsi="宋体" w:cs="宋体"/>
          <w:sz w:val="24"/>
        </w:rPr>
        <w:t>（1）对可以质疑的竞争性磋商文件提出质疑的，为获取竞争性磋商文件之日；</w:t>
      </w:r>
    </w:p>
    <w:p>
      <w:pPr>
        <w:spacing w:line="340" w:lineRule="exact"/>
        <w:ind w:firstLine="480" w:firstLineChars="200"/>
        <w:rPr>
          <w:rFonts w:ascii="宋体" w:hAnsi="宋体" w:cs="宋体"/>
          <w:sz w:val="24"/>
        </w:rPr>
      </w:pPr>
      <w:r>
        <w:rPr>
          <w:rFonts w:hint="eastAsia" w:ascii="宋体" w:hAnsi="宋体" w:cs="宋体"/>
          <w:sz w:val="24"/>
        </w:rPr>
        <w:t>（2）对采购过程提出质疑的，为各采购程序环节结束之日；</w:t>
      </w:r>
    </w:p>
    <w:p>
      <w:pPr>
        <w:spacing w:line="340" w:lineRule="exact"/>
        <w:ind w:firstLine="480" w:firstLineChars="200"/>
        <w:rPr>
          <w:rFonts w:ascii="宋体" w:hAnsi="宋体" w:cs="宋体"/>
          <w:sz w:val="24"/>
        </w:rPr>
      </w:pPr>
      <w:r>
        <w:rPr>
          <w:rFonts w:hint="eastAsia" w:ascii="宋体" w:hAnsi="宋体" w:cs="宋体"/>
          <w:sz w:val="24"/>
        </w:rPr>
        <w:t>（3）对成交结果提出质疑的，为成交结果公告期限届满之日。</w:t>
      </w:r>
    </w:p>
    <w:p>
      <w:pPr>
        <w:spacing w:line="340" w:lineRule="exact"/>
        <w:ind w:firstLine="480" w:firstLineChars="200"/>
        <w:rPr>
          <w:rFonts w:ascii="宋体" w:hAnsi="宋体" w:cs="宋体"/>
          <w:sz w:val="24"/>
        </w:rPr>
      </w:pPr>
      <w:r>
        <w:rPr>
          <w:rFonts w:hint="eastAsia" w:ascii="宋体" w:hAnsi="宋体" w:cs="宋体"/>
          <w:sz w:val="24"/>
        </w:rPr>
        <w:t>29.3供应商提出的询问或者质疑超出采购人对采购代理机构委托授权范围的，采购代理机构应当告知供应商向采购人提出。政府采购评审专家应当配合采购人或者采购代理机构答复供应商的询问和质疑。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40" w:lineRule="exact"/>
        <w:ind w:firstLine="480" w:firstLineChars="200"/>
        <w:rPr>
          <w:rFonts w:ascii="宋体" w:hAnsi="宋体" w:cs="宋体"/>
          <w:sz w:val="24"/>
        </w:rPr>
      </w:pPr>
      <w:r>
        <w:rPr>
          <w:rFonts w:hint="eastAsia" w:ascii="宋体" w:hAnsi="宋体" w:cs="宋体"/>
          <w:sz w:val="24"/>
        </w:rPr>
        <w:t>29.4供应商提出质疑应当提交质疑函和必要的证明材料，针对同一采购程序环节的质疑必须在法定质疑期内一次性提出。质疑函应当包括下列内容：</w:t>
      </w:r>
    </w:p>
    <w:p>
      <w:pPr>
        <w:spacing w:line="340" w:lineRule="exact"/>
        <w:ind w:firstLine="480" w:firstLineChars="200"/>
        <w:rPr>
          <w:rFonts w:ascii="宋体" w:hAnsi="宋体" w:cs="宋体"/>
          <w:sz w:val="24"/>
        </w:rPr>
      </w:pPr>
      <w:r>
        <w:rPr>
          <w:rFonts w:hint="eastAsia" w:ascii="宋体" w:hAnsi="宋体" w:cs="宋体"/>
          <w:sz w:val="24"/>
        </w:rPr>
        <w:t>（1）供应商的姓名或者名称、地址、邮编、联系人及联系电话；</w:t>
      </w:r>
    </w:p>
    <w:p>
      <w:pPr>
        <w:spacing w:line="340" w:lineRule="exact"/>
        <w:ind w:firstLine="480" w:firstLineChars="200"/>
        <w:rPr>
          <w:rFonts w:ascii="宋体" w:hAnsi="宋体" w:cs="宋体"/>
          <w:sz w:val="24"/>
        </w:rPr>
      </w:pPr>
      <w:r>
        <w:rPr>
          <w:rFonts w:hint="eastAsia" w:ascii="宋体" w:hAnsi="宋体" w:cs="宋体"/>
          <w:sz w:val="24"/>
        </w:rPr>
        <w:t>（2）质疑项目的名称、编号；</w:t>
      </w:r>
    </w:p>
    <w:p>
      <w:pPr>
        <w:spacing w:line="340" w:lineRule="exact"/>
        <w:ind w:firstLine="480" w:firstLineChars="200"/>
        <w:rPr>
          <w:rFonts w:ascii="宋体" w:hAnsi="宋体" w:cs="宋体"/>
          <w:sz w:val="24"/>
        </w:rPr>
      </w:pPr>
      <w:r>
        <w:rPr>
          <w:rFonts w:hint="eastAsia" w:ascii="宋体" w:hAnsi="宋体" w:cs="宋体"/>
          <w:sz w:val="24"/>
        </w:rPr>
        <w:t>（3）具体、明确的质疑事项和与质疑事项相关的请求；</w:t>
      </w:r>
    </w:p>
    <w:p>
      <w:pPr>
        <w:spacing w:line="340" w:lineRule="exact"/>
        <w:ind w:firstLine="480" w:firstLineChars="200"/>
        <w:rPr>
          <w:rFonts w:ascii="宋体" w:hAnsi="宋体" w:cs="宋体"/>
          <w:sz w:val="24"/>
        </w:rPr>
      </w:pPr>
      <w:r>
        <w:rPr>
          <w:rFonts w:hint="eastAsia" w:ascii="宋体" w:hAnsi="宋体" w:cs="宋体"/>
          <w:sz w:val="24"/>
        </w:rPr>
        <w:t>（4）事实依据；</w:t>
      </w:r>
    </w:p>
    <w:p>
      <w:pPr>
        <w:spacing w:line="340" w:lineRule="exact"/>
        <w:ind w:firstLine="480" w:firstLineChars="200"/>
        <w:rPr>
          <w:rFonts w:ascii="宋体" w:hAnsi="宋体" w:cs="宋体"/>
          <w:sz w:val="24"/>
        </w:rPr>
      </w:pPr>
      <w:r>
        <w:rPr>
          <w:rFonts w:hint="eastAsia" w:ascii="宋体" w:hAnsi="宋体" w:cs="宋体"/>
          <w:sz w:val="24"/>
        </w:rPr>
        <w:t>（5）必要的法律依据；</w:t>
      </w:r>
    </w:p>
    <w:p>
      <w:pPr>
        <w:spacing w:line="340" w:lineRule="exact"/>
        <w:ind w:firstLine="480" w:firstLineChars="200"/>
        <w:rPr>
          <w:rFonts w:ascii="宋体" w:hAnsi="宋体" w:cs="宋体"/>
          <w:sz w:val="24"/>
        </w:rPr>
      </w:pPr>
      <w:r>
        <w:rPr>
          <w:rFonts w:hint="eastAsia" w:ascii="宋体" w:hAnsi="宋体" w:cs="宋体"/>
          <w:sz w:val="24"/>
        </w:rPr>
        <w:t>（6）提出质疑的日期。</w:t>
      </w:r>
    </w:p>
    <w:p>
      <w:pPr>
        <w:spacing w:line="340" w:lineRule="exact"/>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供应商为自然人的，应当由本人签字；供应商为法人或者其他组织的，应当由法定代表人、主要负责人，或者其委托代理人签字或者盖章，并加盖公章。</w:t>
      </w:r>
    </w:p>
    <w:p>
      <w:pPr>
        <w:spacing w:line="340" w:lineRule="exact"/>
        <w:ind w:firstLine="480" w:firstLineChars="200"/>
        <w:rPr>
          <w:rFonts w:ascii="宋体" w:hAnsi="宋体" w:cs="宋体"/>
          <w:sz w:val="24"/>
        </w:rPr>
      </w:pPr>
      <w:r>
        <w:rPr>
          <w:rFonts w:hint="eastAsia" w:ascii="宋体" w:hAnsi="宋体" w:cs="宋体"/>
          <w:sz w:val="24"/>
        </w:rPr>
        <w:t>29.5采购人、采购代理机构认为供应商质疑不成立，或者成立但未对成交结果构成影响的，继续开展采购活动；认为供应商质疑成立且影响或者可能影响成交结果的，按照下列情况处理：</w:t>
      </w:r>
    </w:p>
    <w:p>
      <w:pPr>
        <w:spacing w:line="340" w:lineRule="exact"/>
        <w:ind w:firstLine="480" w:firstLineChars="200"/>
        <w:rPr>
          <w:rFonts w:ascii="宋体" w:hAnsi="宋体" w:cs="宋体"/>
          <w:sz w:val="24"/>
        </w:rPr>
      </w:pPr>
      <w:r>
        <w:rPr>
          <w:rFonts w:hint="eastAsia" w:ascii="宋体" w:hAnsi="宋体" w:cs="宋体"/>
          <w:sz w:val="24"/>
        </w:rPr>
        <w:t>（一）对采购文件提出的质疑，依法通过澄清或者修改可以继续开展采购活动的，澄清或者修改采购文件后继续开展采购活动；否则应当修改采购文件后重新开展采购活动。</w:t>
      </w:r>
    </w:p>
    <w:p>
      <w:pPr>
        <w:spacing w:line="340" w:lineRule="exact"/>
        <w:ind w:firstLine="480" w:firstLineChars="200"/>
        <w:rPr>
          <w:rFonts w:ascii="宋体" w:hAnsi="宋体" w:cs="宋体"/>
          <w:sz w:val="24"/>
        </w:rPr>
      </w:pPr>
      <w:r>
        <w:rPr>
          <w:rFonts w:hint="eastAsia" w:ascii="宋体" w:hAnsi="宋体" w:cs="宋体"/>
          <w:sz w:val="24"/>
        </w:rPr>
        <w:t>（二）对采购过程或者成交结果提出的质疑，合格供应商符合法定数量时，可以从合格的成交候选人中另行确定成交供应商的，应当依法另行确定成交供应商；否则应当重新开展采购活动。</w:t>
      </w:r>
    </w:p>
    <w:p>
      <w:pPr>
        <w:spacing w:line="340" w:lineRule="exact"/>
        <w:ind w:firstLine="480" w:firstLineChars="200"/>
        <w:rPr>
          <w:rFonts w:ascii="宋体" w:hAnsi="宋体" w:cs="宋体"/>
          <w:sz w:val="24"/>
        </w:rPr>
      </w:pPr>
      <w:r>
        <w:rPr>
          <w:rFonts w:hint="eastAsia" w:ascii="宋体" w:hAnsi="宋体" w:cs="宋体"/>
          <w:sz w:val="24"/>
        </w:rPr>
        <w:t>质疑答复导致成交结果改变的，采购人或者采购代理机构应当将有关情况书面报告本级财政部门。</w:t>
      </w:r>
    </w:p>
    <w:p>
      <w:pPr>
        <w:spacing w:line="340" w:lineRule="exact"/>
        <w:ind w:firstLine="480" w:firstLineChars="200"/>
        <w:rPr>
          <w:rFonts w:ascii="宋体" w:hAnsi="宋体" w:cs="宋体"/>
          <w:sz w:val="24"/>
        </w:rPr>
      </w:pPr>
      <w:r>
        <w:rPr>
          <w:rFonts w:hint="eastAsia" w:ascii="宋体" w:hAnsi="宋体" w:cs="宋体"/>
          <w:sz w:val="24"/>
        </w:rPr>
        <w:t>29.6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spacing w:line="340" w:lineRule="exact"/>
        <w:rPr>
          <w:rFonts w:ascii="宋体" w:hAnsi="宋体" w:cs="宋体"/>
          <w:b/>
          <w:sz w:val="24"/>
        </w:rPr>
      </w:pPr>
      <w:r>
        <w:rPr>
          <w:rFonts w:hint="eastAsia" w:ascii="宋体" w:hAnsi="宋体" w:cs="宋体"/>
          <w:b/>
          <w:sz w:val="24"/>
        </w:rPr>
        <w:t>30. 解释权</w:t>
      </w:r>
    </w:p>
    <w:p>
      <w:pPr>
        <w:spacing w:line="360" w:lineRule="exact"/>
        <w:ind w:firstLine="435"/>
        <w:rPr>
          <w:rFonts w:ascii="宋体" w:hAnsi="宋体" w:cs="宋体"/>
          <w:szCs w:val="21"/>
        </w:rPr>
      </w:pPr>
      <w:r>
        <w:rPr>
          <w:rFonts w:hint="eastAsia" w:ascii="宋体" w:hAnsi="宋体" w:cs="宋体"/>
          <w:sz w:val="24"/>
        </w:rPr>
        <w:t>本竞争性磋商文件是根据《中华人民共和国政府采购法》、《中华人民共和国政府采购法实施条例》、《政府采购竞争性磋商采购方式管理暂行办法》以及参照国际惯例编制，解释权属本采购人和采购代理机构。</w:t>
      </w:r>
    </w:p>
    <w:p>
      <w:pPr>
        <w:pStyle w:val="13"/>
        <w:rPr>
          <w:rFonts w:ascii="宋体" w:hAnsi="宋体" w:cs="宋体"/>
        </w:rPr>
      </w:pPr>
      <w:r>
        <w:rPr>
          <w:rFonts w:hint="eastAsia" w:ascii="宋体" w:hAnsi="宋体" w:cs="宋体"/>
        </w:rPr>
        <w:br w:type="page"/>
      </w:r>
    </w:p>
    <w:p>
      <w:pPr>
        <w:pStyle w:val="2"/>
        <w:rPr>
          <w:rFonts w:ascii="宋体" w:hAnsi="宋体" w:eastAsia="宋体" w:cs="宋体"/>
        </w:rPr>
      </w:pPr>
      <w:bookmarkStart w:id="10" w:name="_Toc30991"/>
      <w:r>
        <w:rPr>
          <w:rFonts w:hint="eastAsia" w:ascii="宋体" w:hAnsi="宋体" w:eastAsia="宋体" w:cs="宋体"/>
        </w:rPr>
        <w:t>第三章  评审程序、评审方法和评审标准</w:t>
      </w:r>
      <w:bookmarkEnd w:id="10"/>
    </w:p>
    <w:p>
      <w:pPr>
        <w:spacing w:line="360" w:lineRule="auto"/>
        <w:jc w:val="center"/>
        <w:rPr>
          <w:rFonts w:ascii="宋体" w:hAnsi="宋体" w:cs="宋体"/>
          <w:b/>
          <w:sz w:val="32"/>
          <w:szCs w:val="32"/>
        </w:rPr>
      </w:pPr>
      <w:r>
        <w:rPr>
          <w:rFonts w:hint="eastAsia" w:ascii="宋体" w:hAnsi="宋体" w:cs="宋体"/>
          <w:b/>
          <w:sz w:val="32"/>
          <w:szCs w:val="32"/>
        </w:rPr>
        <w:t>一、评审程序和评审方法</w:t>
      </w:r>
    </w:p>
    <w:p>
      <w:pPr>
        <w:spacing w:line="400" w:lineRule="exact"/>
        <w:ind w:firstLine="482" w:firstLineChars="200"/>
        <w:rPr>
          <w:rFonts w:ascii="宋体" w:hAnsi="宋体" w:cs="宋体"/>
          <w:b/>
          <w:bCs/>
          <w:sz w:val="24"/>
        </w:rPr>
      </w:pPr>
      <w:r>
        <w:rPr>
          <w:rFonts w:hint="eastAsia" w:ascii="宋体" w:hAnsi="宋体" w:cs="宋体"/>
          <w:b/>
          <w:bCs/>
          <w:sz w:val="24"/>
        </w:rPr>
        <w:t>1.资格审查</w:t>
      </w:r>
    </w:p>
    <w:p>
      <w:pPr>
        <w:spacing w:line="400" w:lineRule="exact"/>
        <w:ind w:firstLine="480" w:firstLineChars="200"/>
        <w:rPr>
          <w:rFonts w:ascii="宋体" w:hAnsi="宋体" w:cs="宋体"/>
          <w:sz w:val="24"/>
        </w:rPr>
      </w:pPr>
      <w:r>
        <w:rPr>
          <w:rFonts w:hint="eastAsia" w:ascii="宋体" w:hAnsi="宋体" w:cs="宋体"/>
          <w:sz w:val="24"/>
        </w:rPr>
        <w:t>响应文件开启后，磋商小组依法对供应商的资格证明文件进行审查。本工程采用资格后审的方式进行资格审查，参加本次竞标的供应商均要通过资格审查才能获得进入符合性审查环节。资格审查内容为：</w:t>
      </w:r>
    </w:p>
    <w:p>
      <w:pPr>
        <w:pStyle w:val="26"/>
        <w:spacing w:line="360" w:lineRule="exact"/>
        <w:ind w:firstLine="480" w:firstLineChars="200"/>
        <w:rPr>
          <w:rFonts w:ascii="宋体" w:hAnsi="宋体" w:cs="宋体"/>
          <w:sz w:val="24"/>
        </w:rPr>
      </w:pPr>
      <w:r>
        <w:rPr>
          <w:rFonts w:hint="eastAsia" w:ascii="宋体" w:hAnsi="宋体" w:cs="宋体"/>
          <w:sz w:val="24"/>
        </w:rPr>
        <w:t>（1）诚信声明；（加盖公章）</w:t>
      </w:r>
    </w:p>
    <w:p>
      <w:pPr>
        <w:pStyle w:val="26"/>
        <w:spacing w:line="360" w:lineRule="exact"/>
        <w:ind w:firstLine="480" w:firstLineChars="200"/>
        <w:rPr>
          <w:rFonts w:ascii="宋体" w:hAnsi="宋体" w:cs="宋体"/>
          <w:sz w:val="24"/>
        </w:rPr>
      </w:pPr>
      <w:r>
        <w:rPr>
          <w:rFonts w:hint="eastAsia" w:ascii="宋体" w:hAnsi="宋体" w:cs="宋体"/>
          <w:sz w:val="24"/>
        </w:rPr>
        <w:t>（2）有效的营业执照</w:t>
      </w:r>
      <w:r>
        <w:rPr>
          <w:rFonts w:hint="eastAsia" w:ascii="宋体" w:hAnsi="宋体" w:cs="宋体"/>
          <w:sz w:val="24"/>
          <w:lang w:val="en-US" w:eastAsia="zh-CN"/>
        </w:rPr>
        <w:t>复印件</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 xml:space="preserve">（3）有效的企业资质证书复印件；(加盖公章) </w:t>
      </w:r>
    </w:p>
    <w:p>
      <w:pPr>
        <w:pStyle w:val="26"/>
        <w:spacing w:line="360" w:lineRule="exact"/>
        <w:ind w:firstLine="480" w:firstLineChars="200"/>
        <w:rPr>
          <w:rFonts w:ascii="宋体" w:hAnsi="宋体" w:cs="宋体"/>
          <w:sz w:val="24"/>
        </w:rPr>
      </w:pPr>
      <w:r>
        <w:rPr>
          <w:rFonts w:hint="eastAsia" w:ascii="宋体" w:hAnsi="宋体" w:cs="宋体"/>
          <w:sz w:val="24"/>
        </w:rPr>
        <w:t>（4）有效的安全生产许可证复印件；(加盖公章)</w:t>
      </w:r>
    </w:p>
    <w:p>
      <w:pPr>
        <w:pStyle w:val="26"/>
        <w:spacing w:line="360" w:lineRule="exact"/>
        <w:ind w:firstLine="480" w:firstLineChars="200"/>
        <w:rPr>
          <w:rFonts w:ascii="宋体" w:hAnsi="宋体" w:cs="宋体"/>
          <w:sz w:val="24"/>
        </w:rPr>
      </w:pPr>
      <w:r>
        <w:rPr>
          <w:rFonts w:hint="eastAsia" w:ascii="宋体" w:hAnsi="宋体" w:cs="宋体"/>
          <w:sz w:val="24"/>
        </w:rPr>
        <w:t>（5）响应文件签署有效的授权委托书原件、委托代理人有效的身份证正反面复印件；（委托代理时必须提供，并加盖公章）</w:t>
      </w:r>
    </w:p>
    <w:p>
      <w:pPr>
        <w:pStyle w:val="26"/>
        <w:spacing w:line="360" w:lineRule="exact"/>
        <w:ind w:firstLine="480" w:firstLineChars="200"/>
        <w:rPr>
          <w:rFonts w:ascii="宋体" w:hAnsi="宋体" w:cs="宋体"/>
          <w:sz w:val="24"/>
        </w:rPr>
      </w:pPr>
      <w:r>
        <w:rPr>
          <w:rFonts w:hint="eastAsia" w:ascii="宋体" w:hAnsi="宋体" w:cs="宋体"/>
          <w:sz w:val="24"/>
        </w:rPr>
        <w:t>（6）有效的法定代表人身份证明书、法定代表人有效的身份证正反面复印件；（加盖公章）</w:t>
      </w:r>
    </w:p>
    <w:p>
      <w:pPr>
        <w:pStyle w:val="26"/>
        <w:spacing w:line="360" w:lineRule="exact"/>
        <w:ind w:firstLine="480" w:firstLineChars="200"/>
        <w:rPr>
          <w:rFonts w:ascii="宋体" w:hAnsi="宋体" w:cs="宋体"/>
          <w:sz w:val="24"/>
        </w:rPr>
      </w:pPr>
      <w:r>
        <w:rPr>
          <w:rFonts w:hint="eastAsia" w:ascii="宋体" w:hAnsi="宋体" w:cs="宋体"/>
          <w:sz w:val="24"/>
        </w:rPr>
        <w:t>（7）拟投入项目经理有效的市政公用工程专业贰级（含以上级）注册建造师证书、有效的安全生产考核合格证书（B证）、中级及以上职称证复印件，在供应商单位为其缴纳社保凭证</w:t>
      </w:r>
      <w:r>
        <w:rPr>
          <w:rFonts w:hint="eastAsia" w:ascii="宋体" w:hAnsi="宋体" w:cs="宋体"/>
          <w:color w:val="FF0000"/>
          <w:sz w:val="24"/>
        </w:rPr>
        <w:t>（提供2023年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月连续3个月的社保证明）</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（8）农民工工资保证金的交纳与使用承诺书；（加盖公章）（按桂劳社发［2009］50号文件执行）</w:t>
      </w:r>
    </w:p>
    <w:p>
      <w:pPr>
        <w:pStyle w:val="26"/>
        <w:spacing w:line="360" w:lineRule="exact"/>
        <w:ind w:firstLine="480" w:firstLineChars="200"/>
        <w:rPr>
          <w:rFonts w:ascii="宋体" w:hAnsi="宋体" w:cs="宋体"/>
          <w:sz w:val="24"/>
        </w:rPr>
      </w:pPr>
      <w:r>
        <w:rPr>
          <w:rFonts w:hint="eastAsia" w:ascii="宋体" w:hAnsi="宋体" w:cs="宋体"/>
          <w:sz w:val="24"/>
        </w:rPr>
        <w:t>（9）供应商依法缴纳税收的相关材料（</w:t>
      </w:r>
      <w:r>
        <w:rPr>
          <w:rFonts w:hint="eastAsia" w:ascii="宋体" w:hAnsi="宋体" w:cs="宋体"/>
          <w:color w:val="FF0000"/>
          <w:sz w:val="24"/>
        </w:rPr>
        <w:t>2022年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w:t>
      </w:r>
      <w:r>
        <w:rPr>
          <w:rFonts w:hint="eastAsia" w:ascii="宋体" w:hAnsi="宋体" w:cs="宋体"/>
          <w:sz w:val="24"/>
        </w:rPr>
        <w:t>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pPr>
        <w:pStyle w:val="26"/>
        <w:spacing w:line="360" w:lineRule="exact"/>
        <w:ind w:firstLine="480" w:firstLineChars="200"/>
        <w:rPr>
          <w:rFonts w:ascii="宋体" w:hAnsi="宋体" w:cs="宋体"/>
          <w:sz w:val="24"/>
        </w:rPr>
      </w:pPr>
      <w:r>
        <w:rPr>
          <w:rFonts w:hint="eastAsia" w:ascii="宋体" w:hAnsi="宋体" w:cs="宋体"/>
          <w:sz w:val="24"/>
        </w:rPr>
        <w:t>（10）供应商依法缴纳社会保障资金的相关材料</w:t>
      </w:r>
      <w:r>
        <w:rPr>
          <w:rFonts w:hint="eastAsia" w:ascii="宋体" w:hAnsi="宋体" w:cs="宋体"/>
          <w:color w:val="FF0000"/>
          <w:sz w:val="24"/>
        </w:rPr>
        <w:t>[2023年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w:t>
      </w:r>
      <w:r>
        <w:rPr>
          <w:rFonts w:hint="eastAsia" w:ascii="宋体" w:hAnsi="宋体" w:cs="宋体"/>
          <w:sz w:val="24"/>
        </w:rPr>
        <w:t>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pPr>
        <w:pStyle w:val="26"/>
        <w:spacing w:line="360" w:lineRule="exact"/>
        <w:ind w:firstLine="480" w:firstLineChars="200"/>
        <w:rPr>
          <w:rFonts w:ascii="宋体" w:hAnsi="宋体" w:cs="宋体"/>
          <w:sz w:val="24"/>
        </w:rPr>
      </w:pPr>
      <w:r>
        <w:rPr>
          <w:rFonts w:hint="eastAsia" w:ascii="宋体" w:hAnsi="宋体" w:cs="宋体"/>
          <w:sz w:val="24"/>
        </w:rPr>
        <w:t>（11）提供2022年度审计报告或财务会计报表（新成立单位按实际提供）（必须提供，同时要加盖单位公章，否则竞标无效 ）</w:t>
      </w:r>
    </w:p>
    <w:p>
      <w:pPr>
        <w:pStyle w:val="26"/>
        <w:spacing w:line="360" w:lineRule="exact"/>
        <w:ind w:firstLine="480" w:firstLineChars="200"/>
        <w:rPr>
          <w:rFonts w:ascii="宋体" w:hAnsi="宋体" w:cs="宋体"/>
          <w:sz w:val="24"/>
        </w:rPr>
      </w:pPr>
      <w:r>
        <w:rPr>
          <w:rFonts w:hint="eastAsia" w:ascii="宋体" w:hAnsi="宋体" w:cs="宋体"/>
          <w:sz w:val="24"/>
        </w:rPr>
        <w:t>（12）无在建项目承诺书：由供应商出具的拟投入本项目的项目经理无在建项目承诺书；（加盖公章）</w:t>
      </w:r>
    </w:p>
    <w:p>
      <w:pPr>
        <w:pStyle w:val="26"/>
        <w:spacing w:line="360" w:lineRule="exact"/>
        <w:ind w:firstLine="480" w:firstLineChars="200"/>
        <w:rPr>
          <w:rFonts w:ascii="宋体" w:hAnsi="宋体" w:cs="宋体"/>
          <w:sz w:val="24"/>
        </w:rPr>
      </w:pPr>
      <w:r>
        <w:rPr>
          <w:rFonts w:hint="eastAsia" w:ascii="宋体" w:hAnsi="宋体" w:cs="宋体"/>
          <w:sz w:val="24"/>
        </w:rPr>
        <w:t>（13）建设工程项目管理承诺书；（加盖公章）</w:t>
      </w:r>
    </w:p>
    <w:p>
      <w:pPr>
        <w:pStyle w:val="26"/>
        <w:spacing w:line="360" w:lineRule="exact"/>
        <w:ind w:firstLine="480" w:firstLineChars="200"/>
        <w:rPr>
          <w:rFonts w:ascii="宋体" w:hAnsi="宋体" w:cs="宋体"/>
          <w:sz w:val="24"/>
        </w:rPr>
      </w:pPr>
      <w:r>
        <w:rPr>
          <w:rFonts w:hint="eastAsia" w:ascii="宋体" w:hAnsi="宋体" w:cs="宋体"/>
          <w:sz w:val="24"/>
        </w:rPr>
        <w:t>（14）提供本单位参加政府采购活动前3年内在经营活动中没有重大违法记录的书面声明。（加盖公章）</w:t>
      </w:r>
    </w:p>
    <w:p>
      <w:pPr>
        <w:pStyle w:val="13"/>
        <w:spacing w:line="400" w:lineRule="exact"/>
        <w:rPr>
          <w:rFonts w:ascii="宋体" w:hAnsi="宋体" w:cs="宋体"/>
          <w:sz w:val="24"/>
        </w:rPr>
      </w:pPr>
      <w:r>
        <w:rPr>
          <w:rFonts w:hint="eastAsia" w:ascii="宋体" w:hAnsi="宋体" w:cs="宋体"/>
          <w:b/>
          <w:sz w:val="24"/>
        </w:rPr>
        <w:t>以上证件复印件需加盖竞标单位公章，上述内容任何一项缺或无效均会被视为资格审查不合格。通过资格审查的合格供应商不足3家的，不得进入符合性审查环节，采购人或者采购代理机构应当重新开展采购活动。</w:t>
      </w:r>
    </w:p>
    <w:p>
      <w:pPr>
        <w:spacing w:line="400" w:lineRule="exact"/>
        <w:ind w:firstLine="482" w:firstLineChars="200"/>
        <w:rPr>
          <w:rFonts w:ascii="宋体" w:hAnsi="宋体" w:cs="宋体"/>
          <w:b/>
          <w:bCs/>
          <w:sz w:val="24"/>
        </w:rPr>
      </w:pPr>
      <w:r>
        <w:rPr>
          <w:rFonts w:hint="eastAsia" w:ascii="宋体" w:hAnsi="宋体" w:cs="宋体"/>
          <w:b/>
          <w:bCs/>
          <w:sz w:val="24"/>
        </w:rPr>
        <w:t>2.符合性审查</w:t>
      </w:r>
    </w:p>
    <w:p>
      <w:pPr>
        <w:spacing w:line="400" w:lineRule="exact"/>
        <w:ind w:firstLine="480" w:firstLineChars="200"/>
        <w:rPr>
          <w:rFonts w:ascii="宋体" w:hAnsi="宋体" w:cs="宋体"/>
          <w:sz w:val="24"/>
        </w:rPr>
      </w:pPr>
      <w:r>
        <w:rPr>
          <w:rFonts w:hint="eastAsia" w:ascii="宋体" w:hAnsi="宋体" w:cs="宋体"/>
          <w:sz w:val="24"/>
        </w:rPr>
        <w:t>2.1 在详细评审之前，磋商小组将首先审定每份响应文件是否在实质上响应了竞争性磋商文件的要求。所谓实质上响应，是指响应文件应与竞争性磋商文件的所有实质性条款、条件和要求相符，无显著差异或保留，或者对合同中约定的供应商的权利和供应商义务方面造成重大的限制，纠正这些显著差异或保留将会对其他实质上响应竞争性磋商文件要求的响应文件的产生不公正的影响。</w:t>
      </w:r>
    </w:p>
    <w:p>
      <w:pPr>
        <w:spacing w:line="400" w:lineRule="exact"/>
        <w:ind w:firstLine="480" w:firstLineChars="200"/>
        <w:rPr>
          <w:rFonts w:ascii="宋体" w:hAnsi="宋体" w:cs="宋体"/>
          <w:sz w:val="24"/>
        </w:rPr>
      </w:pPr>
      <w:r>
        <w:rPr>
          <w:rFonts w:hint="eastAsia" w:ascii="宋体" w:hAnsi="宋体" w:cs="宋体"/>
          <w:sz w:val="24"/>
        </w:rPr>
        <w:t>2.2 如果响应文件实质上不响应竞争性磋商文件某项要求，磋商小组将予以拒绝，并且不允许供应商通过修改或撤销其不符合要求的差异或保留，使之成为具有响应性的竞标。</w:t>
      </w:r>
    </w:p>
    <w:p>
      <w:pPr>
        <w:spacing w:line="400" w:lineRule="exact"/>
        <w:ind w:firstLine="480" w:firstLineChars="200"/>
        <w:rPr>
          <w:rFonts w:ascii="宋体" w:hAnsi="宋体" w:cs="宋体"/>
          <w:sz w:val="24"/>
        </w:rPr>
      </w:pPr>
      <w:r>
        <w:rPr>
          <w:rFonts w:hint="eastAsia" w:ascii="宋体" w:hAnsi="宋体" w:cs="宋体"/>
          <w:sz w:val="24"/>
        </w:rPr>
        <w:t>2.3 响应文件的澄清</w:t>
      </w:r>
    </w:p>
    <w:p>
      <w:pPr>
        <w:spacing w:line="400" w:lineRule="exact"/>
        <w:ind w:firstLine="480" w:firstLineChars="200"/>
        <w:rPr>
          <w:rFonts w:ascii="宋体" w:hAnsi="宋体" w:cs="宋体"/>
          <w:sz w:val="24"/>
        </w:rPr>
      </w:pPr>
      <w:r>
        <w:rPr>
          <w:rFonts w:hint="eastAsia" w:ascii="宋体" w:hAnsi="宋体" w:cs="宋体"/>
          <w:sz w:val="24"/>
        </w:rPr>
        <w:t>为了有助于响应文件的审查、评价和比较，评审委员会可以个别地要求供应商澄清其响应文件。有关澄清的要求与答复，应以询标函形式进行。</w:t>
      </w:r>
    </w:p>
    <w:p>
      <w:pPr>
        <w:spacing w:line="400" w:lineRule="exact"/>
        <w:ind w:firstLine="480" w:firstLineChars="200"/>
        <w:rPr>
          <w:rFonts w:ascii="宋体" w:hAnsi="宋体" w:cs="宋体"/>
          <w:sz w:val="24"/>
        </w:rPr>
      </w:pPr>
      <w:r>
        <w:rPr>
          <w:rFonts w:hint="eastAsia" w:ascii="宋体" w:hAnsi="宋体" w:cs="宋体"/>
          <w:sz w:val="24"/>
        </w:rPr>
        <w:t>2.5 响应文件计算错误的修正</w:t>
      </w:r>
    </w:p>
    <w:p>
      <w:pPr>
        <w:spacing w:line="400" w:lineRule="exact"/>
        <w:ind w:firstLine="468" w:firstLineChars="195"/>
        <w:rPr>
          <w:rFonts w:ascii="宋体" w:hAnsi="宋体" w:cs="宋体"/>
          <w:sz w:val="24"/>
        </w:rPr>
      </w:pPr>
      <w:r>
        <w:rPr>
          <w:rFonts w:hint="eastAsia" w:ascii="宋体" w:hAnsi="宋体" w:cs="宋体"/>
          <w:sz w:val="24"/>
        </w:rPr>
        <w:t>2.5.1 磋商小组将对确定为实质上响应竞争性磋商文件要求的响应文件进行校核，看其是否有计算上或累计上的算术错误，修正错误的原则如下：</w:t>
      </w:r>
    </w:p>
    <w:p>
      <w:pPr>
        <w:spacing w:line="400" w:lineRule="exact"/>
        <w:ind w:firstLine="468" w:firstLineChars="195"/>
        <w:rPr>
          <w:rFonts w:ascii="宋体" w:hAnsi="宋体" w:cs="宋体"/>
          <w:sz w:val="24"/>
        </w:rPr>
      </w:pPr>
      <w:r>
        <w:rPr>
          <w:rFonts w:hint="eastAsia" w:ascii="宋体" w:hAnsi="宋体" w:cs="宋体"/>
          <w:sz w:val="24"/>
        </w:rPr>
        <w:t>⑴如果用阿拉伯数字表示的数额与用汉语文字表示的数额（人民币大写）不一致时，以汉语文字数额（人民币大写）为准。</w:t>
      </w:r>
    </w:p>
    <w:p>
      <w:pPr>
        <w:spacing w:line="400" w:lineRule="exact"/>
        <w:ind w:firstLine="468" w:firstLineChars="195"/>
        <w:rPr>
          <w:rFonts w:ascii="宋体" w:hAnsi="宋体" w:cs="宋体"/>
          <w:sz w:val="24"/>
        </w:rPr>
      </w:pPr>
      <w:r>
        <w:rPr>
          <w:rFonts w:hint="eastAsia" w:ascii="宋体" w:hAnsi="宋体" w:cs="宋体"/>
          <w:sz w:val="24"/>
        </w:rPr>
        <w:t>⑵当单价与工程量的乘积与合价之间不一致时，以标出的单价为准。除非磋商小组认为有明显的小数点错位，此时应以标出的合价为准，并修改单价。</w:t>
      </w:r>
    </w:p>
    <w:p>
      <w:pPr>
        <w:spacing w:line="400" w:lineRule="exact"/>
        <w:ind w:firstLine="468" w:firstLineChars="195"/>
        <w:rPr>
          <w:rFonts w:ascii="宋体" w:hAnsi="宋体" w:cs="宋体"/>
          <w:sz w:val="24"/>
        </w:rPr>
      </w:pPr>
      <w:r>
        <w:rPr>
          <w:rFonts w:hint="eastAsia" w:ascii="宋体" w:hAnsi="宋体" w:cs="宋体"/>
          <w:sz w:val="24"/>
        </w:rPr>
        <w:t>2.5.2 按上述修改错误的方法，调整响应文件中的竞标报价。经供应商确认同意后，调整后的报价对供应商起约束作用。如果供应商不接受修正后的竞标报价则其竞标将被拒绝，视为无效竞标。</w:t>
      </w:r>
    </w:p>
    <w:p>
      <w:pPr>
        <w:spacing w:line="360" w:lineRule="auto"/>
        <w:ind w:firstLine="480" w:firstLineChars="200"/>
        <w:rPr>
          <w:rFonts w:ascii="宋体" w:hAnsi="宋体" w:cs="宋体"/>
          <w:sz w:val="24"/>
        </w:rPr>
      </w:pPr>
      <w:r>
        <w:rPr>
          <w:rFonts w:hint="eastAsia" w:ascii="宋体" w:hAnsi="宋体" w:cs="宋体"/>
          <w:sz w:val="24"/>
        </w:rPr>
        <w:t>2.6 磋商小组将仅对初评合格的供应商进行终评。</w:t>
      </w:r>
    </w:p>
    <w:p>
      <w:pPr>
        <w:spacing w:line="360" w:lineRule="auto"/>
        <w:ind w:firstLine="480" w:firstLineChars="200"/>
        <w:rPr>
          <w:rFonts w:ascii="宋体" w:hAnsi="宋体" w:cs="宋体"/>
          <w:sz w:val="24"/>
        </w:rPr>
      </w:pPr>
      <w:r>
        <w:rPr>
          <w:rFonts w:hint="eastAsia" w:ascii="宋体" w:hAnsi="宋体" w:cs="宋体"/>
          <w:sz w:val="24"/>
        </w:rPr>
        <w:t>2.7磋商小组对响应文件进行评审，未实质性响应磋商文件的响应文件按无效处理，由磋商小组告知有关供应商。磋商小组从符合磋商文件规定的相应资格条件的供应商名单中确定不少于3家的供应商参加磋商。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360" w:lineRule="auto"/>
        <w:ind w:firstLine="480" w:firstLineChars="200"/>
        <w:rPr>
          <w:rFonts w:ascii="宋体" w:hAnsi="宋体" w:cs="宋体"/>
          <w:sz w:val="24"/>
        </w:rPr>
      </w:pPr>
      <w:r>
        <w:rPr>
          <w:rFonts w:hint="eastAsia" w:ascii="宋体" w:hAnsi="宋体" w:cs="宋体"/>
          <w:sz w:val="24"/>
        </w:rPr>
        <w:t>2.8通过符合性审查的合格供应商不足3家的，不得进入磋商环节，采购人或者采购代理机构应当重新开展采购活动。</w:t>
      </w:r>
    </w:p>
    <w:p>
      <w:pPr>
        <w:spacing w:line="360" w:lineRule="auto"/>
        <w:ind w:firstLine="482" w:firstLineChars="200"/>
        <w:rPr>
          <w:rFonts w:ascii="宋体" w:hAnsi="宋体" w:cs="宋体"/>
          <w:b/>
          <w:bCs/>
          <w:sz w:val="24"/>
        </w:rPr>
      </w:pPr>
      <w:r>
        <w:rPr>
          <w:rFonts w:hint="eastAsia" w:ascii="宋体" w:hAnsi="宋体" w:cs="宋体"/>
          <w:b/>
          <w:bCs/>
          <w:sz w:val="24"/>
        </w:rPr>
        <w:t>3.磋商</w:t>
      </w:r>
    </w:p>
    <w:p>
      <w:pPr>
        <w:spacing w:line="360" w:lineRule="auto"/>
        <w:ind w:firstLine="480" w:firstLineChars="200"/>
        <w:rPr>
          <w:rFonts w:ascii="宋体" w:hAnsi="宋体" w:cs="宋体"/>
          <w:kern w:val="0"/>
          <w:sz w:val="24"/>
        </w:rPr>
      </w:pPr>
      <w:r>
        <w:rPr>
          <w:rFonts w:hint="eastAsia" w:ascii="宋体" w:hAnsi="宋体" w:cs="宋体"/>
          <w:kern w:val="0"/>
          <w:sz w:val="24"/>
        </w:rPr>
        <w:t>3.磋商的程序</w:t>
      </w:r>
    </w:p>
    <w:p>
      <w:pPr>
        <w:spacing w:line="360" w:lineRule="auto"/>
        <w:ind w:firstLine="480" w:firstLineChars="200"/>
        <w:rPr>
          <w:rFonts w:ascii="宋体" w:hAnsi="宋体" w:cs="宋体"/>
          <w:kern w:val="0"/>
          <w:sz w:val="24"/>
        </w:rPr>
      </w:pPr>
      <w:r>
        <w:rPr>
          <w:rFonts w:hint="eastAsia" w:ascii="宋体" w:hAnsi="宋体" w:cs="宋体"/>
          <w:kern w:val="0"/>
          <w:sz w:val="24"/>
        </w:rPr>
        <w:t>3.1磋商小组按照“供应商须知前附表”</w:t>
      </w:r>
      <w:r>
        <w:rPr>
          <w:rFonts w:hint="eastAsia" w:ascii="宋体" w:hAnsi="宋体" w:cs="宋体"/>
          <w:sz w:val="24"/>
        </w:rPr>
        <w:t xml:space="preserve"> </w:t>
      </w:r>
      <w:r>
        <w:rPr>
          <w:rFonts w:hint="eastAsia" w:ascii="宋体" w:hAnsi="宋体" w:cs="宋体"/>
          <w:kern w:val="0"/>
          <w:sz w:val="24"/>
        </w:rPr>
        <w:t>确定的</w:t>
      </w:r>
      <w:r>
        <w:rPr>
          <w:rFonts w:hint="eastAsia" w:ascii="宋体" w:hAnsi="宋体" w:cs="宋体"/>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80" w:firstLineChars="200"/>
        <w:rPr>
          <w:rFonts w:ascii="宋体" w:hAnsi="宋体" w:cs="宋体"/>
          <w:sz w:val="24"/>
        </w:rPr>
      </w:pPr>
      <w:r>
        <w:rPr>
          <w:rFonts w:hint="eastAsia" w:ascii="宋体" w:hAnsi="宋体" w:cs="宋体"/>
          <w:sz w:val="24"/>
        </w:rPr>
        <w:t>3.2在磋商过程中，磋商小组可以根据磋商文件和磋商情况实质性变动技术标准及服务要求中的技术、服务要求以及合同草案条款，但不得变动磋商文件中的其他内容。实质性变动的内容，须经采购人代表确认。可能实质性变动的内容为技术标准及服务要求中的技术、服务要求以及合同草案条款。</w:t>
      </w:r>
    </w:p>
    <w:p>
      <w:pPr>
        <w:spacing w:line="360" w:lineRule="auto"/>
        <w:ind w:firstLine="480" w:firstLineChars="200"/>
        <w:rPr>
          <w:rFonts w:ascii="宋体" w:hAnsi="宋体" w:cs="宋体"/>
          <w:sz w:val="24"/>
        </w:rPr>
      </w:pPr>
      <w:r>
        <w:rPr>
          <w:rFonts w:hint="eastAsia" w:ascii="宋体" w:hAnsi="宋体" w:cs="宋体"/>
          <w:sz w:val="24"/>
        </w:rPr>
        <w:t>3.3对磋商文件作出的实质性变动是磋商文件的有效组成部分，由磋商小组及时以书面形式同时通知所有参加磋商的供应商。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3.4供应商必须按照磋商文件的变动情况和磋商小组的要求重新提交响应文件，并由其法定代表人或者授权代表签字或者加盖公章。由委托代理人签字的，</w:t>
      </w:r>
      <w:r>
        <w:rPr>
          <w:rFonts w:hint="eastAsia" w:ascii="宋体" w:hAnsi="宋体" w:cs="宋体"/>
          <w:bCs/>
          <w:sz w:val="24"/>
        </w:rPr>
        <w:t>若委托代理人不是响应文件中授权的委托代理人时，必须同时出示有效的法定代表人授权委托书原件</w:t>
      </w:r>
      <w:r>
        <w:rPr>
          <w:rFonts w:hint="eastAsia" w:ascii="宋体" w:hAnsi="宋体" w:cs="宋体"/>
          <w:sz w:val="24"/>
        </w:rPr>
        <w:t>。供应商为自然人的，必须由本人签字并附身份证明。参加磋商的供应商未在规定时间内重新提交响应文件的，视同</w:t>
      </w:r>
      <w:bookmarkStart w:id="11" w:name="_Hlk55814495"/>
      <w:r>
        <w:rPr>
          <w:rFonts w:hint="eastAsia" w:ascii="宋体" w:hAnsi="宋体" w:cs="宋体"/>
          <w:sz w:val="24"/>
        </w:rPr>
        <w:t>退出磋商</w:t>
      </w:r>
      <w:bookmarkEnd w:id="11"/>
      <w:r>
        <w:rPr>
          <w:rFonts w:hint="eastAsia" w:ascii="宋体" w:hAnsi="宋体" w:cs="宋体"/>
          <w:sz w:val="24"/>
        </w:rPr>
        <w:t>，其响应文件作无效处理。</w:t>
      </w:r>
    </w:p>
    <w:p>
      <w:pPr>
        <w:spacing w:line="360" w:lineRule="auto"/>
        <w:ind w:firstLine="480" w:firstLineChars="200"/>
        <w:rPr>
          <w:rFonts w:ascii="宋体" w:hAnsi="宋体" w:cs="宋体"/>
          <w:sz w:val="24"/>
        </w:rPr>
      </w:pPr>
      <w:r>
        <w:rPr>
          <w:rFonts w:hint="eastAsia" w:ascii="宋体" w:hAnsi="宋体" w:cs="宋体"/>
          <w:sz w:val="24"/>
        </w:rPr>
        <w:t>3.5磋商中，</w:t>
      </w:r>
      <w:r>
        <w:rPr>
          <w:rFonts w:hint="eastAsia" w:ascii="宋体" w:hAnsi="宋体" w:cs="宋体"/>
          <w:spacing w:val="-6"/>
          <w:sz w:val="24"/>
        </w:rPr>
        <w:t>磋商的任何一方不得透露与磋商有关的其他供应商的技术资料、价格和其他信息。</w:t>
      </w:r>
    </w:p>
    <w:p>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3.6采购代理机构对磋商过程和重要磋商内容进行记录，磋商双方在记录上签字确认。</w:t>
      </w:r>
    </w:p>
    <w:p>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3.7磋商过程中重新提交的响应文件，供应商可以在开启前补充、修改。</w:t>
      </w:r>
    </w:p>
    <w:p>
      <w:pPr>
        <w:tabs>
          <w:tab w:val="left" w:pos="2835"/>
        </w:tabs>
        <w:spacing w:line="360" w:lineRule="auto"/>
        <w:ind w:firstLine="480" w:firstLineChars="200"/>
        <w:rPr>
          <w:rFonts w:ascii="宋体" w:hAnsi="宋体" w:cs="宋体"/>
          <w:sz w:val="24"/>
        </w:rPr>
      </w:pPr>
      <w:r>
        <w:rPr>
          <w:rFonts w:hint="eastAsia" w:ascii="宋体" w:hAnsi="宋体" w:cs="宋体"/>
          <w:sz w:val="24"/>
        </w:rPr>
        <w:t>3.8对磋商过程提交的响应文件进行有效性、完整性和响应程度审查，通过审查的合格供应商不足3家的，除本章第3.8条的情形外，采购人或者采购代理机构应当重新开展采购活动。</w:t>
      </w:r>
    </w:p>
    <w:p>
      <w:pPr>
        <w:spacing w:line="360" w:lineRule="auto"/>
        <w:ind w:firstLine="482" w:firstLineChars="200"/>
        <w:rPr>
          <w:rFonts w:ascii="宋体" w:hAnsi="宋体" w:cs="宋体"/>
          <w:sz w:val="24"/>
        </w:rPr>
      </w:pPr>
      <w:r>
        <w:rPr>
          <w:rFonts w:hint="eastAsia" w:ascii="宋体" w:hAnsi="宋体" w:cs="宋体"/>
          <w:b/>
          <w:bCs/>
          <w:sz w:val="24"/>
        </w:rPr>
        <w:t>4. 最后报价</w:t>
      </w:r>
    </w:p>
    <w:p>
      <w:pPr>
        <w:spacing w:line="360" w:lineRule="auto"/>
        <w:ind w:firstLine="480" w:firstLineChars="200"/>
        <w:rPr>
          <w:rFonts w:ascii="宋体" w:hAnsi="宋体" w:cs="宋体"/>
          <w:sz w:val="24"/>
        </w:rPr>
      </w:pPr>
      <w:r>
        <w:rPr>
          <w:rFonts w:hint="eastAsia" w:ascii="宋体" w:hAnsi="宋体" w:cs="宋体"/>
          <w:sz w:val="24"/>
        </w:rPr>
        <w:t>4.1磋商文件能够详细列明采购标的的技术、服务要求的，磋商结束后，由磋商小组要求所有继续参加磋商的供应商在规定时间内密封提交最后报价，提交最后报价的供应商不得少于3家，否则必须重新采购。</w:t>
      </w:r>
    </w:p>
    <w:p>
      <w:pPr>
        <w:spacing w:line="360" w:lineRule="auto"/>
        <w:ind w:firstLine="480" w:firstLineChars="200"/>
        <w:rPr>
          <w:rFonts w:ascii="宋体" w:hAnsi="宋体" w:cs="宋体"/>
          <w:sz w:val="24"/>
        </w:rPr>
      </w:pPr>
      <w:r>
        <w:rPr>
          <w:rFonts w:hint="eastAsia" w:ascii="宋体" w:hAnsi="宋体" w:cs="宋体"/>
          <w:sz w:val="24"/>
        </w:rPr>
        <w:t>4.2磋商文件不能详细列明采购标的的技术、服务要求，需经磋商由供应商提供最后技术方案或者解决方案的，磋商结束后，由磋商小组按照少数服从多数的原则投票推荐3家以上供应商的技术方案或者解决方案，并要求其在规定时间内密封提交最后报价。</w:t>
      </w:r>
    </w:p>
    <w:p>
      <w:pPr>
        <w:spacing w:line="360" w:lineRule="auto"/>
        <w:ind w:firstLine="480" w:firstLineChars="200"/>
        <w:rPr>
          <w:rFonts w:ascii="宋体" w:hAnsi="宋体" w:cs="宋体"/>
          <w:sz w:val="24"/>
        </w:rPr>
      </w:pPr>
      <w:r>
        <w:rPr>
          <w:rFonts w:hint="eastAsia" w:ascii="宋体" w:hAnsi="宋体" w:cs="宋体"/>
          <w:sz w:val="24"/>
        </w:rPr>
        <w:t>4.3 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4.4已经提交响应文件的供应商，在提交最后报价之前，可以根据磋商情况退出磋商，退出磋商的供应商的响应文件按无效响应处理。</w:t>
      </w:r>
    </w:p>
    <w:p>
      <w:pPr>
        <w:spacing w:line="360" w:lineRule="auto"/>
        <w:ind w:firstLine="480" w:firstLineChars="200"/>
        <w:rPr>
          <w:rFonts w:ascii="宋体" w:hAnsi="宋体" w:cs="宋体"/>
          <w:sz w:val="24"/>
        </w:rPr>
      </w:pPr>
      <w:r>
        <w:rPr>
          <w:rFonts w:hint="eastAsia" w:ascii="宋体" w:hAnsi="宋体" w:cs="宋体"/>
          <w:sz w:val="24"/>
        </w:rPr>
        <w:t>4.5供应商未在规定时间内提交最后报价的，视为退出磋商，其响应文件作无效处理。</w:t>
      </w:r>
    </w:p>
    <w:p>
      <w:pPr>
        <w:spacing w:line="360" w:lineRule="auto"/>
        <w:ind w:firstLine="480" w:firstLineChars="200"/>
        <w:rPr>
          <w:rFonts w:ascii="宋体" w:hAnsi="宋体" w:cs="宋体"/>
          <w:sz w:val="24"/>
        </w:rPr>
      </w:pPr>
      <w:r>
        <w:rPr>
          <w:rFonts w:hint="eastAsia" w:ascii="宋体" w:hAnsi="宋体" w:cs="宋体"/>
          <w:sz w:val="24"/>
        </w:rPr>
        <w:t>4.6磋商小组收齐最后报价后统一开启，磋商小组对最后报价进行有效性、完整性和响应程度的审查。</w:t>
      </w:r>
    </w:p>
    <w:p>
      <w:pPr>
        <w:spacing w:line="360" w:lineRule="auto"/>
        <w:ind w:firstLine="480" w:firstLineChars="200"/>
        <w:rPr>
          <w:rFonts w:ascii="宋体" w:hAnsi="宋体" w:cs="宋体"/>
          <w:sz w:val="24"/>
        </w:rPr>
      </w:pPr>
      <w:r>
        <w:rPr>
          <w:rFonts w:hint="eastAsia" w:ascii="宋体" w:hAnsi="宋体" w:cs="宋体"/>
          <w:sz w:val="24"/>
        </w:rPr>
        <w:t xml:space="preserve">4.7响应文件最后报价出现前后不一致的，按照本章第2.4条的规定修正。 </w:t>
      </w:r>
    </w:p>
    <w:p>
      <w:pPr>
        <w:spacing w:line="360" w:lineRule="auto"/>
        <w:ind w:firstLine="480" w:firstLineChars="200"/>
        <w:rPr>
          <w:rFonts w:ascii="宋体" w:hAnsi="宋体" w:cs="宋体"/>
          <w:sz w:val="24"/>
        </w:rPr>
      </w:pPr>
      <w:r>
        <w:rPr>
          <w:rFonts w:hint="eastAsia" w:ascii="宋体" w:hAnsi="宋体" w:cs="宋体"/>
          <w:sz w:val="24"/>
        </w:rPr>
        <w:t>4.8修正后的报价出现下列情形的，按无效响应处理：</w:t>
      </w:r>
    </w:p>
    <w:p>
      <w:pPr>
        <w:spacing w:line="360" w:lineRule="auto"/>
        <w:ind w:firstLine="480" w:firstLineChars="200"/>
        <w:rPr>
          <w:rFonts w:ascii="宋体" w:hAnsi="宋体" w:cs="宋体"/>
          <w:sz w:val="24"/>
        </w:rPr>
      </w:pPr>
      <w:r>
        <w:rPr>
          <w:rFonts w:hint="eastAsia" w:ascii="宋体" w:hAnsi="宋体" w:cs="宋体"/>
          <w:sz w:val="24"/>
        </w:rPr>
        <w:t>（1）供应商不确认的；</w:t>
      </w:r>
    </w:p>
    <w:p>
      <w:pPr>
        <w:spacing w:line="360" w:lineRule="auto"/>
        <w:ind w:firstLine="480" w:firstLineChars="200"/>
        <w:rPr>
          <w:rFonts w:ascii="宋体" w:hAnsi="宋体" w:cs="宋体"/>
          <w:sz w:val="24"/>
        </w:rPr>
      </w:pPr>
      <w:r>
        <w:rPr>
          <w:rFonts w:hint="eastAsia" w:ascii="宋体" w:hAnsi="宋体" w:cs="宋体"/>
          <w:sz w:val="24"/>
        </w:rPr>
        <w:t>（2）经供应商确认修正后的竞标报价（包含首次报价、最后报价）超过所竞标分标规定的采购预算金额或者最高限价的（如本项目公布了最高限价）；</w:t>
      </w:r>
    </w:p>
    <w:p>
      <w:pPr>
        <w:spacing w:line="360" w:lineRule="auto"/>
        <w:ind w:firstLine="480" w:firstLineChars="200"/>
        <w:rPr>
          <w:rFonts w:ascii="宋体" w:hAnsi="宋体" w:cs="宋体"/>
          <w:sz w:val="24"/>
        </w:rPr>
      </w:pPr>
      <w:r>
        <w:rPr>
          <w:rFonts w:hint="eastAsia" w:ascii="宋体" w:hAnsi="宋体" w:cs="宋体"/>
          <w:sz w:val="24"/>
        </w:rPr>
        <w:t>（3）经供应商确认修正后的竞标报价（包含首次报价、最后报价）超过分项采购预算金额或者最高限价的（如本项目公布了最高限价）。</w:t>
      </w:r>
    </w:p>
    <w:p>
      <w:pPr>
        <w:spacing w:line="360" w:lineRule="auto"/>
        <w:ind w:firstLine="480" w:firstLineChars="200"/>
        <w:rPr>
          <w:rFonts w:ascii="宋体" w:hAnsi="宋体" w:cs="宋体"/>
          <w:sz w:val="24"/>
        </w:rPr>
      </w:pPr>
      <w:r>
        <w:rPr>
          <w:rFonts w:hint="eastAsia" w:ascii="宋体" w:hAnsi="宋体" w:cs="宋体"/>
          <w:sz w:val="24"/>
        </w:rPr>
        <w:t>4.9经供应商确认修正后的最后报价作为评审及签订合同的依据。</w:t>
      </w:r>
    </w:p>
    <w:p>
      <w:pPr>
        <w:spacing w:line="360" w:lineRule="auto"/>
        <w:ind w:firstLine="480" w:firstLineChars="200"/>
        <w:rPr>
          <w:rFonts w:ascii="宋体" w:hAnsi="宋体" w:cs="宋体"/>
          <w:sz w:val="24"/>
        </w:rPr>
      </w:pPr>
      <w:r>
        <w:rPr>
          <w:rFonts w:hint="eastAsia" w:ascii="宋体" w:hAnsi="宋体" w:cs="宋体"/>
          <w:sz w:val="24"/>
        </w:rPr>
        <w:t>4.10最后报价结束后，磋商小组不得再与供应商进行任何形式的商谈。</w:t>
      </w:r>
    </w:p>
    <w:p>
      <w:pPr>
        <w:spacing w:line="360" w:lineRule="auto"/>
        <w:ind w:firstLine="482" w:firstLineChars="200"/>
        <w:rPr>
          <w:rFonts w:ascii="宋体" w:hAnsi="宋体" w:cs="宋体"/>
          <w:b/>
          <w:bCs/>
          <w:sz w:val="24"/>
        </w:rPr>
      </w:pPr>
      <w:r>
        <w:rPr>
          <w:rFonts w:hint="eastAsia" w:ascii="宋体" w:hAnsi="宋体" w:cs="宋体"/>
          <w:b/>
          <w:bCs/>
          <w:sz w:val="24"/>
        </w:rPr>
        <w:t>（注：如供应商的最后报价有变化，请提供完整的最后报价清单。）</w:t>
      </w:r>
    </w:p>
    <w:p>
      <w:pPr>
        <w:spacing w:line="360" w:lineRule="auto"/>
        <w:ind w:firstLine="482" w:firstLineChars="200"/>
        <w:rPr>
          <w:rFonts w:ascii="宋体" w:hAnsi="宋体" w:cs="宋体"/>
          <w:b/>
          <w:bCs/>
          <w:sz w:val="24"/>
        </w:rPr>
      </w:pPr>
      <w:r>
        <w:rPr>
          <w:rFonts w:hint="eastAsia" w:ascii="宋体" w:hAnsi="宋体" w:cs="宋体"/>
          <w:b/>
          <w:bCs/>
          <w:sz w:val="24"/>
        </w:rPr>
        <w:t>5.比较与评价</w:t>
      </w:r>
    </w:p>
    <w:p>
      <w:pPr>
        <w:spacing w:line="360" w:lineRule="auto"/>
        <w:ind w:firstLine="480" w:firstLineChars="200"/>
        <w:rPr>
          <w:rFonts w:ascii="宋体" w:hAnsi="宋体" w:cs="宋体"/>
          <w:sz w:val="24"/>
        </w:rPr>
      </w:pPr>
      <w:r>
        <w:rPr>
          <w:rFonts w:hint="eastAsia" w:ascii="宋体" w:hAnsi="宋体" w:cs="宋体"/>
          <w:sz w:val="24"/>
        </w:rPr>
        <w:t>5.1评审方法：综合评分法。</w:t>
      </w:r>
    </w:p>
    <w:p>
      <w:pPr>
        <w:spacing w:line="360" w:lineRule="auto"/>
        <w:ind w:firstLine="480" w:firstLineChars="200"/>
        <w:rPr>
          <w:rFonts w:ascii="宋体" w:hAnsi="宋体" w:cs="宋体"/>
          <w:sz w:val="24"/>
        </w:rPr>
      </w:pPr>
      <w:r>
        <w:rPr>
          <w:rFonts w:hint="eastAsia" w:ascii="宋体" w:hAnsi="宋体" w:cs="宋体"/>
          <w:sz w:val="24"/>
        </w:rPr>
        <w:t>5.2经磋商提交最后报价的供应商后，由磋商小组采用综合评分法对提交最后报价的供应商的响应文件和最后报价进行综合评分。</w:t>
      </w:r>
    </w:p>
    <w:p>
      <w:pPr>
        <w:spacing w:line="360" w:lineRule="auto"/>
        <w:ind w:firstLine="480" w:firstLineChars="200"/>
        <w:rPr>
          <w:rFonts w:ascii="宋体" w:hAnsi="宋体" w:cs="宋体"/>
          <w:sz w:val="24"/>
        </w:rPr>
      </w:pPr>
      <w:r>
        <w:rPr>
          <w:rFonts w:hint="eastAsia" w:ascii="宋体" w:hAnsi="宋体" w:cs="宋体"/>
          <w:sz w:val="24"/>
        </w:rPr>
        <w:t>5.3评审时，磋商小组各成员应当独立对每个有效响应的文件进行评价、打分，然后汇总每个供应商每项评分因素的得分。</w:t>
      </w:r>
    </w:p>
    <w:p>
      <w:pPr>
        <w:spacing w:line="360" w:lineRule="auto"/>
        <w:ind w:firstLine="480" w:firstLineChars="200"/>
        <w:rPr>
          <w:rFonts w:ascii="宋体" w:hAnsi="宋体" w:cs="宋体"/>
          <w:sz w:val="24"/>
        </w:rPr>
      </w:pPr>
      <w:r>
        <w:rPr>
          <w:rFonts w:hint="eastAsia" w:ascii="宋体" w:hAnsi="宋体" w:cs="宋体"/>
          <w:sz w:val="24"/>
        </w:rPr>
        <w:t>（1）磋商小组按照磋商文件中规定的评审标准计算各供应商的报价得分。项目评审过程中，不得去掉最后报价中的最高报价和最低报价。</w:t>
      </w:r>
    </w:p>
    <w:p>
      <w:pPr>
        <w:spacing w:line="360" w:lineRule="auto"/>
        <w:ind w:firstLine="480" w:firstLineChars="200"/>
        <w:rPr>
          <w:rFonts w:ascii="宋体" w:hAnsi="宋体" w:cs="宋体"/>
          <w:sz w:val="24"/>
        </w:rPr>
      </w:pPr>
      <w:r>
        <w:rPr>
          <w:rFonts w:hint="eastAsia" w:ascii="宋体" w:hAnsi="宋体" w:cs="宋体"/>
          <w:sz w:val="24"/>
        </w:rPr>
        <w:t>（2）各供应商的得分为磋商小组所有成员的有效评分的算术平均数。</w:t>
      </w:r>
    </w:p>
    <w:p>
      <w:pPr>
        <w:spacing w:line="360" w:lineRule="auto"/>
        <w:ind w:firstLine="480" w:firstLineChars="200"/>
        <w:rPr>
          <w:rFonts w:ascii="宋体" w:hAnsi="宋体" w:cs="宋体"/>
          <w:sz w:val="24"/>
        </w:rPr>
      </w:pPr>
      <w:r>
        <w:rPr>
          <w:rFonts w:hint="eastAsia" w:ascii="宋体" w:hAnsi="宋体" w:cs="宋体"/>
          <w:sz w:val="24"/>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80" w:firstLineChars="200"/>
        <w:rPr>
          <w:rFonts w:ascii="宋体" w:hAnsi="宋体" w:cs="宋体"/>
          <w:kern w:val="0"/>
          <w:sz w:val="24"/>
        </w:rPr>
      </w:pPr>
      <w:r>
        <w:rPr>
          <w:rFonts w:hint="eastAsia" w:ascii="宋体" w:hAnsi="宋体" w:cs="宋体"/>
          <w:sz w:val="24"/>
        </w:rPr>
        <w:t>5.5由磋商小组根据综合评分情况，按照评审得分由高到低顺序推荐3名以上成交候选供应商，并编写评</w:t>
      </w:r>
      <w:r>
        <w:rPr>
          <w:rFonts w:hint="eastAsia" w:ascii="宋体" w:hAnsi="宋体" w:cs="宋体"/>
          <w:kern w:val="0"/>
          <w:sz w:val="24"/>
        </w:rPr>
        <w:t>审报告。评审得分相同的，按照最后报价由低到高的顺序推荐。评审得分且最后报价相同的，按照技术指标优劣顺序推荐。</w:t>
      </w:r>
    </w:p>
    <w:p>
      <w:pPr>
        <w:spacing w:line="360" w:lineRule="auto"/>
        <w:ind w:firstLine="480" w:firstLineChars="200"/>
        <w:rPr>
          <w:rFonts w:ascii="宋体" w:hAnsi="宋体" w:cs="宋体"/>
          <w:szCs w:val="21"/>
        </w:rPr>
      </w:pPr>
      <w:r>
        <w:rPr>
          <w:rFonts w:hint="eastAsia" w:ascii="宋体" w:hAnsi="宋体" w:cs="宋体"/>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cs="宋体"/>
          <w:b/>
          <w:sz w:val="32"/>
          <w:szCs w:val="32"/>
        </w:rPr>
      </w:pPr>
      <w:r>
        <w:rPr>
          <w:rFonts w:hint="eastAsia" w:ascii="宋体" w:hAnsi="宋体" w:cs="宋体"/>
          <w:b/>
          <w:sz w:val="32"/>
          <w:szCs w:val="32"/>
        </w:rPr>
        <w:t>二、评审标准</w:t>
      </w:r>
    </w:p>
    <w:p>
      <w:pPr>
        <w:spacing w:line="360" w:lineRule="auto"/>
        <w:ind w:firstLine="480" w:firstLineChars="200"/>
        <w:rPr>
          <w:rFonts w:ascii="宋体" w:hAnsi="宋体" w:cs="宋体"/>
          <w:kern w:val="0"/>
          <w:sz w:val="24"/>
        </w:rPr>
      </w:pPr>
      <w:r>
        <w:rPr>
          <w:rFonts w:hint="eastAsia" w:ascii="宋体" w:hAnsi="宋体" w:cs="宋体"/>
          <w:kern w:val="0"/>
          <w:sz w:val="24"/>
        </w:rPr>
        <w:t>6.评审依据：磋商小组将以磋商响应文件为评审依据，对供应商的报价、技术、商务等方面内容按百分制打分。（计分方法按四舍五入取至百分位）</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19"/>
        <w:gridCol w:w="2145"/>
        <w:gridCol w:w="832"/>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8" w:type="dxa"/>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序号</w:t>
            </w:r>
          </w:p>
        </w:tc>
        <w:tc>
          <w:tcPr>
            <w:tcW w:w="1119" w:type="dxa"/>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评审因素</w:t>
            </w:r>
          </w:p>
        </w:tc>
        <w:tc>
          <w:tcPr>
            <w:tcW w:w="7283" w:type="dxa"/>
            <w:gridSpan w:val="3"/>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807" w:type="dxa"/>
            <w:gridSpan w:val="2"/>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详细评审内容</w:t>
            </w:r>
          </w:p>
        </w:tc>
        <w:tc>
          <w:tcPr>
            <w:tcW w:w="2977" w:type="dxa"/>
            <w:gridSpan w:val="2"/>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分值构成（100分）：</w:t>
            </w:r>
          </w:p>
        </w:tc>
        <w:tc>
          <w:tcPr>
            <w:tcW w:w="4306" w:type="dxa"/>
            <w:noWrap w:val="0"/>
            <w:vAlign w:val="center"/>
          </w:tcPr>
          <w:p>
            <w:pPr>
              <w:widowControl/>
              <w:spacing w:line="360" w:lineRule="exact"/>
              <w:jc w:val="left"/>
              <w:rPr>
                <w:rFonts w:hint="eastAsia" w:ascii="宋体" w:hAnsi="宋体" w:cs="Arial"/>
                <w:b/>
                <w:bCs/>
                <w:color w:val="000000"/>
                <w:kern w:val="0"/>
                <w:szCs w:val="21"/>
              </w:rPr>
            </w:pPr>
            <w:r>
              <w:rPr>
                <w:rFonts w:ascii="宋体" w:hAnsi="宋体" w:cs="Arial"/>
                <w:b/>
                <w:bCs/>
                <w:color w:val="000000"/>
                <w:kern w:val="0"/>
                <w:szCs w:val="21"/>
              </w:rPr>
              <w:t>1.价格分</w:t>
            </w:r>
            <w:r>
              <w:rPr>
                <w:rFonts w:hint="eastAsia" w:ascii="宋体" w:hAnsi="宋体" w:cs="Arial"/>
                <w:b/>
                <w:bCs/>
                <w:color w:val="000000"/>
                <w:kern w:val="0"/>
                <w:szCs w:val="21"/>
              </w:rPr>
              <w:t>4</w:t>
            </w:r>
            <w:r>
              <w:rPr>
                <w:rFonts w:ascii="宋体" w:hAnsi="宋体" w:cs="Arial"/>
                <w:b/>
                <w:bCs/>
                <w:color w:val="000000"/>
                <w:kern w:val="0"/>
                <w:szCs w:val="21"/>
              </w:rPr>
              <w:t>0</w:t>
            </w:r>
            <w:r>
              <w:rPr>
                <w:rFonts w:hint="eastAsia" w:ascii="宋体" w:hAnsi="宋体" w:cs="Arial"/>
                <w:b/>
                <w:bCs/>
                <w:color w:val="000000"/>
                <w:kern w:val="0"/>
                <w:szCs w:val="21"/>
              </w:rPr>
              <w:t>分</w:t>
            </w:r>
          </w:p>
          <w:p>
            <w:pPr>
              <w:widowControl/>
              <w:spacing w:line="360" w:lineRule="exact"/>
              <w:jc w:val="left"/>
              <w:rPr>
                <w:rFonts w:ascii="宋体" w:hAnsi="宋体" w:cs="Arial"/>
                <w:b/>
                <w:bCs/>
                <w:color w:val="000000"/>
                <w:kern w:val="0"/>
                <w:szCs w:val="21"/>
              </w:rPr>
            </w:pPr>
            <w:r>
              <w:rPr>
                <w:rFonts w:hint="eastAsia" w:ascii="宋体" w:hAnsi="宋体" w:cs="Arial"/>
                <w:b/>
                <w:bCs/>
                <w:color w:val="000000"/>
                <w:kern w:val="0"/>
                <w:szCs w:val="21"/>
              </w:rPr>
              <w:t>2</w:t>
            </w:r>
            <w:r>
              <w:rPr>
                <w:rFonts w:ascii="宋体" w:hAnsi="宋体" w:cs="Arial"/>
                <w:b/>
                <w:bCs/>
                <w:color w:val="000000"/>
                <w:kern w:val="0"/>
                <w:szCs w:val="21"/>
              </w:rPr>
              <w:t>.技术分60分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8" w:type="dxa"/>
            <w:noWrap w:val="0"/>
            <w:vAlign w:val="center"/>
          </w:tcPr>
          <w:p>
            <w:pPr>
              <w:widowControl/>
              <w:spacing w:line="360" w:lineRule="exact"/>
              <w:rPr>
                <w:rFonts w:ascii="宋体" w:hAnsi="宋体" w:cs="Arial"/>
                <w:color w:val="000000"/>
                <w:kern w:val="0"/>
                <w:szCs w:val="21"/>
              </w:rPr>
            </w:pPr>
            <w:r>
              <w:rPr>
                <w:rFonts w:ascii="宋体" w:hAnsi="宋体" w:cs="Arial"/>
                <w:color w:val="000000"/>
                <w:kern w:val="0"/>
                <w:szCs w:val="21"/>
              </w:rPr>
              <w:t>1</w:t>
            </w:r>
          </w:p>
        </w:tc>
        <w:tc>
          <w:tcPr>
            <w:tcW w:w="1119" w:type="dxa"/>
            <w:noWrap w:val="0"/>
            <w:vAlign w:val="center"/>
          </w:tcPr>
          <w:p>
            <w:pPr>
              <w:widowControl/>
              <w:spacing w:line="360" w:lineRule="exact"/>
              <w:jc w:val="center"/>
              <w:rPr>
                <w:rFonts w:ascii="宋体" w:hAnsi="宋体" w:cs="Arial"/>
                <w:color w:val="000000"/>
                <w:kern w:val="0"/>
                <w:szCs w:val="21"/>
              </w:rPr>
            </w:pPr>
            <w:r>
              <w:rPr>
                <w:rFonts w:ascii="宋体" w:hAnsi="宋体" w:cs="Arial"/>
                <w:color w:val="000000"/>
                <w:kern w:val="0"/>
                <w:szCs w:val="21"/>
              </w:rPr>
              <w:t>价格分</w:t>
            </w:r>
          </w:p>
          <w:p>
            <w:pPr>
              <w:widowControl/>
              <w:spacing w:line="360" w:lineRule="exact"/>
              <w:jc w:val="center"/>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4</w:t>
            </w:r>
            <w:r>
              <w:rPr>
                <w:rFonts w:ascii="宋体" w:hAnsi="宋体" w:cs="Arial"/>
                <w:color w:val="000000"/>
                <w:kern w:val="0"/>
                <w:szCs w:val="21"/>
              </w:rPr>
              <w:t>0分)</w:t>
            </w:r>
          </w:p>
        </w:tc>
        <w:tc>
          <w:tcPr>
            <w:tcW w:w="7283" w:type="dxa"/>
            <w:gridSpan w:val="3"/>
            <w:noWrap w:val="0"/>
            <w:vAlign w:val="top"/>
          </w:tcPr>
          <w:p>
            <w:pPr>
              <w:pStyle w:val="23"/>
              <w:spacing w:line="360" w:lineRule="exact"/>
              <w:rPr>
                <w:rFonts w:hAnsi="宋体" w:cs="Arial"/>
                <w:bCs/>
                <w:color w:val="000000"/>
                <w:kern w:val="2"/>
                <w:sz w:val="21"/>
                <w:lang w:val="en-US" w:eastAsia="zh-CN"/>
              </w:rPr>
            </w:pPr>
            <w:r>
              <w:rPr>
                <w:rFonts w:hAnsi="宋体" w:cs="Arial"/>
                <w:bCs/>
                <w:color w:val="000000"/>
                <w:kern w:val="2"/>
                <w:sz w:val="21"/>
                <w:lang w:val="en-US" w:eastAsia="zh-CN"/>
              </w:rPr>
              <w:t>价格分计算公式：</w:t>
            </w:r>
          </w:p>
          <w:p>
            <w:pPr>
              <w:tabs>
                <w:tab w:val="left" w:pos="668"/>
                <w:tab w:val="left" w:pos="680"/>
                <w:tab w:val="left" w:pos="1190"/>
                <w:tab w:val="left" w:pos="1264"/>
              </w:tabs>
              <w:spacing w:line="400" w:lineRule="atLeast"/>
              <w:rPr>
                <w:rFonts w:ascii="宋体" w:hAnsi="宋体" w:cs="Arial"/>
                <w:color w:val="000000"/>
                <w:szCs w:val="21"/>
              </w:rPr>
            </w:pPr>
            <w:r>
              <w:rPr>
                <w:rFonts w:ascii="宋体" w:hAnsi="宋体" w:cs="Arial"/>
                <w:bCs/>
                <w:color w:val="000000"/>
                <w:szCs w:val="21"/>
              </w:rPr>
              <w:t>报价得分=（</w:t>
            </w:r>
            <w:r>
              <w:rPr>
                <w:rFonts w:hint="eastAsia" w:ascii="宋体" w:hAnsi="宋体" w:cs="Arial"/>
                <w:bCs/>
                <w:color w:val="000000"/>
                <w:szCs w:val="21"/>
              </w:rPr>
              <w:t>最低报价</w:t>
            </w:r>
            <w:r>
              <w:rPr>
                <w:rFonts w:ascii="宋体" w:hAnsi="宋体" w:cs="Arial"/>
                <w:bCs/>
                <w:color w:val="000000"/>
                <w:szCs w:val="21"/>
              </w:rPr>
              <w:t>/</w:t>
            </w:r>
            <w:r>
              <w:rPr>
                <w:rFonts w:hint="eastAsia" w:ascii="宋体" w:hAnsi="宋体" w:cs="Arial"/>
                <w:bCs/>
                <w:color w:val="000000"/>
                <w:szCs w:val="21"/>
              </w:rPr>
              <w:t>投标</w:t>
            </w:r>
            <w:r>
              <w:rPr>
                <w:rFonts w:ascii="宋体" w:hAnsi="宋体" w:cs="Arial"/>
                <w:bCs/>
                <w:color w:val="000000"/>
                <w:szCs w:val="21"/>
              </w:rPr>
              <w:t>报价）×</w:t>
            </w:r>
            <w:r>
              <w:rPr>
                <w:rFonts w:ascii="宋体" w:hAnsi="宋体" w:cs="Arial"/>
                <w:bCs/>
                <w:color w:val="000000"/>
                <w:szCs w:val="21"/>
                <w:u w:val="single"/>
              </w:rPr>
              <w:t xml:space="preserve"> </w:t>
            </w:r>
            <w:r>
              <w:rPr>
                <w:rFonts w:hint="eastAsia" w:ascii="宋体" w:hAnsi="宋体" w:cs="Arial"/>
                <w:bCs/>
                <w:color w:val="000000"/>
                <w:szCs w:val="21"/>
                <w:u w:val="single"/>
              </w:rPr>
              <w:t>4</w:t>
            </w:r>
            <w:r>
              <w:rPr>
                <w:rFonts w:ascii="宋体" w:hAnsi="宋体" w:cs="Arial"/>
                <w:bCs/>
                <w:color w:val="000000"/>
                <w:szCs w:val="21"/>
                <w:u w:val="single"/>
              </w:rPr>
              <w:t>0 分</w:t>
            </w:r>
            <w:r>
              <w:rPr>
                <w:rFonts w:ascii="宋体" w:hAnsi="宋体" w:cs="Arial"/>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widowControl/>
              <w:spacing w:line="360" w:lineRule="exact"/>
              <w:jc w:val="center"/>
              <w:rPr>
                <w:rFonts w:hint="eastAsia" w:ascii="宋体" w:hAnsi="宋体" w:cs="Arial"/>
                <w:color w:val="000000"/>
                <w:kern w:val="0"/>
                <w:szCs w:val="21"/>
              </w:rPr>
            </w:pPr>
            <w:r>
              <w:rPr>
                <w:rFonts w:hint="eastAsia" w:ascii="宋体" w:hAnsi="宋体" w:cs="Arial"/>
                <w:color w:val="000000"/>
                <w:kern w:val="0"/>
                <w:szCs w:val="21"/>
              </w:rPr>
              <w:t>2</w:t>
            </w:r>
          </w:p>
        </w:tc>
        <w:tc>
          <w:tcPr>
            <w:tcW w:w="1119" w:type="dxa"/>
            <w:noWrap w:val="0"/>
            <w:vAlign w:val="center"/>
          </w:tcPr>
          <w:p>
            <w:pPr>
              <w:widowControl/>
              <w:spacing w:line="360" w:lineRule="exact"/>
              <w:jc w:val="center"/>
              <w:rPr>
                <w:rFonts w:ascii="宋体" w:hAnsi="宋体" w:cs="Arial"/>
                <w:bCs/>
                <w:color w:val="000000"/>
                <w:szCs w:val="21"/>
              </w:rPr>
            </w:pPr>
            <w:r>
              <w:rPr>
                <w:rFonts w:ascii="宋体" w:hAnsi="宋体" w:cs="Arial"/>
                <w:bCs/>
                <w:color w:val="000000"/>
                <w:szCs w:val="21"/>
              </w:rPr>
              <w:t>技术分</w:t>
            </w:r>
          </w:p>
        </w:tc>
        <w:tc>
          <w:tcPr>
            <w:tcW w:w="7283" w:type="dxa"/>
            <w:gridSpan w:val="3"/>
            <w:noWrap w:val="0"/>
            <w:vAlign w:val="center"/>
          </w:tcPr>
          <w:p>
            <w:pPr>
              <w:widowControl/>
              <w:spacing w:line="360" w:lineRule="exact"/>
              <w:jc w:val="center"/>
              <w:rPr>
                <w:rFonts w:ascii="宋体" w:hAnsi="宋体" w:cs="Arial"/>
                <w:color w:val="000000"/>
                <w:kern w:val="0"/>
                <w:szCs w:val="21"/>
              </w:rPr>
            </w:pPr>
            <w:r>
              <w:rPr>
                <w:rFonts w:ascii="宋体" w:hAnsi="宋体" w:cs="Arial"/>
                <w:color w:val="000000"/>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spacing w:line="360" w:lineRule="exact"/>
              <w:jc w:val="center"/>
              <w:rPr>
                <w:rFonts w:ascii="宋体" w:hAnsi="宋体" w:cs="Arial"/>
                <w:b/>
                <w:szCs w:val="21"/>
              </w:rPr>
            </w:pPr>
            <w:r>
              <w:rPr>
                <w:rFonts w:ascii="宋体" w:hAnsi="宋体" w:cs="Arial"/>
                <w:b/>
                <w:szCs w:val="21"/>
              </w:rPr>
              <w:t>序号</w:t>
            </w:r>
          </w:p>
        </w:tc>
        <w:tc>
          <w:tcPr>
            <w:tcW w:w="1119" w:type="dxa"/>
            <w:noWrap w:val="0"/>
            <w:vAlign w:val="center"/>
          </w:tcPr>
          <w:p>
            <w:pPr>
              <w:spacing w:line="360" w:lineRule="exact"/>
              <w:jc w:val="center"/>
              <w:rPr>
                <w:rFonts w:ascii="宋体" w:hAnsi="宋体" w:cs="Arial"/>
                <w:b/>
                <w:szCs w:val="21"/>
              </w:rPr>
            </w:pPr>
            <w:r>
              <w:rPr>
                <w:rFonts w:ascii="宋体" w:hAnsi="宋体" w:cs="Arial"/>
                <w:b/>
                <w:szCs w:val="21"/>
              </w:rPr>
              <w:t>评审因素及分值</w:t>
            </w:r>
          </w:p>
        </w:tc>
        <w:tc>
          <w:tcPr>
            <w:tcW w:w="2145" w:type="dxa"/>
            <w:noWrap w:val="0"/>
            <w:vAlign w:val="center"/>
          </w:tcPr>
          <w:p>
            <w:pPr>
              <w:spacing w:line="360" w:lineRule="exact"/>
              <w:jc w:val="center"/>
              <w:rPr>
                <w:rFonts w:ascii="宋体" w:hAnsi="宋体" w:cs="Arial"/>
                <w:b/>
                <w:szCs w:val="21"/>
              </w:rPr>
            </w:pPr>
            <w:r>
              <w:rPr>
                <w:rFonts w:ascii="宋体" w:hAnsi="宋体" w:cs="Arial"/>
                <w:b/>
                <w:szCs w:val="21"/>
              </w:rPr>
              <w:t>评分因素及分值</w:t>
            </w:r>
          </w:p>
        </w:tc>
        <w:tc>
          <w:tcPr>
            <w:tcW w:w="5138" w:type="dxa"/>
            <w:gridSpan w:val="2"/>
            <w:noWrap w:val="0"/>
            <w:vAlign w:val="center"/>
          </w:tcPr>
          <w:p>
            <w:pPr>
              <w:spacing w:line="360" w:lineRule="exact"/>
              <w:jc w:val="center"/>
              <w:rPr>
                <w:rFonts w:ascii="宋体" w:hAnsi="宋体" w:cs="Arial"/>
                <w:b/>
                <w:szCs w:val="21"/>
              </w:rPr>
            </w:pPr>
            <w:r>
              <w:rPr>
                <w:rFonts w:ascii="宋体" w:hAnsi="宋体" w:cs="Arial"/>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widowControl/>
              <w:spacing w:line="360" w:lineRule="exact"/>
              <w:jc w:val="center"/>
              <w:rPr>
                <w:rFonts w:ascii="宋体" w:hAnsi="宋体" w:cs="Arial"/>
                <w:color w:val="000000"/>
                <w:kern w:val="0"/>
                <w:szCs w:val="21"/>
              </w:rPr>
            </w:pPr>
            <w:r>
              <w:rPr>
                <w:rFonts w:ascii="宋体" w:hAnsi="宋体" w:cs="Arial"/>
                <w:color w:val="000000"/>
                <w:kern w:val="0"/>
                <w:szCs w:val="21"/>
              </w:rPr>
              <w:t>（1）</w:t>
            </w:r>
          </w:p>
        </w:tc>
        <w:tc>
          <w:tcPr>
            <w:tcW w:w="1119" w:type="dxa"/>
            <w:vMerge w:val="restart"/>
            <w:noWrap w:val="0"/>
            <w:vAlign w:val="center"/>
          </w:tcPr>
          <w:p>
            <w:pPr>
              <w:widowControl/>
              <w:spacing w:line="360" w:lineRule="exact"/>
              <w:jc w:val="center"/>
              <w:rPr>
                <w:rFonts w:ascii="宋体" w:hAnsi="宋体" w:cs="Arial"/>
                <w:color w:val="000000"/>
                <w:kern w:val="0"/>
                <w:szCs w:val="21"/>
              </w:rPr>
            </w:pPr>
            <w:r>
              <w:rPr>
                <w:rFonts w:ascii="宋体" w:hAnsi="宋体" w:cs="Arial"/>
                <w:color w:val="000000"/>
                <w:kern w:val="0"/>
                <w:szCs w:val="21"/>
              </w:rPr>
              <w:t>技术分（60分）</w:t>
            </w: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主要施工方法（6分）</w:t>
            </w:r>
          </w:p>
        </w:tc>
        <w:tc>
          <w:tcPr>
            <w:tcW w:w="5138" w:type="dxa"/>
            <w:gridSpan w:val="2"/>
            <w:noWrap w:val="0"/>
            <w:vAlign w:val="center"/>
          </w:tcPr>
          <w:p>
            <w:pPr>
              <w:widowControl/>
              <w:spacing w:line="360" w:lineRule="exact"/>
              <w:rPr>
                <w:rFonts w:ascii="宋体" w:hAnsi="宋体" w:cs="Arial"/>
                <w:kern w:val="0"/>
                <w:szCs w:val="21"/>
              </w:rPr>
            </w:pPr>
            <w:r>
              <w:rPr>
                <w:rFonts w:ascii="宋体" w:hAnsi="宋体" w:cs="Arial"/>
                <w:kern w:val="0"/>
                <w:szCs w:val="21"/>
              </w:rPr>
              <w:t>一档（6分）：施工技术方案完整详细，工艺先进，方法科学合理。</w:t>
            </w:r>
          </w:p>
          <w:p>
            <w:pPr>
              <w:widowControl/>
              <w:spacing w:line="360" w:lineRule="exact"/>
              <w:rPr>
                <w:rFonts w:ascii="宋体" w:hAnsi="宋体" w:cs="Arial"/>
                <w:kern w:val="0"/>
                <w:szCs w:val="21"/>
              </w:rPr>
            </w:pPr>
            <w:r>
              <w:rPr>
                <w:rFonts w:ascii="宋体" w:hAnsi="宋体" w:cs="Arial"/>
                <w:kern w:val="0"/>
                <w:szCs w:val="21"/>
              </w:rPr>
              <w:t>二档（4分）：施工技术方案完整详细，工艺可行，方法合理。</w:t>
            </w:r>
          </w:p>
          <w:p>
            <w:pPr>
              <w:widowControl/>
              <w:spacing w:line="360" w:lineRule="exact"/>
              <w:rPr>
                <w:rFonts w:ascii="宋体" w:hAnsi="宋体" w:cs="Arial"/>
                <w:color w:val="000000"/>
                <w:kern w:val="0"/>
                <w:szCs w:val="21"/>
              </w:rPr>
            </w:pPr>
            <w:r>
              <w:rPr>
                <w:rFonts w:ascii="宋体" w:hAnsi="宋体" w:cs="Arial"/>
                <w:kern w:val="0"/>
                <w:szCs w:val="21"/>
              </w:rPr>
              <w:t>三档（2分）：施工技术方案一般，工艺可行，方法合理。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（2）</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拟投入的主要物资计划（6分）</w:t>
            </w:r>
          </w:p>
        </w:tc>
        <w:tc>
          <w:tcPr>
            <w:tcW w:w="5138" w:type="dxa"/>
            <w:gridSpan w:val="2"/>
            <w:noWrap w:val="0"/>
            <w:vAlign w:val="center"/>
          </w:tcPr>
          <w:p>
            <w:pPr>
              <w:widowControl/>
              <w:spacing w:line="360" w:lineRule="exact"/>
              <w:rPr>
                <w:rFonts w:ascii="宋体" w:hAnsi="宋体" w:cs="Arial"/>
                <w:kern w:val="0"/>
                <w:szCs w:val="21"/>
              </w:rPr>
            </w:pPr>
            <w:r>
              <w:rPr>
                <w:rFonts w:ascii="宋体" w:hAnsi="宋体" w:cs="Arial"/>
                <w:kern w:val="0"/>
                <w:szCs w:val="21"/>
              </w:rPr>
              <w:t>一档（6分）：投入的施工材料有详细的组织计划且计划周密，数量、选型配置、进场时间安排合理，满足施工需要。</w:t>
            </w:r>
          </w:p>
          <w:p>
            <w:pPr>
              <w:widowControl/>
              <w:spacing w:line="360" w:lineRule="exact"/>
              <w:rPr>
                <w:rFonts w:ascii="宋体" w:hAnsi="宋体" w:cs="Arial"/>
                <w:kern w:val="0"/>
                <w:szCs w:val="21"/>
              </w:rPr>
            </w:pPr>
            <w:r>
              <w:rPr>
                <w:rFonts w:ascii="宋体" w:hAnsi="宋体" w:cs="Arial"/>
                <w:kern w:val="0"/>
                <w:szCs w:val="21"/>
              </w:rPr>
              <w:t>二档（4分）：投入的施工材料有组织计划，数量、选型配置、进场时间安排合理，满足施工需要。</w:t>
            </w:r>
          </w:p>
          <w:p>
            <w:pPr>
              <w:widowControl/>
              <w:spacing w:line="360" w:lineRule="exact"/>
              <w:jc w:val="left"/>
              <w:rPr>
                <w:rFonts w:ascii="宋体" w:hAnsi="宋体" w:cs="Arial"/>
                <w:color w:val="000000"/>
                <w:kern w:val="0"/>
                <w:szCs w:val="21"/>
              </w:rPr>
            </w:pPr>
            <w:r>
              <w:rPr>
                <w:rFonts w:ascii="宋体" w:hAnsi="宋体" w:cs="Arial"/>
                <w:kern w:val="0"/>
                <w:szCs w:val="21"/>
              </w:rPr>
              <w:t>三档（2分）：投入的施工材料有组织计划，数量、选型配置、进场时间安排一般，基本满足施工需要。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（3）</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拟投入的主要施工机械、设备计划（6分）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一档（6分）：投入的施工机械、设备、机具组织计划详细周密，设备数量、选型配置、进场时间安排合理，满足施工需要。</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二档（4分）：投入的施工机械、设备、机具组织计划一般，设备数量、选型配置、进场时间安排合理，满足施工需要。</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三档（2分）：投入的施工机械、设备、机具组织计划一般，设备数量、选型配置、进场时间安排一般，基本满足施工需要。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（4）</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劳动力安排计划（6分）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一档（6分）：各主要施工工序有详细周密的劳动力安排计划，有各工种劳动力安排计划，劳动力投入合理，满足施工需要。</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二档（4分）：各主要施工工序有劳动力安排计划，有各工种劳动力安排计划，劳动力投入合理，满足施工需要。</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三档（2分）：各主要施工工序有劳动力安排计划，劳动力投入一般，基本满足施工需要。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（5）</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widowControl/>
              <w:spacing w:line="360" w:lineRule="exact"/>
              <w:rPr>
                <w:rFonts w:ascii="宋体" w:hAnsi="宋体" w:cs="Arial"/>
                <w:bCs/>
                <w:color w:val="000000"/>
                <w:szCs w:val="21"/>
              </w:rPr>
            </w:pPr>
            <w:r>
              <w:rPr>
                <w:rFonts w:ascii="宋体" w:hAnsi="宋体" w:cs="Arial"/>
                <w:kern w:val="0"/>
                <w:szCs w:val="21"/>
              </w:rPr>
              <w:t>确保工程质量的技术组织措施（6分）</w:t>
            </w:r>
          </w:p>
        </w:tc>
        <w:tc>
          <w:tcPr>
            <w:tcW w:w="5138" w:type="dxa"/>
            <w:gridSpan w:val="2"/>
            <w:noWrap w:val="0"/>
            <w:vAlign w:val="center"/>
          </w:tcPr>
          <w:p>
            <w:pPr>
              <w:jc w:val="left"/>
              <w:rPr>
                <w:rFonts w:ascii="宋体" w:hAnsi="宋体" w:cs="Arial"/>
                <w:szCs w:val="21"/>
              </w:rPr>
            </w:pPr>
            <w:r>
              <w:rPr>
                <w:rFonts w:ascii="宋体" w:hAnsi="宋体" w:cs="Arial"/>
                <w:szCs w:val="21"/>
              </w:rPr>
              <w:t>一档（6分）：有专门的安全管理人员和制度，且人员配备合理，制度健全，各道工序安全技术措施针对性强，符合实际且满足有关安全技术标准要求。现场防火、应急救援、社会治安安全措施得力。</w:t>
            </w:r>
          </w:p>
          <w:p>
            <w:pPr>
              <w:jc w:val="left"/>
              <w:rPr>
                <w:rFonts w:ascii="宋体" w:hAnsi="宋体" w:cs="Arial"/>
                <w:szCs w:val="21"/>
              </w:rPr>
            </w:pPr>
            <w:r>
              <w:rPr>
                <w:rFonts w:ascii="宋体" w:hAnsi="宋体" w:cs="Arial"/>
                <w:szCs w:val="21"/>
              </w:rPr>
              <w:t>二档（4分）：有专门的安全管理人员和制度，且人员配备合理，制度健全，各道工序安全技术措施一般，符合实际有关安全技术标准要求。现场防火、应急救援、社会治安安全措施得力。</w:t>
            </w:r>
          </w:p>
          <w:p>
            <w:pPr>
              <w:jc w:val="left"/>
              <w:rPr>
                <w:rFonts w:ascii="宋体" w:hAnsi="宋体" w:cs="Arial"/>
                <w:szCs w:val="21"/>
              </w:rPr>
            </w:pPr>
            <w:r>
              <w:rPr>
                <w:rFonts w:ascii="宋体" w:hAnsi="宋体" w:cs="Arial"/>
                <w:szCs w:val="21"/>
              </w:rPr>
              <w:t>三档（2分）：有专门的安全管理人员和制度，且人员配备基本合理，制度健全，各道工序安全技术措施一般，符合实际有关安全技术标准要求。现场防火、应急救援、社会治安安全措施一般。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（6）</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widowControl/>
              <w:spacing w:line="360" w:lineRule="exact"/>
              <w:rPr>
                <w:rFonts w:ascii="宋体" w:hAnsi="宋体" w:cs="Arial"/>
                <w:bCs/>
                <w:color w:val="000000"/>
                <w:szCs w:val="21"/>
              </w:rPr>
            </w:pPr>
            <w:r>
              <w:rPr>
                <w:rFonts w:ascii="宋体" w:hAnsi="宋体" w:cs="Arial"/>
                <w:kern w:val="0"/>
                <w:szCs w:val="21"/>
              </w:rPr>
              <w:t>确保安全生产的技术组织措施（6分）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一档（6分）：配备专门的质量技术管理班子和制度，人员配备合理，制度健全。主要工序有质量技术保证措施和手段，自控体系完整，能有效保证技术质量，达到承诺的质量标准。</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二档（4分）：配备专门的质量技术管理班子和制度，人员配备及制度一般。主要工序有质量技术保证措施和手段，自控体系完整，能有效保证技术质量，达到承诺的质量标准。</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三档（2分）：没有专门的质量技术管理班子和制度。主要工序质量技术保证措施和手段不完整，自控体系一般，能保证技术质量，达到承诺的质量标准。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（7）</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确保工期的技术组织措施（6分）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在施工工艺、施工方法、材料选用、劳动力安排、技术等方面有保证工期的具体措施。有控制工期的施工进度计划。有施工总进度表或施工网络图，各项计划图表编制较好，安排合理，符合本项目施工实际要求。</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在施工工艺、施工方法、材料选用、劳动力安排、技术等方面没有保证工期的具体措施。有控制工期的施工进度计划。有施工总进度表或施工网络图，各项计划图表编制及安排一般，基本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（8）</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确保文明施工的技术组织措施（6分）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一档（6分）：针对本工程项目特点有现场文明施工、环境保护措施，措施内容达到《建筑施工安全生产检查标准》（JGJ59-2011）合格标准并符合《广西壮族自治区</w:t>
            </w:r>
            <w:r>
              <w:rPr>
                <w:rFonts w:hint="eastAsia" w:ascii="宋体" w:hAnsi="宋体" w:cs="Arial"/>
                <w:color w:val="000000"/>
                <w:kern w:val="0"/>
                <w:szCs w:val="21"/>
              </w:rPr>
              <w:t>市政公用工程</w:t>
            </w:r>
            <w:r>
              <w:rPr>
                <w:rFonts w:ascii="宋体" w:hAnsi="宋体" w:cs="Arial"/>
                <w:color w:val="000000"/>
                <w:kern w:val="0"/>
                <w:szCs w:val="21"/>
              </w:rPr>
              <w:t>文明施工导则》要求。各项措施周全、具体、有效。有具体实现现场文明施工目标的承诺。</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二档（4分）：针对本工程项目特点有现场文明施工、环境保护措施，措施内容达到《建筑施工安全生产检查标准》（JGJ59-2011）合格标准并符合《广西壮族自治区</w:t>
            </w:r>
            <w:r>
              <w:rPr>
                <w:rFonts w:hint="eastAsia" w:ascii="宋体" w:hAnsi="宋体" w:cs="Arial"/>
                <w:color w:val="000000"/>
                <w:kern w:val="0"/>
                <w:szCs w:val="21"/>
              </w:rPr>
              <w:t>市政公用工程</w:t>
            </w:r>
            <w:r>
              <w:rPr>
                <w:rFonts w:ascii="宋体" w:hAnsi="宋体" w:cs="Arial"/>
                <w:color w:val="000000"/>
                <w:kern w:val="0"/>
                <w:szCs w:val="21"/>
              </w:rPr>
              <w:t>文明施工导则》要求。各项措施一般，有具体实现现场文明施工目标的承诺。</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三档（2分）：未针对本工程项目特点有现场文明施工、环境保护措施，措施内容部分达不到《建筑施工安全生产检查标准》（JGJ59-2011）合格标准或部分不符合《广西壮族自治区</w:t>
            </w:r>
            <w:r>
              <w:rPr>
                <w:rFonts w:hint="eastAsia" w:ascii="宋体" w:hAnsi="宋体" w:cs="Arial"/>
                <w:color w:val="000000"/>
                <w:kern w:val="0"/>
                <w:szCs w:val="21"/>
              </w:rPr>
              <w:t>市政公用工程</w:t>
            </w:r>
            <w:r>
              <w:rPr>
                <w:rFonts w:ascii="宋体" w:hAnsi="宋体" w:cs="Arial"/>
                <w:color w:val="000000"/>
                <w:kern w:val="0"/>
                <w:szCs w:val="21"/>
              </w:rPr>
              <w:t>文明施工导则》要求。各项措施较差，有实现现场文明施工目标的承诺。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（9）</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工程施工的重点和难点及保证措施（6分）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一档（6分）：针对本工程的特点对本工程的重点和难点有深入的表述，解决重点和难点问题的方法科学合理。</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二档（4分）：针对本工程的特点对本工程的重点和难点有表述，解决重点和难点问题的方法合理。</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三档（2分）：针对本工程的特点对本工程的重点和难点表述不清，解决重点和难点问题的方法一般。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hint="eastAsia" w:ascii="宋体" w:hAnsi="宋体" w:cs="Arial"/>
                <w:szCs w:val="21"/>
              </w:rPr>
              <w:t>（10）</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施工总平面布置图（6分）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一档（6分）：有施工总平面布置图，安排科学合理，符合本项目施工实际要求。</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二档（4分）：有施工总平面布置图，安排一般，符合本项目施工实际要求。</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三档（2分）：有施工总平面布置图，安排一般，部分符合本项目施工实际要求。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5"/>
            <w:noWrap w:val="0"/>
            <w:vAlign w:val="top"/>
          </w:tcPr>
          <w:p>
            <w:pPr>
              <w:widowControl/>
              <w:spacing w:line="360" w:lineRule="exact"/>
              <w:jc w:val="left"/>
              <w:rPr>
                <w:rFonts w:ascii="宋体" w:hAnsi="宋体" w:cs="Arial"/>
                <w:color w:val="000000"/>
                <w:kern w:val="0"/>
                <w:szCs w:val="21"/>
              </w:rPr>
            </w:pPr>
            <w:r>
              <w:rPr>
                <w:rFonts w:ascii="宋体" w:hAnsi="宋体" w:cs="Arial"/>
                <w:bCs/>
                <w:color w:val="000000"/>
                <w:szCs w:val="21"/>
              </w:rPr>
              <w:t>总得分＝1＋2</w:t>
            </w:r>
          </w:p>
        </w:tc>
      </w:tr>
    </w:tbl>
    <w:p>
      <w:pPr>
        <w:spacing w:line="360" w:lineRule="auto"/>
        <w:ind w:firstLine="240" w:firstLineChars="100"/>
        <w:rPr>
          <w:rFonts w:ascii="宋体" w:hAnsi="宋体" w:cs="宋体"/>
          <w:b/>
          <w:szCs w:val="21"/>
        </w:rPr>
      </w:pPr>
      <w:r>
        <w:rPr>
          <w:rFonts w:hint="eastAsia" w:ascii="宋体" w:hAnsi="宋体" w:cs="宋体"/>
          <w:kern w:val="0"/>
          <w:sz w:val="24"/>
        </w:rPr>
        <w:t>7.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方案优劣顺序推荐（按技术得分由高到低排序）。评审得分、最后报价（不计算价格折扣）、技术得分均相同的，由磋商小组随机抽取推荐。</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rPr>
          <w:rFonts w:ascii="宋体" w:hAnsi="宋体" w:eastAsia="宋体" w:cs="宋体"/>
        </w:rPr>
      </w:pPr>
      <w:bookmarkStart w:id="12" w:name="_Toc2731"/>
      <w:r>
        <w:rPr>
          <w:rFonts w:hint="eastAsia" w:ascii="宋体" w:hAnsi="宋体" w:eastAsia="宋体" w:cs="宋体"/>
        </w:rPr>
        <w:t>第四章  报价编制说明及依据</w:t>
      </w:r>
      <w:bookmarkEnd w:id="12"/>
    </w:p>
    <w:p>
      <w:pPr>
        <w:spacing w:line="420" w:lineRule="exact"/>
        <w:ind w:firstLine="420" w:firstLineChars="200"/>
        <w:rPr>
          <w:rFonts w:ascii="宋体" w:hAnsi="宋体" w:cs="宋体"/>
        </w:rPr>
      </w:pPr>
    </w:p>
    <w:p>
      <w:pPr>
        <w:spacing w:line="400" w:lineRule="exact"/>
        <w:rPr>
          <w:rFonts w:ascii="宋体" w:hAnsi="宋体" w:cs="宋体"/>
          <w:b/>
          <w:bCs/>
          <w:sz w:val="24"/>
        </w:rPr>
      </w:pPr>
      <w:r>
        <w:rPr>
          <w:rFonts w:hint="eastAsia" w:ascii="宋体" w:hAnsi="宋体" w:cs="宋体"/>
          <w:b/>
          <w:sz w:val="24"/>
        </w:rPr>
        <w:t xml:space="preserve">1. </w:t>
      </w:r>
      <w:r>
        <w:rPr>
          <w:rFonts w:hint="eastAsia" w:ascii="宋体" w:hAnsi="宋体" w:cs="宋体"/>
          <w:b/>
          <w:bCs/>
          <w:sz w:val="24"/>
        </w:rPr>
        <w:t>竞标价编制说明及依据</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(一)施工设计图及相关的标准、规范、技术资料；</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(二)《建设工程工程量清单计价规范》（GB50500-2013）、《建设工程工程量清单计算规范》（GB 50584~50862-2013）；</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(三)《建设工程工程量清单计价规范》（GB50500-2013）广西壮族自治区实施细则、《建设工程工程量清单计算规范》（GB 50584~50862-2013）广西壮族自治区实施细则（修订本）；</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四)2015年《广西壮族自治区安装工程消耗量定额》、2014年《广西壮族自治区市政工程消耗量定额》、2013年《广西壮族自治区园林绿化工程消耗量定额》及2013年《广西壮族自治区安装拆除工程消耗量定额》配套使用的费用定额；</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(五)《广西壮族自治区住房城乡建设厅关于调整建设工程定额人工费及有关费率的通知》桂建标[2023]7号；</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(六)桂建标[2016]17号文《关于建筑业实施营业税改征增值税后广西壮族自治区建设工程计价依据调整的通知》；</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(七)广西住建厅《关于调整建设工程计价增值税税率的通知》桂建标（2019）12号；</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(八)材料单价按照《百色市建设工程造价信息》2023年第11期百色市信息公布价价格，无价格公布的参照同期邻近县信息价及市场询价；</w:t>
      </w:r>
    </w:p>
    <w:p>
      <w:pPr>
        <w:spacing w:line="400" w:lineRule="exact"/>
        <w:rPr>
          <w:rFonts w:ascii="宋体" w:hAnsi="宋体" w:cs="宋体"/>
          <w:b/>
          <w:sz w:val="24"/>
        </w:rPr>
      </w:pPr>
      <w:r>
        <w:rPr>
          <w:rFonts w:hint="eastAsia" w:ascii="宋体" w:hAnsi="宋体" w:cs="宋体"/>
          <w:b/>
          <w:sz w:val="24"/>
        </w:rPr>
        <w:t>2.竞标报价其他说明</w:t>
      </w:r>
    </w:p>
    <w:p>
      <w:pPr>
        <w:spacing w:line="400" w:lineRule="exact"/>
        <w:ind w:firstLine="480" w:firstLineChars="200"/>
        <w:rPr>
          <w:rFonts w:ascii="宋体" w:hAnsi="宋体" w:cs="宋体"/>
          <w:sz w:val="24"/>
        </w:rPr>
      </w:pPr>
      <w:r>
        <w:rPr>
          <w:rFonts w:hint="eastAsia" w:ascii="宋体" w:hAnsi="宋体" w:cs="宋体"/>
          <w:sz w:val="24"/>
        </w:rPr>
        <w:t>2.1 本工程竞标报价采用工程量清单报价法</w:t>
      </w:r>
    </w:p>
    <w:p>
      <w:pPr>
        <w:spacing w:line="400" w:lineRule="exact"/>
        <w:ind w:firstLine="480" w:firstLineChars="200"/>
        <w:rPr>
          <w:rFonts w:ascii="宋体" w:hAnsi="宋体" w:cs="宋体"/>
          <w:sz w:val="24"/>
        </w:rPr>
      </w:pPr>
      <w:r>
        <w:rPr>
          <w:rFonts w:hint="eastAsia" w:ascii="宋体" w:hAnsi="宋体" w:cs="宋体"/>
          <w:sz w:val="24"/>
        </w:rPr>
        <w:t>2.2 本工程采用</w:t>
      </w:r>
      <w:r>
        <w:rPr>
          <w:rFonts w:hint="eastAsia" w:ascii="宋体" w:hAnsi="宋体" w:cs="宋体"/>
          <w:sz w:val="24"/>
          <w:u w:val="single"/>
        </w:rPr>
        <w:t>固定综合单价</w:t>
      </w:r>
      <w:r>
        <w:rPr>
          <w:rFonts w:hint="eastAsia" w:ascii="宋体" w:hAnsi="宋体" w:cs="宋体"/>
          <w:sz w:val="24"/>
        </w:rPr>
        <w:t>，竞标报价为供应商在响应文件中提出的各项支付金额的总和。</w:t>
      </w:r>
    </w:p>
    <w:p>
      <w:pPr>
        <w:spacing w:line="400" w:lineRule="exact"/>
        <w:ind w:firstLine="480" w:firstLineChars="200"/>
        <w:rPr>
          <w:rFonts w:ascii="宋体" w:hAnsi="宋体" w:cs="宋体"/>
          <w:sz w:val="24"/>
        </w:rPr>
      </w:pPr>
      <w:r>
        <w:rPr>
          <w:rFonts w:hint="eastAsia" w:ascii="宋体" w:hAnsi="宋体" w:cs="宋体"/>
          <w:sz w:val="24"/>
        </w:rPr>
        <w:t>2.3供应商所填报的各项基价中的各种材料单价在合同实施期间不因市场价格变化因素而变动，供应商在报价时应考虑各种因素和自己的承受能力。</w:t>
      </w:r>
    </w:p>
    <w:p>
      <w:pPr>
        <w:spacing w:line="360" w:lineRule="auto"/>
        <w:ind w:firstLine="480" w:firstLineChars="200"/>
        <w:rPr>
          <w:rFonts w:ascii="宋体" w:hAnsi="宋体" w:cs="宋体"/>
          <w:sz w:val="24"/>
        </w:rPr>
      </w:pPr>
      <w:r>
        <w:rPr>
          <w:rFonts w:hint="eastAsia" w:ascii="宋体" w:hAnsi="宋体" w:cs="宋体"/>
          <w:sz w:val="24"/>
        </w:rPr>
        <w:t xml:space="preserve">2.4 </w:t>
      </w:r>
      <w:r>
        <w:rPr>
          <w:rFonts w:hint="eastAsia" w:ascii="宋体" w:hAnsi="宋体" w:cs="宋体"/>
          <w:sz w:val="24"/>
          <w:u w:val="single"/>
        </w:rPr>
        <w:t>（1）</w:t>
      </w:r>
      <w:r>
        <w:rPr>
          <w:rFonts w:hint="eastAsia" w:ascii="宋体" w:hAnsi="宋体" w:cs="宋体"/>
          <w:sz w:val="24"/>
        </w:rPr>
        <w:t>关于变更的范围的约定：</w:t>
      </w:r>
      <w:r>
        <w:rPr>
          <w:rFonts w:hint="eastAsia" w:ascii="宋体" w:hAnsi="宋体" w:cs="宋体"/>
          <w:sz w:val="24"/>
          <w:u w:val="single"/>
        </w:rPr>
        <w:t>由于设计变更引起工程项目、工程数量出现变化的，变更部分工程量价款按如下方式确定：</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①、原成交工程量清单中有相同项目的按承包人投标时的成交综合单价进行结算。</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②、如无相同项目，但成交工程量清单中有类似项目的参考类似项目成交单价结算。</w:t>
      </w:r>
    </w:p>
    <w:p>
      <w:pPr>
        <w:spacing w:line="400" w:lineRule="exact"/>
        <w:ind w:firstLine="472" w:firstLineChars="200"/>
        <w:rPr>
          <w:rFonts w:ascii="宋体" w:hAnsi="宋体" w:cs="宋体"/>
          <w:spacing w:val="-2"/>
          <w:kern w:val="0"/>
          <w:sz w:val="24"/>
          <w:u w:val="single"/>
        </w:rPr>
      </w:pPr>
      <w:r>
        <w:rPr>
          <w:rFonts w:hint="eastAsia" w:ascii="宋体" w:hAnsi="宋体" w:cs="宋体"/>
          <w:spacing w:val="-2"/>
          <w:kern w:val="0"/>
          <w:sz w:val="24"/>
          <w:u w:val="single"/>
        </w:rPr>
        <w:t>③、无类似细目的新增项目有定额的套定额计算后乘以成交下浮系数进行结算（成交下浮系数=成交价/招标控制价），定额套用及计算如下：</w:t>
      </w:r>
    </w:p>
    <w:p>
      <w:pPr>
        <w:spacing w:line="400" w:lineRule="exact"/>
        <w:ind w:firstLine="480" w:firstLineChars="200"/>
        <w:rPr>
          <w:rFonts w:hint="eastAsia" w:ascii="宋体" w:hAnsi="宋体" w:cs="宋体"/>
          <w:color w:val="FF0000"/>
          <w:sz w:val="24"/>
        </w:rPr>
      </w:pPr>
      <w:r>
        <w:rPr>
          <w:rFonts w:hint="eastAsia" w:ascii="宋体" w:hAnsi="宋体" w:cs="宋体"/>
          <w:sz w:val="24"/>
        </w:rPr>
        <w:t>1.1、</w:t>
      </w:r>
      <w:r>
        <w:rPr>
          <w:rFonts w:hint="eastAsia" w:ascii="宋体" w:hAnsi="宋体" w:cs="宋体"/>
          <w:color w:val="FF0000"/>
          <w:sz w:val="24"/>
        </w:rPr>
        <w:t>(</w:t>
      </w:r>
      <w:r>
        <w:rPr>
          <w:rFonts w:hint="eastAsia" w:ascii="宋体" w:hAnsi="宋体" w:cs="宋体"/>
          <w:color w:val="FF0000"/>
          <w:sz w:val="24"/>
          <w:lang w:val="en-US" w:eastAsia="zh-CN"/>
        </w:rPr>
        <w:t>1</w:t>
      </w:r>
      <w:r>
        <w:rPr>
          <w:rFonts w:hint="eastAsia" w:ascii="宋体" w:hAnsi="宋体" w:cs="宋体"/>
          <w:color w:val="FF0000"/>
          <w:sz w:val="24"/>
        </w:rPr>
        <w:t>)施工设计图及相关的标准、规范、技术资料；</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)《建设工程工程量清单计价规范》（GB50500-2013）、《建设工程工程量清单计算规范》（GB 50584~50862-2013）；</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3</w:t>
      </w:r>
      <w:r>
        <w:rPr>
          <w:rFonts w:hint="eastAsia" w:ascii="宋体" w:hAnsi="宋体" w:cs="宋体"/>
          <w:color w:val="FF0000"/>
          <w:sz w:val="24"/>
        </w:rPr>
        <w:t>)《建设工程工程量清单计价规范》（GB50500-2013）广西壮族自治区实施细则、《建设工程工程量清单计算规范》（GB 50584~50862-2013）广西壮族自治区实施细则（修订本）；</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4</w:t>
      </w:r>
      <w:r>
        <w:rPr>
          <w:rFonts w:hint="eastAsia" w:ascii="宋体" w:hAnsi="宋体" w:cs="宋体"/>
          <w:color w:val="FF0000"/>
          <w:sz w:val="24"/>
        </w:rPr>
        <w:t>)2015年《广西壮族自治区安装工程消耗量定额》、2014年《广西壮族自治区市政工程消耗量定额》、2013年《广西壮族自治区园林绿化工程消耗量定额》及2013年《广西壮族自治区安装拆除工程消耗量定额》配套使用的费用定额；</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5</w:t>
      </w:r>
      <w:r>
        <w:rPr>
          <w:rFonts w:hint="eastAsia" w:ascii="宋体" w:hAnsi="宋体" w:cs="宋体"/>
          <w:color w:val="FF0000"/>
          <w:sz w:val="24"/>
        </w:rPr>
        <w:t>)《广西壮族自治区住房城乡建设厅关于调整建设工程定额人工费及有关费率的通知》桂建标[2023]7号；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6</w:t>
      </w:r>
      <w:r>
        <w:rPr>
          <w:rFonts w:hint="eastAsia" w:ascii="宋体" w:hAnsi="宋体" w:cs="宋体"/>
          <w:color w:val="FF0000"/>
          <w:sz w:val="24"/>
        </w:rPr>
        <w:t>)桂建标[2016]17号文《关于建筑业实施营业税改征增值税后广西壮族自治区建设工程计价依据调整的通知》；</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7</w:t>
      </w:r>
      <w:r>
        <w:rPr>
          <w:rFonts w:hint="eastAsia" w:ascii="宋体" w:hAnsi="宋体" w:cs="宋体"/>
          <w:color w:val="FF0000"/>
          <w:sz w:val="24"/>
        </w:rPr>
        <w:t>)广西住建厅《关于调整建设工程计价增值税税率的通知》桂建标（2019）12号；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8</w:t>
      </w:r>
      <w:r>
        <w:rPr>
          <w:rFonts w:hint="eastAsia" w:ascii="宋体" w:hAnsi="宋体" w:cs="宋体"/>
          <w:color w:val="FF0000"/>
          <w:sz w:val="24"/>
        </w:rPr>
        <w:t>)材料单价按照《百色市建设工程造价信息》2023年第11期百色市信息公布价价格，无价格公布的参照同期邻近县信息价及市场询价；</w:t>
      </w:r>
    </w:p>
    <w:p>
      <w:pPr>
        <w:spacing w:line="400" w:lineRule="exact"/>
        <w:ind w:firstLine="472" w:firstLineChars="200"/>
        <w:rPr>
          <w:rFonts w:ascii="宋体" w:hAnsi="宋体" w:cs="宋体"/>
          <w:sz w:val="24"/>
        </w:rPr>
      </w:pPr>
      <w:r>
        <w:rPr>
          <w:rFonts w:hint="eastAsia" w:ascii="宋体" w:hAnsi="宋体" w:cs="宋体"/>
          <w:spacing w:val="-2"/>
          <w:kern w:val="0"/>
          <w:sz w:val="24"/>
          <w:u w:val="single"/>
        </w:rPr>
        <w:t>④、新增项目无定额可套的，由发包人、承包人、监理单位三方根据市场价格协商签证，以审计部门审计结果为准；新增项目的单价必须经财政、审计部门审定。</w:t>
      </w:r>
    </w:p>
    <w:p>
      <w:pPr>
        <w:spacing w:line="400" w:lineRule="exact"/>
        <w:ind w:firstLine="480" w:firstLineChars="200"/>
        <w:rPr>
          <w:rFonts w:ascii="宋体" w:hAnsi="宋体" w:cs="宋体"/>
          <w:sz w:val="24"/>
        </w:rPr>
      </w:pPr>
      <w:r>
        <w:rPr>
          <w:rFonts w:hint="eastAsia" w:ascii="宋体" w:hAnsi="宋体" w:cs="宋体"/>
          <w:sz w:val="24"/>
        </w:rPr>
        <w:t>2.5 采购代理机构所提供的图纸，应认为已包括完成本工程的所有项目。凡设计图纸已指明的工程或完成图纸所示的附属工程、相关工程、衔接与后续工程所需的费用，竞标单位应计入相关项目的单价中。</w:t>
      </w:r>
    </w:p>
    <w:p>
      <w:pPr>
        <w:spacing w:line="400" w:lineRule="exact"/>
        <w:ind w:firstLine="480" w:firstLineChars="200"/>
        <w:rPr>
          <w:rFonts w:ascii="宋体" w:hAnsi="宋体" w:cs="宋体"/>
          <w:sz w:val="24"/>
        </w:rPr>
      </w:pPr>
      <w:r>
        <w:rPr>
          <w:rFonts w:hint="eastAsia" w:ascii="宋体" w:hAnsi="宋体" w:cs="宋体"/>
          <w:sz w:val="24"/>
        </w:rPr>
        <w:t>2.6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竞标价中自行考虑。</w:t>
      </w:r>
    </w:p>
    <w:p>
      <w:pPr>
        <w:spacing w:line="400" w:lineRule="exact"/>
        <w:ind w:firstLine="480" w:firstLineChars="200"/>
        <w:rPr>
          <w:rFonts w:ascii="宋体" w:hAnsi="宋体" w:cs="宋体"/>
          <w:sz w:val="24"/>
        </w:rPr>
      </w:pPr>
      <w:r>
        <w:rPr>
          <w:rFonts w:hint="eastAsia" w:ascii="宋体" w:hAnsi="宋体" w:cs="宋体"/>
          <w:sz w:val="24"/>
        </w:rPr>
        <w:t>2.7 施工用的水、电供应由承包人通过现场勘察后自行确定。施工用水、电由承包人负责管、线路的铺、架设，并承担施工用电、用水施工期间的使用、维护和安全责任等。</w:t>
      </w:r>
    </w:p>
    <w:p>
      <w:pPr>
        <w:spacing w:line="400" w:lineRule="exact"/>
        <w:ind w:firstLine="480" w:firstLineChars="200"/>
        <w:rPr>
          <w:rFonts w:ascii="宋体" w:hAnsi="宋体" w:cs="宋体"/>
          <w:sz w:val="24"/>
        </w:rPr>
      </w:pPr>
      <w:r>
        <w:rPr>
          <w:rFonts w:hint="eastAsia" w:ascii="宋体" w:hAnsi="宋体" w:cs="宋体"/>
          <w:sz w:val="24"/>
        </w:rPr>
        <w:t>2.8 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监理和发包人同意后方可用于本工程。</w:t>
      </w:r>
    </w:p>
    <w:p>
      <w:pPr>
        <w:spacing w:line="400" w:lineRule="exact"/>
        <w:ind w:firstLine="480" w:firstLineChars="200"/>
        <w:rPr>
          <w:rFonts w:ascii="宋体" w:hAnsi="宋体" w:cs="宋体"/>
          <w:sz w:val="24"/>
        </w:rPr>
      </w:pPr>
      <w:r>
        <w:rPr>
          <w:rFonts w:hint="eastAsia" w:ascii="宋体" w:hAnsi="宋体" w:cs="宋体"/>
          <w:sz w:val="24"/>
        </w:rPr>
        <w:t>2.9 供应商在报价中所报的单价和合价，以及竞标报价汇总表中的价格均包括完成该工程项目的成本、利润、税金、开办费、安全生产文明施工增加费、技术措施费、设备吊装.运输.装卸费、大型机械进出场费、风险费、政策性文件规定费用等所有费用。</w:t>
      </w:r>
    </w:p>
    <w:p>
      <w:pPr>
        <w:spacing w:line="400" w:lineRule="exact"/>
        <w:ind w:firstLine="480" w:firstLineChars="200"/>
        <w:rPr>
          <w:rFonts w:ascii="宋体" w:hAnsi="宋体" w:cs="宋体"/>
          <w:sz w:val="24"/>
        </w:rPr>
      </w:pPr>
      <w:r>
        <w:rPr>
          <w:rFonts w:hint="eastAsia" w:ascii="宋体" w:hAnsi="宋体" w:cs="宋体"/>
          <w:sz w:val="24"/>
        </w:rPr>
        <w:t>2.10供应商可先到工地踏勘以充分了解工地位置、情况、道路、储存空间、装卸限制及任何其他足以影响承包价的情况，任何因忽视或误解工地情况而导致的索赔或工期延长申请将不被批准。</w:t>
      </w:r>
    </w:p>
    <w:p>
      <w:pPr>
        <w:spacing w:line="400" w:lineRule="exact"/>
        <w:ind w:firstLine="480" w:firstLineChars="200"/>
        <w:rPr>
          <w:rFonts w:hint="eastAsia" w:ascii="宋体" w:hAnsi="宋体" w:cs="宋体"/>
          <w:sz w:val="24"/>
        </w:rPr>
      </w:pPr>
      <w:r>
        <w:rPr>
          <w:rFonts w:hint="eastAsia" w:ascii="宋体" w:hAnsi="宋体" w:cs="宋体"/>
          <w:sz w:val="24"/>
        </w:rPr>
        <w:t>2.11 本项目竞标报价采用的币种为人民币。</w:t>
      </w:r>
    </w:p>
    <w:p>
      <w:pPr>
        <w:spacing w:line="400" w:lineRule="exact"/>
        <w:ind w:firstLine="480" w:firstLineChars="200"/>
        <w:rPr>
          <w:rFonts w:hint="eastAsia" w:ascii="宋体" w:hAnsi="宋体" w:eastAsia="宋体" w:cs="宋体"/>
          <w:color w:val="FF0000"/>
          <w:sz w:val="24"/>
          <w:lang w:eastAsia="zh-CN"/>
        </w:rPr>
      </w:pPr>
      <w:r>
        <w:rPr>
          <w:rFonts w:hint="eastAsia" w:ascii="宋体" w:hAnsi="宋体" w:cs="宋体"/>
          <w:color w:val="FF0000"/>
          <w:sz w:val="24"/>
          <w:lang w:val="en-US" w:eastAsia="zh-CN"/>
        </w:rPr>
        <w:t>本项目采购上限控制价为</w:t>
      </w:r>
      <w:r>
        <w:rPr>
          <w:rFonts w:hint="eastAsia" w:ascii="宋体" w:hAnsi="宋体" w:cs="宋体"/>
          <w:color w:val="FF0000"/>
          <w:sz w:val="24"/>
        </w:rPr>
        <w:t>：人民币</w:t>
      </w:r>
      <w:r>
        <w:rPr>
          <w:rFonts w:hint="eastAsia" w:ascii="宋体" w:hAnsi="宋体" w:cs="宋体"/>
          <w:color w:val="FF0000"/>
          <w:sz w:val="24"/>
          <w:lang w:val="en-US" w:eastAsia="zh-CN"/>
        </w:rPr>
        <w:t>叁佰贰拾贰万伍仟玖佰捌拾贰元伍角壹分</w:t>
      </w:r>
      <w:r>
        <w:rPr>
          <w:rFonts w:hint="eastAsia" w:ascii="宋体" w:hAnsi="宋体" w:cs="宋体"/>
          <w:color w:val="FF0000"/>
          <w:sz w:val="24"/>
        </w:rPr>
        <w:t>（¥</w:t>
      </w:r>
      <w:r>
        <w:rPr>
          <w:rFonts w:hint="eastAsia" w:ascii="宋体" w:hAnsi="宋体" w:cs="宋体"/>
          <w:color w:val="FF0000"/>
          <w:sz w:val="24"/>
          <w:lang w:val="en-US" w:eastAsia="zh-CN"/>
        </w:rPr>
        <w:t>3225982.51</w:t>
      </w:r>
      <w:r>
        <w:rPr>
          <w:rFonts w:hint="eastAsia" w:ascii="宋体" w:hAnsi="宋体" w:cs="宋体"/>
          <w:color w:val="FF0000"/>
          <w:sz w:val="24"/>
        </w:rPr>
        <w:t>）</w:t>
      </w:r>
      <w:r>
        <w:rPr>
          <w:rFonts w:hint="eastAsia" w:ascii="宋体" w:hAnsi="宋体" w:cs="宋体"/>
          <w:color w:val="FF0000"/>
          <w:sz w:val="24"/>
          <w:lang w:eastAsia="zh-CN"/>
        </w:rPr>
        <w:t>。</w:t>
      </w:r>
    </w:p>
    <w:p>
      <w:pPr>
        <w:spacing w:line="400" w:lineRule="exact"/>
        <w:ind w:firstLine="420" w:firstLineChars="200"/>
        <w:rPr>
          <w:rFonts w:ascii="宋体" w:hAnsi="宋体" w:cs="宋体"/>
        </w:rPr>
      </w:pPr>
      <w:r>
        <w:rPr>
          <w:rFonts w:hint="eastAsia" w:ascii="宋体" w:hAnsi="宋体" w:cs="宋体"/>
        </w:rPr>
        <w:br w:type="page"/>
      </w:r>
    </w:p>
    <w:p>
      <w:pPr>
        <w:pStyle w:val="2"/>
        <w:rPr>
          <w:rFonts w:ascii="宋体" w:hAnsi="宋体" w:eastAsia="宋体" w:cs="宋体"/>
        </w:rPr>
      </w:pPr>
      <w:bookmarkStart w:id="13" w:name="_Toc12664"/>
      <w:r>
        <w:rPr>
          <w:rFonts w:hint="eastAsia" w:ascii="宋体" w:hAnsi="宋体" w:eastAsia="宋体" w:cs="宋体"/>
        </w:rPr>
        <w:t>第五章  合同条款及格式</w:t>
      </w:r>
      <w:bookmarkEnd w:id="13"/>
    </w:p>
    <w:p>
      <w:pPr>
        <w:rPr>
          <w:rFonts w:ascii="宋体" w:hAnsi="宋体" w:cs="宋体"/>
        </w:rPr>
      </w:pPr>
    </w:p>
    <w:p>
      <w:pPr>
        <w:pStyle w:val="2"/>
        <w:spacing w:before="120" w:after="120"/>
        <w:rPr>
          <w:rFonts w:ascii="宋体" w:hAnsi="宋体" w:eastAsia="宋体" w:cs="宋体"/>
        </w:rPr>
      </w:pPr>
      <w:bookmarkStart w:id="14" w:name="_Toc17503"/>
      <w:bookmarkStart w:id="15" w:name="_Toc384891698"/>
      <w:bookmarkStart w:id="16" w:name="_Toc384891901"/>
      <w:r>
        <w:rPr>
          <w:rFonts w:hint="eastAsia" w:ascii="宋体" w:hAnsi="宋体" w:eastAsia="宋体" w:cs="宋体"/>
        </w:rPr>
        <w:t>合同条款及格式</w:t>
      </w:r>
      <w:bookmarkEnd w:id="14"/>
      <w:bookmarkEnd w:id="15"/>
      <w:bookmarkEnd w:id="16"/>
    </w:p>
    <w:p>
      <w:pPr>
        <w:jc w:val="center"/>
        <w:rPr>
          <w:rFonts w:ascii="宋体" w:hAnsi="宋体" w:cs="宋体"/>
          <w:sz w:val="84"/>
          <w:szCs w:val="84"/>
        </w:rPr>
      </w:pPr>
    </w:p>
    <w:p>
      <w:pPr>
        <w:jc w:val="center"/>
        <w:rPr>
          <w:rFonts w:ascii="宋体" w:hAnsi="宋体" w:cs="宋体"/>
          <w:sz w:val="84"/>
          <w:szCs w:val="84"/>
        </w:rPr>
      </w:pPr>
      <w:r>
        <w:rPr>
          <w:rFonts w:hint="eastAsia" w:ascii="宋体" w:hAnsi="宋体" w:cs="宋体"/>
          <w:sz w:val="84"/>
          <w:szCs w:val="84"/>
        </w:rPr>
        <w:t>建设工程施工合同</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pStyle w:val="196"/>
        <w:rPr>
          <w:rFonts w:ascii="宋体" w:hAnsi="宋体" w:cs="宋体"/>
          <w:color w:val="auto"/>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pStyle w:val="196"/>
        <w:rPr>
          <w:rFonts w:ascii="宋体" w:hAnsi="宋体" w:cs="宋体"/>
          <w:color w:val="auto"/>
        </w:rPr>
      </w:pPr>
    </w:p>
    <w:p>
      <w:pPr>
        <w:spacing w:line="400" w:lineRule="exact"/>
        <w:rPr>
          <w:rFonts w:ascii="宋体" w:hAnsi="宋体" w:cs="宋体"/>
          <w:sz w:val="32"/>
          <w:szCs w:val="32"/>
        </w:rPr>
      </w:pPr>
    </w:p>
    <w:p>
      <w:pPr>
        <w:spacing w:line="400" w:lineRule="exact"/>
        <w:rPr>
          <w:rFonts w:ascii="宋体" w:hAnsi="宋体" w:cs="宋体"/>
          <w:sz w:val="32"/>
          <w:szCs w:val="32"/>
        </w:rPr>
      </w:pPr>
    </w:p>
    <w:p>
      <w:pPr>
        <w:ind w:firstLine="1744" w:firstLineChars="545"/>
        <w:rPr>
          <w:rFonts w:ascii="宋体" w:hAnsi="宋体" w:cs="宋体"/>
          <w:sz w:val="32"/>
          <w:szCs w:val="32"/>
        </w:rPr>
      </w:pPr>
      <w:r>
        <w:rPr>
          <w:rFonts w:hint="eastAsia" w:ascii="宋体" w:hAnsi="宋体" w:cs="宋体"/>
          <w:sz w:val="32"/>
          <w:szCs w:val="32"/>
        </w:rPr>
        <w:t>中华人民共和国住房和城乡建设部</w:t>
      </w:r>
    </w:p>
    <w:p>
      <w:pPr>
        <w:ind w:firstLine="2560" w:firstLineChars="800"/>
        <w:rPr>
          <w:rFonts w:ascii="宋体" w:hAnsi="宋体" w:cs="宋体"/>
          <w:sz w:val="32"/>
          <w:szCs w:val="32"/>
        </w:rPr>
      </w:pPr>
      <w:r>
        <w:rPr>
          <w:rFonts w:hint="eastAsia" w:ascii="宋体" w:hAnsi="宋体" w:cs="宋体"/>
          <w:sz w:val="32"/>
          <w:szCs w:val="32"/>
        </w:rPr>
        <w:t xml:space="preserve">                            制定</w:t>
      </w:r>
    </w:p>
    <w:p>
      <w:pPr>
        <w:ind w:firstLine="1600" w:firstLineChars="500"/>
        <w:rPr>
          <w:rFonts w:ascii="宋体" w:hAnsi="宋体" w:cs="宋体"/>
          <w:sz w:val="32"/>
          <w:szCs w:val="32"/>
        </w:rPr>
      </w:pPr>
      <w:r>
        <w:rPr>
          <w:rFonts w:hint="eastAsia" w:ascii="宋体" w:hAnsi="宋体" w:cs="宋体"/>
          <w:sz w:val="32"/>
          <w:szCs w:val="32"/>
        </w:rPr>
        <w:t xml:space="preserve">中华人民共和国国家工商行政管理局 </w:t>
      </w:r>
    </w:p>
    <w:p>
      <w:pPr>
        <w:ind w:firstLine="1600" w:firstLineChars="500"/>
        <w:rPr>
          <w:rFonts w:ascii="宋体" w:hAnsi="宋体" w:cs="宋体"/>
          <w:sz w:val="32"/>
          <w:szCs w:val="32"/>
        </w:rPr>
      </w:pPr>
    </w:p>
    <w:p>
      <w:pPr>
        <w:ind w:firstLine="1054" w:firstLineChars="500"/>
        <w:rPr>
          <w:rFonts w:ascii="宋体" w:hAnsi="宋体" w:cs="宋体"/>
          <w:b/>
          <w:bCs/>
        </w:rPr>
      </w:pPr>
      <w:bookmarkStart w:id="17" w:name="_Toc379961072"/>
      <w:bookmarkStart w:id="18" w:name="_Toc384891902"/>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rPr>
          <w:rFonts w:ascii="宋体" w:hAnsi="宋体" w:cs="宋体"/>
        </w:rPr>
      </w:pPr>
    </w:p>
    <w:p>
      <w:pPr>
        <w:pStyle w:val="4"/>
        <w:rPr>
          <w:rFonts w:hint="default" w:ascii="宋体" w:eastAsia="宋体" w:cs="宋体"/>
          <w:bCs w:val="0"/>
          <w:sz w:val="24"/>
          <w:szCs w:val="24"/>
        </w:rPr>
      </w:pPr>
      <w:bookmarkStart w:id="19" w:name="_Toc26417"/>
      <w:r>
        <w:rPr>
          <w:rFonts w:ascii="宋体" w:eastAsia="宋体" w:cs="宋体"/>
          <w:bCs w:val="0"/>
          <w:sz w:val="24"/>
          <w:szCs w:val="24"/>
        </w:rPr>
        <w:t>第一部分 合同协议书</w:t>
      </w:r>
      <w:bookmarkEnd w:id="17"/>
      <w:bookmarkEnd w:id="18"/>
      <w:bookmarkEnd w:id="19"/>
    </w:p>
    <w:p>
      <w:pPr>
        <w:spacing w:line="360" w:lineRule="auto"/>
        <w:rPr>
          <w:rFonts w:ascii="宋体" w:hAnsi="宋体" w:cs="宋体"/>
          <w:sz w:val="24"/>
          <w:u w:val="single"/>
        </w:rPr>
      </w:pPr>
      <w:r>
        <w:rPr>
          <w:rFonts w:hint="eastAsia" w:ascii="宋体" w:hAnsi="宋体" w:cs="宋体"/>
          <w:sz w:val="24"/>
        </w:rPr>
        <w:t>发包人（全称）：</w:t>
      </w:r>
      <w:r>
        <w:rPr>
          <w:rFonts w:hint="eastAsia" w:ascii="宋体" w:hAnsi="宋体" w:cs="宋体"/>
          <w:sz w:val="24"/>
          <w:u w:val="single"/>
        </w:rPr>
        <w:t>                       </w:t>
      </w:r>
    </w:p>
    <w:p>
      <w:pPr>
        <w:spacing w:line="360" w:lineRule="auto"/>
        <w:rPr>
          <w:rFonts w:ascii="宋体" w:hAnsi="宋体" w:cs="宋体"/>
          <w:sz w:val="24"/>
          <w:u w:val="single"/>
        </w:rPr>
      </w:pPr>
      <w:r>
        <w:rPr>
          <w:rFonts w:hint="eastAsia" w:ascii="宋体" w:hAnsi="宋体" w:cs="宋体"/>
          <w:sz w:val="24"/>
        </w:rPr>
        <w:t>承包人（全称）：</w:t>
      </w:r>
      <w:r>
        <w:rPr>
          <w:rFonts w:hint="eastAsia" w:ascii="宋体" w:hAnsi="宋体" w:cs="宋体"/>
          <w:sz w:val="24"/>
          <w:u w:val="single"/>
        </w:rPr>
        <w:t>                      </w:t>
      </w:r>
    </w:p>
    <w:p>
      <w:pPr>
        <w:spacing w:line="400" w:lineRule="exact"/>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rPr>
        <w:t xml:space="preserve">                  </w:t>
      </w:r>
      <w:r>
        <w:rPr>
          <w:rFonts w:hint="eastAsia" w:ascii="宋体" w:hAnsi="宋体" w:cs="宋体"/>
          <w:sz w:val="24"/>
        </w:rPr>
        <w:t>工程施工及有关事项协商一致，共同达成如下协议：</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20" w:name="_Toc351203481"/>
      <w:bookmarkStart w:id="21" w:name="_Toc384891700"/>
      <w:bookmarkStart w:id="22" w:name="_Toc384891903"/>
      <w:r>
        <w:rPr>
          <w:rFonts w:hint="eastAsia" w:ascii="宋体" w:hAnsi="宋体" w:cs="宋体"/>
          <w:b w:val="0"/>
          <w:bCs w:val="0"/>
          <w:sz w:val="24"/>
          <w:szCs w:val="24"/>
        </w:rPr>
        <w:t>一、工程概况</w:t>
      </w:r>
      <w:bookmarkEnd w:id="20"/>
      <w:bookmarkEnd w:id="21"/>
      <w:bookmarkEnd w:id="22"/>
    </w:p>
    <w:p>
      <w:pPr>
        <w:spacing w:line="400" w:lineRule="exact"/>
        <w:ind w:firstLine="470" w:firstLineChars="196"/>
        <w:rPr>
          <w:rFonts w:ascii="宋体" w:hAnsi="宋体" w:cs="宋体"/>
          <w:sz w:val="24"/>
          <w:u w:val="single"/>
        </w:rPr>
      </w:pPr>
      <w:r>
        <w:rPr>
          <w:rFonts w:hint="eastAsia" w:ascii="宋体" w:hAnsi="宋体" w:cs="宋体"/>
          <w:sz w:val="24"/>
        </w:rPr>
        <w:t>1.工程名称：</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2.工程地点：</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3.工程立项批准文号：</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4.资金来源：</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5.工程内容：</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群体工程应附《承包人承揽工程项目一览表》（附件1）。</w:t>
      </w:r>
    </w:p>
    <w:p>
      <w:pPr>
        <w:spacing w:line="400" w:lineRule="exact"/>
        <w:ind w:firstLine="470" w:firstLineChars="196"/>
        <w:rPr>
          <w:rFonts w:ascii="宋体" w:hAnsi="宋体" w:cs="宋体"/>
          <w:sz w:val="24"/>
        </w:rPr>
      </w:pPr>
      <w:r>
        <w:rPr>
          <w:rFonts w:hint="eastAsia" w:ascii="宋体" w:hAnsi="宋体" w:cs="宋体"/>
          <w:sz w:val="24"/>
        </w:rPr>
        <w:t>6.工程承包范围：</w:t>
      </w:r>
    </w:p>
    <w:p>
      <w:pPr>
        <w:spacing w:line="400" w:lineRule="exact"/>
        <w:ind w:firstLine="463" w:firstLineChars="193"/>
        <w:rPr>
          <w:rFonts w:ascii="宋体" w:hAnsi="宋体" w:cs="宋体"/>
          <w:sz w:val="24"/>
        </w:rPr>
      </w:pPr>
      <w:r>
        <w:rPr>
          <w:rFonts w:hint="eastAsia" w:ascii="宋体" w:hAnsi="宋体" w:cs="宋体"/>
          <w:sz w:val="24"/>
          <w:u w:val="single"/>
        </w:rPr>
        <w:t>   </w:t>
      </w:r>
    </w:p>
    <w:p>
      <w:pPr>
        <w:spacing w:line="400" w:lineRule="exact"/>
        <w:ind w:firstLine="480" w:firstLineChars="200"/>
        <w:rPr>
          <w:rFonts w:ascii="宋体" w:hAnsi="宋体" w:cs="宋体"/>
          <w:sz w:val="24"/>
        </w:rPr>
      </w:pPr>
      <w:r>
        <w:rPr>
          <w:rFonts w:hint="eastAsia" w:ascii="宋体" w:hAnsi="宋体" w:cs="宋体"/>
          <w:sz w:val="24"/>
          <w:u w:val="single"/>
        </w:rPr>
        <w:t> </w:t>
      </w:r>
      <w:r>
        <w:rPr>
          <w:rFonts w:hint="eastAsia" w:ascii="宋体" w:hAnsi="宋体" w:cs="宋体"/>
          <w:sz w:val="24"/>
        </w:rPr>
        <w:t>。</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23" w:name="_Toc384891904"/>
      <w:bookmarkStart w:id="24" w:name="_Toc384891701"/>
      <w:bookmarkStart w:id="25" w:name="_Toc351203482"/>
      <w:r>
        <w:rPr>
          <w:rFonts w:hint="eastAsia" w:ascii="宋体" w:hAnsi="宋体" w:cs="宋体"/>
          <w:b w:val="0"/>
          <w:bCs w:val="0"/>
          <w:sz w:val="24"/>
          <w:szCs w:val="24"/>
        </w:rPr>
        <w:t>二、合同工期</w:t>
      </w:r>
      <w:bookmarkEnd w:id="23"/>
      <w:bookmarkEnd w:id="24"/>
      <w:bookmarkEnd w:id="25"/>
    </w:p>
    <w:p>
      <w:pPr>
        <w:spacing w:line="400" w:lineRule="exact"/>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w:t>
      </w:r>
    </w:p>
    <w:p>
      <w:pPr>
        <w:spacing w:line="400" w:lineRule="exact"/>
        <w:ind w:firstLine="459"/>
        <w:rPr>
          <w:rFonts w:ascii="宋体" w:hAnsi="宋体" w:cs="宋体"/>
          <w:sz w:val="24"/>
        </w:rPr>
      </w:pPr>
      <w:r>
        <w:rPr>
          <w:rFonts w:hint="eastAsia" w:ascii="宋体" w:hAnsi="宋体" w:cs="宋体"/>
          <w:sz w:val="24"/>
        </w:rPr>
        <w:t>计划竣工日期：</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w:t>
      </w:r>
    </w:p>
    <w:p>
      <w:pPr>
        <w:spacing w:line="400" w:lineRule="exact"/>
        <w:ind w:firstLine="459"/>
        <w:rPr>
          <w:rFonts w:ascii="宋体" w:hAnsi="宋体" w:cs="宋体"/>
          <w:sz w:val="24"/>
        </w:rPr>
      </w:pPr>
      <w:r>
        <w:rPr>
          <w:rFonts w:hint="eastAsia" w:ascii="宋体" w:hAnsi="宋体" w:cs="宋体"/>
          <w:sz w:val="24"/>
        </w:rPr>
        <w:t>工期总日历天数：</w:t>
      </w:r>
      <w:r>
        <w:rPr>
          <w:rFonts w:hint="eastAsia" w:ascii="宋体" w:hAnsi="宋体" w:cs="宋体"/>
          <w:sz w:val="24"/>
          <w:u w:val="single"/>
        </w:rPr>
        <w:t></w:t>
      </w:r>
      <w:r>
        <w:rPr>
          <w:rFonts w:hint="eastAsia" w:ascii="宋体" w:hAnsi="宋体" w:cs="宋体"/>
          <w:sz w:val="24"/>
        </w:rPr>
        <w:t>天。工期总日历天数与根据前述计划开竣工日期计算的工期天数不一致的，以工期总日历天数为准。</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26" w:name="_Toc351203483"/>
      <w:bookmarkStart w:id="27" w:name="_Toc384891905"/>
      <w:bookmarkStart w:id="28" w:name="_Toc384891702"/>
      <w:r>
        <w:rPr>
          <w:rFonts w:hint="eastAsia" w:ascii="宋体" w:hAnsi="宋体" w:cs="宋体"/>
          <w:b w:val="0"/>
          <w:bCs w:val="0"/>
          <w:sz w:val="24"/>
          <w:szCs w:val="24"/>
        </w:rPr>
        <w:t>三、质量标准</w:t>
      </w:r>
      <w:bookmarkEnd w:id="26"/>
      <w:bookmarkEnd w:id="27"/>
      <w:bookmarkEnd w:id="28"/>
    </w:p>
    <w:p>
      <w:pPr>
        <w:spacing w:line="400" w:lineRule="exact"/>
        <w:ind w:firstLine="459"/>
        <w:rPr>
          <w:rFonts w:ascii="宋体" w:hAnsi="宋体" w:cs="宋体"/>
          <w:sz w:val="24"/>
        </w:rPr>
      </w:pPr>
      <w:r>
        <w:rPr>
          <w:rFonts w:hint="eastAsia" w:ascii="宋体" w:hAnsi="宋体" w:cs="宋体"/>
          <w:sz w:val="24"/>
        </w:rPr>
        <w:t>工程质量符合</w:t>
      </w:r>
      <w:r>
        <w:rPr>
          <w:rFonts w:hint="eastAsia" w:ascii="宋体" w:hAnsi="宋体" w:cs="宋体"/>
          <w:sz w:val="24"/>
          <w:u w:val="single"/>
        </w:rPr>
        <w:t></w:t>
      </w:r>
      <w:r>
        <w:rPr>
          <w:rFonts w:hint="eastAsia" w:ascii="宋体" w:hAnsi="宋体" w:cs="宋体"/>
          <w:sz w:val="24"/>
        </w:rPr>
        <w:t>标准。</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29" w:name="_Toc384891703"/>
      <w:bookmarkStart w:id="30" w:name="_Toc384891906"/>
      <w:bookmarkStart w:id="31" w:name="_Toc351203484"/>
      <w:r>
        <w:rPr>
          <w:rFonts w:hint="eastAsia" w:ascii="宋体" w:hAnsi="宋体" w:cs="宋体"/>
          <w:b w:val="0"/>
          <w:bCs w:val="0"/>
          <w:sz w:val="24"/>
          <w:szCs w:val="24"/>
        </w:rPr>
        <w:t>四、签约合同价与合同价格形式</w:t>
      </w:r>
      <w:bookmarkEnd w:id="29"/>
      <w:bookmarkEnd w:id="30"/>
      <w:bookmarkEnd w:id="31"/>
      <w:r>
        <w:rPr>
          <w:rFonts w:hint="eastAsia" w:ascii="宋体" w:hAnsi="宋体" w:cs="宋体"/>
          <w:b w:val="0"/>
          <w:bCs w:val="0"/>
          <w:sz w:val="24"/>
          <w:szCs w:val="24"/>
        </w:rPr>
        <w:tab/>
      </w:r>
    </w:p>
    <w:p>
      <w:pPr>
        <w:spacing w:line="400" w:lineRule="exact"/>
        <w:ind w:firstLine="480" w:firstLineChars="200"/>
        <w:rPr>
          <w:rFonts w:ascii="宋体" w:hAnsi="宋体" w:cs="宋体"/>
          <w:sz w:val="24"/>
        </w:rPr>
      </w:pPr>
      <w:r>
        <w:rPr>
          <w:rFonts w:hint="eastAsia" w:ascii="宋体" w:hAnsi="宋体" w:cs="宋体"/>
          <w:sz w:val="24"/>
        </w:rPr>
        <w:t>1.签约合同价为：</w:t>
      </w:r>
    </w:p>
    <w:p>
      <w:pPr>
        <w:spacing w:line="400" w:lineRule="exact"/>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其中：</w:t>
      </w:r>
    </w:p>
    <w:p>
      <w:pPr>
        <w:spacing w:line="400" w:lineRule="exact"/>
        <w:ind w:firstLine="480" w:firstLineChars="200"/>
        <w:rPr>
          <w:rFonts w:ascii="宋体" w:hAnsi="宋体" w:cs="宋体"/>
          <w:sz w:val="24"/>
        </w:rPr>
      </w:pPr>
      <w:r>
        <w:rPr>
          <w:rFonts w:hint="eastAsia" w:ascii="宋体" w:hAnsi="宋体" w:cs="宋体"/>
          <w:sz w:val="24"/>
        </w:rPr>
        <w:t>（1）安全文明施工费：</w:t>
      </w:r>
    </w:p>
    <w:p>
      <w:pPr>
        <w:spacing w:line="400" w:lineRule="exact"/>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（2）材料和工程设备暂估价金额：</w:t>
      </w:r>
    </w:p>
    <w:p>
      <w:pPr>
        <w:spacing w:line="400" w:lineRule="exact"/>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（3）专业工程暂估价金额：</w:t>
      </w:r>
    </w:p>
    <w:p>
      <w:pPr>
        <w:spacing w:line="400" w:lineRule="exact"/>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（4）暂列金额：</w:t>
      </w:r>
    </w:p>
    <w:p>
      <w:pPr>
        <w:spacing w:line="400" w:lineRule="exact"/>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sz w:val="24"/>
          <w:u w:val="single"/>
        </w:rPr>
        <w:t>                      </w:t>
      </w:r>
      <w:r>
        <w:rPr>
          <w:rFonts w:hint="eastAsia" w:ascii="宋体" w:hAnsi="宋体" w:cs="宋体"/>
          <w:sz w:val="24"/>
        </w:rPr>
        <w:t>。</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32" w:name="_Toc351203485"/>
      <w:bookmarkStart w:id="33" w:name="_Toc384891704"/>
      <w:bookmarkStart w:id="34" w:name="_Toc384891907"/>
      <w:r>
        <w:rPr>
          <w:rFonts w:hint="eastAsia" w:ascii="宋体" w:hAnsi="宋体" w:cs="宋体"/>
          <w:b w:val="0"/>
          <w:bCs w:val="0"/>
          <w:sz w:val="24"/>
          <w:szCs w:val="24"/>
        </w:rPr>
        <w:t>五、</w:t>
      </w:r>
      <w:bookmarkEnd w:id="32"/>
      <w:r>
        <w:rPr>
          <w:rFonts w:hint="eastAsia" w:ascii="宋体" w:hAnsi="宋体" w:cs="宋体"/>
          <w:b w:val="0"/>
          <w:bCs w:val="0"/>
          <w:sz w:val="24"/>
          <w:szCs w:val="24"/>
        </w:rPr>
        <w:t>项目经理</w:t>
      </w:r>
      <w:bookmarkEnd w:id="33"/>
      <w:bookmarkEnd w:id="34"/>
    </w:p>
    <w:p>
      <w:pPr>
        <w:spacing w:line="400" w:lineRule="exact"/>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    </w:t>
      </w:r>
      <w:r>
        <w:rPr>
          <w:rFonts w:hint="eastAsia" w:ascii="宋体" w:hAnsi="宋体" w:cs="宋体"/>
          <w:sz w:val="24"/>
        </w:rPr>
        <w:t>。</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35" w:name="_Toc351203486"/>
      <w:bookmarkStart w:id="36" w:name="_Toc384891908"/>
      <w:bookmarkStart w:id="37" w:name="_Toc384891705"/>
      <w:r>
        <w:rPr>
          <w:rFonts w:hint="eastAsia" w:ascii="宋体" w:hAnsi="宋体" w:cs="宋体"/>
          <w:b w:val="0"/>
          <w:bCs w:val="0"/>
          <w:sz w:val="24"/>
          <w:szCs w:val="24"/>
        </w:rPr>
        <w:t>六、合同文件构成</w:t>
      </w:r>
      <w:bookmarkEnd w:id="35"/>
      <w:bookmarkEnd w:id="36"/>
      <w:bookmarkEnd w:id="37"/>
    </w:p>
    <w:p>
      <w:pPr>
        <w:spacing w:line="400" w:lineRule="exact"/>
        <w:ind w:firstLine="480" w:firstLineChars="200"/>
        <w:rPr>
          <w:rFonts w:ascii="宋体" w:hAnsi="宋体" w:cs="宋体"/>
          <w:sz w:val="24"/>
        </w:rPr>
      </w:pPr>
      <w:r>
        <w:rPr>
          <w:rFonts w:hint="eastAsia" w:ascii="宋体" w:hAnsi="宋体" w:cs="宋体"/>
          <w:sz w:val="24"/>
        </w:rPr>
        <w:t>本协议书与下列文件一起构成合同文件：</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（1）成交通知书（如果有）；</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 xml:space="preserve">（2）投标函及其附录（如果有）； </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（3）专用合同条款及其附件；</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（4）通用合同条款；</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（5）技术标准和要求；</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（6）图纸；</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（7）已标价工程量清单或预算书；</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（8）其他合同文件。</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38" w:name="_Toc384891909"/>
      <w:bookmarkStart w:id="39" w:name="_Toc351203487"/>
      <w:bookmarkStart w:id="40" w:name="_Toc384891706"/>
      <w:r>
        <w:rPr>
          <w:rFonts w:hint="eastAsia" w:ascii="宋体" w:hAnsi="宋体" w:cs="宋体"/>
          <w:b w:val="0"/>
          <w:bCs w:val="0"/>
          <w:sz w:val="24"/>
          <w:szCs w:val="24"/>
        </w:rPr>
        <w:t>七、承诺</w:t>
      </w:r>
      <w:bookmarkEnd w:id="38"/>
      <w:bookmarkEnd w:id="39"/>
      <w:bookmarkEnd w:id="40"/>
    </w:p>
    <w:p>
      <w:pPr>
        <w:spacing w:line="400" w:lineRule="exact"/>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pPr>
        <w:spacing w:line="400" w:lineRule="exact"/>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cs="宋体"/>
          <w:sz w:val="24"/>
        </w:rPr>
      </w:pPr>
      <w:r>
        <w:rPr>
          <w:rFonts w:hint="eastAsia" w:ascii="宋体" w:hAnsi="宋体" w:cs="宋体"/>
          <w:sz w:val="24"/>
        </w:rPr>
        <w:t>3.发包人和承包人通过招投标形式签订合同的，双方理解并承诺不再就同一工程另行签订与合同实质性内容相背离的协议。</w:t>
      </w:r>
    </w:p>
    <w:p>
      <w:pPr>
        <w:spacing w:line="400" w:lineRule="exact"/>
        <w:rPr>
          <w:rFonts w:ascii="宋体" w:hAnsi="宋体" w:cs="宋体"/>
          <w:sz w:val="24"/>
        </w:rPr>
      </w:pPr>
      <w:bookmarkStart w:id="41" w:name="_Toc351203488"/>
      <w:r>
        <w:rPr>
          <w:rFonts w:hint="eastAsia" w:ascii="宋体" w:hAnsi="宋体" w:cs="宋体"/>
          <w:sz w:val="24"/>
        </w:rPr>
        <w:t xml:space="preserve">    八、词语含义</w:t>
      </w:r>
      <w:bookmarkEnd w:id="41"/>
    </w:p>
    <w:p>
      <w:pPr>
        <w:spacing w:line="400" w:lineRule="exact"/>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42" w:name="_Toc351203489"/>
      <w:bookmarkStart w:id="43" w:name="_Toc384891910"/>
      <w:bookmarkStart w:id="44" w:name="_Toc384891707"/>
      <w:r>
        <w:rPr>
          <w:rFonts w:hint="eastAsia" w:ascii="宋体" w:hAnsi="宋体" w:cs="宋体"/>
          <w:b w:val="0"/>
          <w:bCs w:val="0"/>
          <w:sz w:val="24"/>
          <w:szCs w:val="24"/>
        </w:rPr>
        <w:t>九、签订时间</w:t>
      </w:r>
      <w:bookmarkEnd w:id="42"/>
      <w:bookmarkEnd w:id="43"/>
      <w:bookmarkEnd w:id="44"/>
    </w:p>
    <w:p>
      <w:pPr>
        <w:spacing w:line="400" w:lineRule="exact"/>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日签订。</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45" w:name="_Toc351203490"/>
      <w:bookmarkStart w:id="46" w:name="_Toc384891911"/>
      <w:bookmarkStart w:id="47" w:name="_Toc384891708"/>
      <w:r>
        <w:rPr>
          <w:rFonts w:hint="eastAsia" w:ascii="宋体" w:hAnsi="宋体" w:cs="宋体"/>
          <w:b w:val="0"/>
          <w:bCs w:val="0"/>
          <w:sz w:val="24"/>
          <w:szCs w:val="24"/>
        </w:rPr>
        <w:t>十、签订地点</w:t>
      </w:r>
      <w:bookmarkEnd w:id="45"/>
      <w:bookmarkEnd w:id="46"/>
      <w:bookmarkEnd w:id="47"/>
    </w:p>
    <w:p>
      <w:pPr>
        <w:spacing w:line="400" w:lineRule="exact"/>
        <w:ind w:firstLine="480" w:firstLineChars="200"/>
        <w:rPr>
          <w:rFonts w:ascii="宋体" w:hAnsi="宋体" w:cs="宋体"/>
          <w:sz w:val="24"/>
        </w:rPr>
      </w:pPr>
      <w:r>
        <w:rPr>
          <w:rFonts w:hint="eastAsia" w:ascii="宋体" w:hAnsi="宋体" w:cs="宋体"/>
          <w:sz w:val="24"/>
        </w:rPr>
        <w:t>本合同在</w:t>
      </w:r>
      <w:r>
        <w:rPr>
          <w:rFonts w:hint="eastAsia" w:ascii="宋体" w:hAnsi="宋体" w:cs="宋体"/>
          <w:sz w:val="24"/>
          <w:u w:val="single"/>
        </w:rPr>
        <w:t xml:space="preserve">                                    </w:t>
      </w:r>
      <w:r>
        <w:rPr>
          <w:rFonts w:hint="eastAsia" w:ascii="宋体" w:hAnsi="宋体" w:cs="宋体"/>
          <w:sz w:val="24"/>
        </w:rPr>
        <w:t>签订。</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48" w:name="_Toc351203491"/>
      <w:bookmarkStart w:id="49" w:name="_Toc384891912"/>
      <w:bookmarkStart w:id="50" w:name="_Toc384891709"/>
      <w:r>
        <w:rPr>
          <w:rFonts w:hint="eastAsia" w:ascii="宋体" w:hAnsi="宋体" w:cs="宋体"/>
          <w:b w:val="0"/>
          <w:bCs w:val="0"/>
          <w:sz w:val="24"/>
          <w:szCs w:val="24"/>
        </w:rPr>
        <w:t>十一、补充协议</w:t>
      </w:r>
      <w:bookmarkEnd w:id="48"/>
      <w:bookmarkEnd w:id="49"/>
      <w:bookmarkEnd w:id="50"/>
    </w:p>
    <w:p>
      <w:pPr>
        <w:spacing w:line="400" w:lineRule="exact"/>
        <w:ind w:firstLine="480" w:firstLineChars="200"/>
        <w:rPr>
          <w:rFonts w:ascii="宋体" w:hAnsi="宋体" w:cs="宋体"/>
          <w:sz w:val="24"/>
        </w:rPr>
      </w:pPr>
      <w:r>
        <w:rPr>
          <w:rFonts w:hint="eastAsia" w:ascii="宋体" w:hAnsi="宋体" w:cs="宋体"/>
          <w:sz w:val="24"/>
        </w:rPr>
        <w:t>合同未尽事宜，合同当事人另行签订补充协议，补充协议是合同的组成部分。</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51" w:name="_Toc384891710"/>
      <w:bookmarkStart w:id="52" w:name="_Toc351203492"/>
      <w:bookmarkStart w:id="53" w:name="_Toc384891913"/>
      <w:r>
        <w:rPr>
          <w:rFonts w:hint="eastAsia" w:ascii="宋体" w:hAnsi="宋体" w:cs="宋体"/>
          <w:b w:val="0"/>
          <w:bCs w:val="0"/>
          <w:sz w:val="24"/>
          <w:szCs w:val="24"/>
        </w:rPr>
        <w:t>十二、合同生效</w:t>
      </w:r>
      <w:bookmarkEnd w:id="51"/>
      <w:bookmarkEnd w:id="52"/>
      <w:bookmarkEnd w:id="53"/>
    </w:p>
    <w:p>
      <w:pPr>
        <w:spacing w:line="400" w:lineRule="exact"/>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w:t>
      </w:r>
      <w:r>
        <w:rPr>
          <w:rFonts w:hint="eastAsia" w:ascii="宋体" w:hAnsi="宋体" w:cs="宋体"/>
          <w:sz w:val="24"/>
        </w:rPr>
        <w:t>生效。</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54" w:name="_Toc384891914"/>
      <w:bookmarkStart w:id="55" w:name="_Toc384891711"/>
      <w:bookmarkStart w:id="56" w:name="_Toc351203493"/>
      <w:r>
        <w:rPr>
          <w:rFonts w:hint="eastAsia" w:ascii="宋体" w:hAnsi="宋体" w:cs="宋体"/>
          <w:b w:val="0"/>
          <w:bCs w:val="0"/>
          <w:sz w:val="24"/>
          <w:szCs w:val="24"/>
        </w:rPr>
        <w:t>十三、合同份数</w:t>
      </w:r>
      <w:bookmarkEnd w:id="54"/>
      <w:bookmarkEnd w:id="55"/>
      <w:bookmarkEnd w:id="56"/>
    </w:p>
    <w:p>
      <w:pPr>
        <w:spacing w:line="400" w:lineRule="exact"/>
        <w:ind w:firstLine="480" w:firstLineChars="20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份，均具有同等法律效力，发包人执</w:t>
      </w:r>
      <w:r>
        <w:rPr>
          <w:rFonts w:hint="eastAsia" w:ascii="宋体" w:hAnsi="宋体" w:cs="宋体"/>
          <w:sz w:val="24"/>
          <w:u w:val="single"/>
        </w:rPr>
        <w:t xml:space="preserve">    </w:t>
      </w:r>
      <w:r>
        <w:rPr>
          <w:rFonts w:hint="eastAsia" w:ascii="宋体" w:hAnsi="宋体" w:cs="宋体"/>
          <w:sz w:val="24"/>
        </w:rPr>
        <w:t>份，承包人执</w:t>
      </w:r>
      <w:r>
        <w:rPr>
          <w:rFonts w:hint="eastAsia" w:ascii="宋体" w:hAnsi="宋体" w:cs="宋体"/>
          <w:sz w:val="24"/>
          <w:u w:val="single"/>
        </w:rPr>
        <w:t xml:space="preserve">    </w:t>
      </w:r>
      <w:r>
        <w:rPr>
          <w:rFonts w:hint="eastAsia" w:ascii="宋体" w:hAnsi="宋体" w:cs="宋体"/>
          <w:sz w:val="24"/>
        </w:rPr>
        <w:t>份，政府采购管理办公室执一份，招标代理机构执一份。</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发包人：  (公章)             承包人：  (公章)</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法定代表人或其委托代理人：  法定代表人或其委托代理人：</w:t>
      </w:r>
    </w:p>
    <w:p>
      <w:pPr>
        <w:spacing w:line="360" w:lineRule="auto"/>
        <w:rPr>
          <w:rFonts w:ascii="宋体" w:hAnsi="宋体" w:cs="宋体"/>
          <w:sz w:val="24"/>
        </w:rPr>
      </w:pPr>
      <w:r>
        <w:rPr>
          <w:rFonts w:hint="eastAsia" w:ascii="宋体" w:hAnsi="宋体" w:cs="宋体"/>
          <w:sz w:val="24"/>
        </w:rPr>
        <w:t>（签字）                    （签字）</w:t>
      </w:r>
    </w:p>
    <w:p>
      <w:pPr>
        <w:spacing w:line="360" w:lineRule="auto"/>
        <w:rPr>
          <w:rFonts w:ascii="宋体" w:hAnsi="宋体" w:cs="宋体"/>
          <w:sz w:val="24"/>
          <w:u w:val="single"/>
        </w:rPr>
      </w:pPr>
    </w:p>
    <w:p>
      <w:pPr>
        <w:tabs>
          <w:tab w:val="left" w:pos="4410"/>
        </w:tabs>
        <w:spacing w:line="360" w:lineRule="auto"/>
        <w:rPr>
          <w:rFonts w:ascii="宋体" w:hAnsi="宋体" w:cs="宋体"/>
          <w:sz w:val="24"/>
        </w:rPr>
      </w:pPr>
      <w:r>
        <w:rPr>
          <w:rFonts w:hint="eastAsia" w:ascii="宋体" w:hAnsi="宋体" w:cs="宋体"/>
          <w:sz w:val="24"/>
        </w:rPr>
        <w:t>组织机构代码：</w:t>
      </w:r>
      <w:r>
        <w:rPr>
          <w:rFonts w:hint="eastAsia" w:ascii="宋体" w:hAnsi="宋体" w:cs="宋体"/>
          <w:sz w:val="24"/>
          <w:u w:val="single"/>
        </w:rPr>
        <w:t xml:space="preserve">       </w:t>
      </w:r>
      <w:r>
        <w:rPr>
          <w:rFonts w:hint="eastAsia" w:ascii="宋体" w:hAnsi="宋体" w:cs="宋体"/>
          <w:sz w:val="24"/>
        </w:rPr>
        <w:t xml:space="preserve">  组织机构代码：</w:t>
      </w:r>
      <w:r>
        <w:rPr>
          <w:rFonts w:hint="eastAsia" w:ascii="宋体" w:hAnsi="宋体" w:cs="宋体"/>
          <w:sz w:val="24"/>
          <w:u w:val="single"/>
        </w:rPr>
        <w:t xml:space="preserve">  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r>
        <w:rPr>
          <w:rFonts w:hint="eastAsia" w:ascii="宋体" w:hAnsi="宋体" w:cs="宋体"/>
          <w:sz w:val="24"/>
        </w:rPr>
        <w:t xml:space="preserve">  地  址：</w:t>
      </w:r>
      <w:r>
        <w:rPr>
          <w:rFonts w:hint="eastAsia" w:ascii="宋体" w:hAnsi="宋体" w:cs="宋体"/>
          <w:sz w:val="24"/>
          <w:u w:val="single"/>
        </w:rPr>
        <w:t xml:space="preserve">        </w:t>
      </w:r>
    </w:p>
    <w:p>
      <w:pPr>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     </w:t>
      </w:r>
      <w:r>
        <w:rPr>
          <w:rFonts w:hint="eastAsia" w:ascii="宋体" w:hAnsi="宋体" w:cs="宋体"/>
          <w:sz w:val="24"/>
        </w:rPr>
        <w:t xml:space="preserve">  邮政编码：</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      </w:t>
      </w:r>
      <w:r>
        <w:rPr>
          <w:rFonts w:hint="eastAsia" w:ascii="宋体" w:hAnsi="宋体" w:cs="宋体"/>
          <w:sz w:val="24"/>
        </w:rPr>
        <w:t xml:space="preserve">  法定代表人：</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委托代理人：</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      </w:t>
      </w:r>
      <w:r>
        <w:rPr>
          <w:rFonts w:hint="eastAsia" w:ascii="宋体" w:hAnsi="宋体" w:cs="宋体"/>
          <w:sz w:val="24"/>
        </w:rPr>
        <w:t xml:space="preserve">   账  号：</w:t>
      </w:r>
      <w:r>
        <w:rPr>
          <w:rFonts w:hint="eastAsia" w:ascii="宋体" w:hAnsi="宋体" w:cs="宋体"/>
          <w:sz w:val="24"/>
          <w:u w:val="single"/>
        </w:rPr>
        <w:t xml:space="preserve">     </w:t>
      </w:r>
    </w:p>
    <w:p>
      <w:pPr>
        <w:pStyle w:val="4"/>
        <w:rPr>
          <w:rFonts w:hint="default" w:ascii="宋体" w:eastAsia="宋体" w:cs="宋体"/>
          <w:bCs w:val="0"/>
          <w:sz w:val="24"/>
          <w:szCs w:val="24"/>
        </w:rPr>
      </w:pPr>
      <w:r>
        <w:rPr>
          <w:rFonts w:ascii="宋体" w:eastAsia="宋体" w:cs="宋体"/>
          <w:bCs w:val="0"/>
          <w:sz w:val="24"/>
          <w:szCs w:val="24"/>
        </w:rPr>
        <w:br w:type="page"/>
      </w:r>
      <w:bookmarkStart w:id="57" w:name="_Toc379961073"/>
      <w:bookmarkStart w:id="58" w:name="_Toc384891915"/>
      <w:bookmarkStart w:id="59" w:name="_Toc22485"/>
      <w:bookmarkStart w:id="60" w:name="_Toc351203494"/>
      <w:r>
        <w:rPr>
          <w:rFonts w:ascii="宋体" w:eastAsia="宋体" w:cs="宋体"/>
          <w:bCs w:val="0"/>
          <w:sz w:val="24"/>
          <w:szCs w:val="24"/>
        </w:rPr>
        <w:t>第二部分 通用合同条款</w:t>
      </w:r>
      <w:bookmarkEnd w:id="57"/>
      <w:bookmarkEnd w:id="58"/>
      <w:bookmarkEnd w:id="59"/>
      <w:bookmarkEnd w:id="60"/>
      <w:bookmarkStart w:id="61" w:name="_Toc337558727"/>
    </w:p>
    <w:bookmarkEnd w:id="61"/>
    <w:p>
      <w:pPr>
        <w:autoSpaceDE w:val="0"/>
        <w:autoSpaceDN w:val="0"/>
        <w:adjustRightInd w:val="0"/>
        <w:spacing w:line="360" w:lineRule="auto"/>
        <w:ind w:firstLine="1440" w:firstLineChars="600"/>
        <w:jc w:val="left"/>
        <w:rPr>
          <w:rFonts w:ascii="宋体" w:hAnsi="宋体" w:cs="宋体"/>
          <w:kern w:val="0"/>
          <w:sz w:val="24"/>
        </w:rPr>
      </w:pPr>
      <w:r>
        <w:rPr>
          <w:rFonts w:hint="eastAsia" w:ascii="宋体" w:hAnsi="宋体" w:cs="宋体"/>
          <w:kern w:val="0"/>
          <w:sz w:val="24"/>
        </w:rPr>
        <w:t>采用《建设工程施工合同（示范文本）》（GF—2017—0201）。</w:t>
      </w:r>
    </w:p>
    <w:p>
      <w:pPr>
        <w:pStyle w:val="4"/>
        <w:rPr>
          <w:rFonts w:hint="default" w:ascii="宋体" w:eastAsia="宋体" w:cs="宋体"/>
          <w:bCs w:val="0"/>
          <w:sz w:val="24"/>
          <w:szCs w:val="24"/>
        </w:rPr>
      </w:pPr>
      <w:bookmarkStart w:id="62" w:name="_Toc351203632"/>
      <w:r>
        <w:rPr>
          <w:rFonts w:ascii="宋体" w:eastAsia="宋体" w:cs="宋体"/>
          <w:bCs w:val="0"/>
          <w:sz w:val="24"/>
          <w:szCs w:val="24"/>
        </w:rPr>
        <w:br w:type="page"/>
      </w:r>
      <w:bookmarkStart w:id="63" w:name="_Toc384892052"/>
      <w:bookmarkStart w:id="64" w:name="_Toc379961074"/>
      <w:bookmarkStart w:id="65" w:name="_Toc30602"/>
      <w:r>
        <w:rPr>
          <w:rFonts w:ascii="宋体" w:eastAsia="宋体" w:cs="宋体"/>
          <w:bCs w:val="0"/>
          <w:sz w:val="24"/>
          <w:szCs w:val="24"/>
        </w:rPr>
        <w:t>第三部分 专用合同条款</w:t>
      </w:r>
      <w:bookmarkEnd w:id="62"/>
      <w:bookmarkEnd w:id="63"/>
      <w:bookmarkEnd w:id="64"/>
      <w:bookmarkEnd w:id="65"/>
    </w:p>
    <w:p>
      <w:pPr>
        <w:pStyle w:val="5"/>
        <w:spacing w:before="120" w:after="120" w:line="360" w:lineRule="auto"/>
        <w:rPr>
          <w:rFonts w:ascii="宋体" w:hAnsi="宋体" w:cs="宋体"/>
          <w:b w:val="0"/>
          <w:bCs w:val="0"/>
          <w:sz w:val="24"/>
          <w:szCs w:val="24"/>
        </w:rPr>
      </w:pPr>
      <w:bookmarkStart w:id="66" w:name="_Toc384891850"/>
      <w:bookmarkStart w:id="67" w:name="_Toc351203633"/>
      <w:bookmarkStart w:id="68" w:name="_Toc384892053"/>
      <w:r>
        <w:rPr>
          <w:rFonts w:hint="eastAsia" w:ascii="宋体" w:hAnsi="宋体" w:cs="宋体"/>
          <w:b w:val="0"/>
          <w:bCs w:val="0"/>
          <w:sz w:val="24"/>
          <w:szCs w:val="24"/>
        </w:rPr>
        <w:t>1</w:t>
      </w:r>
      <w:bookmarkStart w:id="69" w:name="_Toc297120456"/>
      <w:bookmarkStart w:id="70" w:name="_Toc297048342"/>
      <w:bookmarkStart w:id="71" w:name="_Toc296347155"/>
      <w:bookmarkStart w:id="72" w:name="_Toc292559866"/>
      <w:bookmarkStart w:id="73" w:name="_Toc296503156"/>
      <w:bookmarkStart w:id="74" w:name="_Toc292559361"/>
      <w:bookmarkStart w:id="75" w:name="_Toc296891196"/>
      <w:bookmarkStart w:id="76" w:name="_Toc296890984"/>
      <w:bookmarkStart w:id="77" w:name="_Toc296346657"/>
      <w:bookmarkStart w:id="78" w:name="_Toc296944495"/>
      <w:r>
        <w:rPr>
          <w:rFonts w:hint="eastAsia" w:ascii="宋体" w:hAnsi="宋体" w:cs="宋体"/>
          <w:b w:val="0"/>
          <w:bCs w:val="0"/>
          <w:sz w:val="24"/>
          <w:szCs w:val="24"/>
        </w:rPr>
        <w:t>. 一般约定</w:t>
      </w:r>
      <w:bookmarkEnd w:id="66"/>
      <w:bookmarkEnd w:id="67"/>
      <w:bookmarkEnd w:id="68"/>
    </w:p>
    <w:bookmarkEnd w:id="69"/>
    <w:bookmarkEnd w:id="70"/>
    <w:bookmarkEnd w:id="71"/>
    <w:bookmarkEnd w:id="72"/>
    <w:bookmarkEnd w:id="73"/>
    <w:bookmarkEnd w:id="74"/>
    <w:bookmarkEnd w:id="75"/>
    <w:bookmarkEnd w:id="76"/>
    <w:bookmarkEnd w:id="77"/>
    <w:bookmarkEnd w:id="78"/>
    <w:p>
      <w:pPr>
        <w:spacing w:after="120" w:line="360" w:lineRule="auto"/>
        <w:ind w:firstLine="480" w:firstLineChars="200"/>
        <w:rPr>
          <w:rFonts w:ascii="宋体" w:hAnsi="宋体" w:cs="宋体"/>
          <w:sz w:val="24"/>
        </w:rPr>
      </w:pPr>
      <w:r>
        <w:rPr>
          <w:rFonts w:hint="eastAsia" w:ascii="宋体" w:hAnsi="宋体" w:cs="宋体"/>
          <w:sz w:val="24"/>
        </w:rPr>
        <w:t>1.1 词语定义</w:t>
      </w:r>
    </w:p>
    <w:p>
      <w:pPr>
        <w:spacing w:line="360" w:lineRule="auto"/>
        <w:ind w:firstLine="480" w:firstLineChars="200"/>
        <w:rPr>
          <w:rFonts w:ascii="宋体" w:hAnsi="宋体" w:cs="宋体"/>
          <w:kern w:val="0"/>
          <w:sz w:val="24"/>
        </w:rPr>
      </w:pPr>
      <w:r>
        <w:rPr>
          <w:rFonts w:hint="eastAsia" w:ascii="宋体" w:hAnsi="宋体" w:cs="宋体"/>
          <w:kern w:val="0"/>
          <w:sz w:val="24"/>
        </w:rPr>
        <w:t>1.1.1合同</w:t>
      </w:r>
    </w:p>
    <w:p>
      <w:pPr>
        <w:spacing w:line="580" w:lineRule="exact"/>
        <w:ind w:firstLine="480" w:firstLineChars="200"/>
        <w:rPr>
          <w:rFonts w:ascii="宋体" w:hAnsi="宋体" w:cs="宋体"/>
          <w:sz w:val="24"/>
          <w:u w:val="single"/>
        </w:rPr>
      </w:pPr>
      <w:r>
        <w:rPr>
          <w:rFonts w:hint="eastAsia" w:ascii="宋体" w:hAnsi="宋体" w:cs="宋体"/>
          <w:kern w:val="0"/>
          <w:sz w:val="24"/>
        </w:rPr>
        <w:t>1.1.1.10其他合同文件包括：</w:t>
      </w:r>
      <w:r>
        <w:rPr>
          <w:rFonts w:hint="eastAsia" w:ascii="宋体" w:hAnsi="宋体" w:cs="宋体"/>
          <w:sz w:val="24"/>
          <w:u w:val="single"/>
        </w:rPr>
        <w:t xml:space="preserve">1、本施工合同协议书、专用条款、通用条款；2、发包人提供的经图审合格的施工图纸，设计变更，图纸会审记录，签证单等；3、合同履行过程中双方有关工程的洽商、变更会议纪要等书面协议或其他文件；4、施工组织设计及相关的技术资料；5、行业标准、现行施工验收规范。  </w:t>
      </w:r>
    </w:p>
    <w:p>
      <w:pPr>
        <w:spacing w:line="360" w:lineRule="auto"/>
        <w:ind w:firstLine="480" w:firstLineChars="200"/>
        <w:rPr>
          <w:rFonts w:ascii="宋体" w:hAnsi="宋体" w:cs="宋体"/>
          <w:sz w:val="24"/>
        </w:rPr>
      </w:pPr>
      <w:r>
        <w:rPr>
          <w:rFonts w:hint="eastAsia" w:ascii="宋体" w:hAnsi="宋体" w:cs="宋体"/>
          <w:sz w:val="24"/>
        </w:rPr>
        <w:t>1.1.2 合同当事人及其他相关方</w:t>
      </w:r>
    </w:p>
    <w:p>
      <w:pPr>
        <w:spacing w:line="360" w:lineRule="auto"/>
        <w:ind w:firstLine="480" w:firstLineChars="200"/>
        <w:rPr>
          <w:rFonts w:ascii="宋体" w:hAnsi="宋体" w:cs="宋体"/>
          <w:sz w:val="24"/>
        </w:rPr>
      </w:pPr>
      <w:r>
        <w:rPr>
          <w:rFonts w:hint="eastAsia" w:ascii="宋体" w:hAnsi="宋体" w:cs="宋体"/>
          <w:sz w:val="24"/>
        </w:rPr>
        <w:t>1.1.2.4监理人：</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1.1.2.5 设计人：</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1.1.3 工程和设备</w:t>
      </w:r>
    </w:p>
    <w:p>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符合通用条款规定的发包方提供的施工场地</w:t>
      </w:r>
      <w:r>
        <w:rPr>
          <w:rFonts w:hint="eastAsia" w:ascii="宋体" w:hAnsi="宋体" w:cs="宋体"/>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1.1.3.9 永久占地包括：</w:t>
      </w:r>
      <w:r>
        <w:rPr>
          <w:rFonts w:hint="eastAsia" w:ascii="宋体" w:hAnsi="宋体" w:cs="宋体"/>
          <w:kern w:val="0"/>
          <w:sz w:val="24"/>
          <w:u w:val="single"/>
        </w:rPr>
        <w:t>执行本合同通用条款</w:t>
      </w:r>
      <w:r>
        <w:rPr>
          <w:rFonts w:hint="eastAsia" w:ascii="宋体" w:hAnsi="宋体" w:cs="宋体"/>
          <w:kern w:val="0"/>
          <w:sz w:val="24"/>
        </w:rPr>
        <w:t>。</w:t>
      </w:r>
    </w:p>
    <w:p>
      <w:pPr>
        <w:spacing w:line="360" w:lineRule="auto"/>
        <w:ind w:firstLine="480" w:firstLineChars="200"/>
        <w:jc w:val="left"/>
        <w:rPr>
          <w:rFonts w:ascii="宋体" w:hAnsi="宋体" w:cs="宋体"/>
          <w:sz w:val="24"/>
        </w:rPr>
      </w:pPr>
      <w:r>
        <w:rPr>
          <w:rFonts w:hint="eastAsia" w:ascii="宋体" w:hAnsi="宋体" w:cs="宋体"/>
          <w:kern w:val="0"/>
          <w:sz w:val="24"/>
        </w:rPr>
        <w:t>1.1.3.10 临时占地包括：</w:t>
      </w:r>
      <w:r>
        <w:rPr>
          <w:rFonts w:hint="eastAsia" w:ascii="宋体" w:hAnsi="宋体" w:cs="宋体"/>
          <w:sz w:val="24"/>
          <w:u w:val="single"/>
        </w:rPr>
        <w:t>双方在合同履行过程中确定</w:t>
      </w:r>
      <w:r>
        <w:rPr>
          <w:rFonts w:hint="eastAsia" w:ascii="宋体" w:hAnsi="宋体" w:cs="宋体"/>
          <w:kern w:val="0"/>
          <w:sz w:val="24"/>
        </w:rPr>
        <w:t>。</w:t>
      </w:r>
    </w:p>
    <w:p>
      <w:pPr>
        <w:spacing w:after="120" w:line="360" w:lineRule="auto"/>
        <w:ind w:firstLine="480" w:firstLineChars="200"/>
        <w:rPr>
          <w:rFonts w:ascii="宋体" w:hAnsi="宋体" w:cs="宋体"/>
          <w:sz w:val="24"/>
        </w:rPr>
      </w:pPr>
      <w:r>
        <w:rPr>
          <w:rFonts w:hint="eastAsia" w:ascii="宋体" w:hAnsi="宋体" w:cs="宋体"/>
          <w:sz w:val="24"/>
        </w:rPr>
        <w:t xml:space="preserve">1.3法律 </w:t>
      </w:r>
    </w:p>
    <w:p>
      <w:pPr>
        <w:spacing w:line="360" w:lineRule="auto"/>
        <w:ind w:firstLine="480" w:firstLineChars="200"/>
        <w:jc w:val="left"/>
        <w:rPr>
          <w:rFonts w:ascii="宋体" w:hAnsi="宋体" w:cs="宋体"/>
          <w:sz w:val="24"/>
          <w:u w:val="single"/>
        </w:rPr>
      </w:pPr>
      <w:r>
        <w:rPr>
          <w:rFonts w:hint="eastAsia" w:ascii="宋体" w:hAnsi="宋体" w:cs="宋体"/>
          <w:kern w:val="0"/>
          <w:sz w:val="24"/>
        </w:rPr>
        <w:t>适用于合同的其他规范性文件：</w:t>
      </w:r>
      <w:r>
        <w:rPr>
          <w:rFonts w:hint="eastAsia" w:ascii="宋体" w:hAnsi="宋体" w:cs="宋体"/>
          <w:kern w:val="0"/>
          <w:sz w:val="24"/>
          <w:u w:val="single"/>
        </w:rPr>
        <w:t>《中华人民共和国建筑法》《中华人民共和国民法典》《建设工程安全生产管理条例》《广西壮族自治区建筑市场管理条例》及相关的地方行政法规。</w:t>
      </w:r>
      <w:r>
        <w:rPr>
          <w:rFonts w:hint="eastAsia" w:ascii="宋体" w:hAnsi="宋体" w:cs="宋体"/>
          <w:kern w:val="0"/>
          <w:sz w:val="24"/>
        </w:rPr>
        <w:t xml:space="preserve"> </w:t>
      </w:r>
    </w:p>
    <w:p>
      <w:pPr>
        <w:spacing w:after="120" w:line="360" w:lineRule="auto"/>
        <w:ind w:firstLine="480" w:firstLineChars="200"/>
        <w:rPr>
          <w:rFonts w:ascii="宋体" w:hAnsi="宋体" w:cs="宋体"/>
          <w:sz w:val="24"/>
        </w:rPr>
      </w:pPr>
      <w:r>
        <w:rPr>
          <w:rFonts w:hint="eastAsia" w:ascii="宋体" w:hAnsi="宋体" w:cs="宋体"/>
          <w:sz w:val="24"/>
        </w:rPr>
        <w:t>1.4 标准和规范</w:t>
      </w:r>
    </w:p>
    <w:p>
      <w:pPr>
        <w:pStyle w:val="197"/>
        <w:spacing w:line="580" w:lineRule="exact"/>
        <w:ind w:left="0" w:right="26" w:firstLine="480" w:firstLineChars="200"/>
        <w:rPr>
          <w:rFonts w:ascii="宋体" w:hAnsi="宋体" w:cs="宋体"/>
          <w:szCs w:val="24"/>
        </w:rPr>
      </w:pPr>
      <w:r>
        <w:rPr>
          <w:rFonts w:hint="eastAsia" w:ascii="宋体" w:hAnsi="宋体" w:cs="宋体"/>
          <w:szCs w:val="24"/>
        </w:rPr>
        <w:t>1.4.1适用于工程的标准规范包括：</w:t>
      </w:r>
      <w:r>
        <w:rPr>
          <w:rFonts w:hint="eastAsia" w:ascii="宋体" w:hAnsi="宋体" w:cs="宋体"/>
          <w:szCs w:val="24"/>
          <w:u w:val="single"/>
        </w:rPr>
        <w:t>《施工技术操作规范》《建筑工程质量检验评定标准》《建筑安装工程施工验收规范》以及现行的国家行业标准规范。</w:t>
      </w:r>
    </w:p>
    <w:p>
      <w:pPr>
        <w:spacing w:line="360" w:lineRule="auto"/>
        <w:ind w:firstLine="480" w:firstLineChars="200"/>
        <w:rPr>
          <w:rFonts w:ascii="宋体" w:hAnsi="宋体" w:cs="宋体"/>
          <w:kern w:val="0"/>
          <w:sz w:val="24"/>
        </w:rPr>
      </w:pPr>
      <w:r>
        <w:rPr>
          <w:rFonts w:hint="eastAsia" w:ascii="宋体" w:hAnsi="宋体" w:cs="宋体"/>
          <w:kern w:val="0"/>
          <w:sz w:val="24"/>
        </w:rPr>
        <w:t>1.4.2 发包人提供国外标准、规范的名称：</w:t>
      </w:r>
      <w:r>
        <w:rPr>
          <w:rFonts w:hint="eastAsia" w:ascii="宋体" w:hAnsi="宋体" w:cs="宋体"/>
          <w:kern w:val="0"/>
          <w:sz w:val="24"/>
          <w:u w:val="single"/>
        </w:rPr>
        <w:t xml:space="preserve">无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发包人提供国外标准、规范的份数：</w:t>
      </w:r>
      <w:r>
        <w:rPr>
          <w:rFonts w:hint="eastAsia" w:ascii="宋体" w:hAnsi="宋体" w:cs="宋体"/>
          <w:kern w:val="0"/>
          <w:sz w:val="24"/>
          <w:u w:val="single"/>
        </w:rPr>
        <w:t>无</w:t>
      </w:r>
      <w:r>
        <w:rPr>
          <w:rFonts w:hint="eastAsia" w:ascii="宋体" w:hAnsi="宋体" w:cs="宋体"/>
          <w:kern w:val="0"/>
          <w:sz w:val="24"/>
        </w:rPr>
        <w:t>；</w:t>
      </w:r>
    </w:p>
    <w:p>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无</w:t>
      </w:r>
      <w:r>
        <w:rPr>
          <w:rFonts w:hint="eastAsia" w:ascii="宋体" w:hAnsi="宋体" w:cs="宋体"/>
          <w:kern w:val="0"/>
          <w:sz w:val="24"/>
        </w:rPr>
        <w:t>。</w:t>
      </w:r>
    </w:p>
    <w:p>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无特殊要求</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1.5 合同文件的优先顺序</w:t>
      </w:r>
    </w:p>
    <w:p>
      <w:pPr>
        <w:spacing w:line="360" w:lineRule="auto"/>
        <w:ind w:firstLine="480" w:firstLineChars="200"/>
        <w:rPr>
          <w:rFonts w:ascii="宋体" w:hAnsi="宋体" w:cs="宋体"/>
          <w:sz w:val="24"/>
        </w:rPr>
      </w:pPr>
      <w:r>
        <w:rPr>
          <w:rFonts w:hint="eastAsia" w:ascii="宋体" w:hAnsi="宋体" w:cs="宋体"/>
          <w:sz w:val="24"/>
        </w:rPr>
        <w:t>合同文件组成及优先顺序为：</w:t>
      </w:r>
      <w:r>
        <w:rPr>
          <w:rFonts w:hint="eastAsia" w:ascii="宋体" w:hAnsi="宋体" w:cs="宋体"/>
          <w:sz w:val="24"/>
          <w:u w:val="single"/>
        </w:rPr>
        <w:t>（</w:t>
      </w:r>
      <w:r>
        <w:rPr>
          <w:rFonts w:hint="eastAsia" w:ascii="宋体" w:hAnsi="宋体" w:cs="宋体"/>
          <w:kern w:val="0"/>
          <w:sz w:val="24"/>
          <w:u w:val="single"/>
        </w:rPr>
        <w:t>1）合同协议书；（2）成交通知书；（3）投标函及其附录；（4）专用合同条款</w:t>
      </w:r>
      <w:r>
        <w:rPr>
          <w:rFonts w:hint="eastAsia" w:ascii="宋体" w:hAnsi="宋体" w:cs="宋体"/>
          <w:sz w:val="24"/>
          <w:u w:val="single"/>
        </w:rPr>
        <w:t>及其附件</w:t>
      </w:r>
      <w:r>
        <w:rPr>
          <w:rFonts w:hint="eastAsia" w:ascii="宋体" w:hAnsi="宋体" w:cs="宋体"/>
          <w:kern w:val="0"/>
          <w:sz w:val="24"/>
          <w:u w:val="single"/>
        </w:rPr>
        <w:t>；（5）通用合同条款；（6）技术标准和要求；（7）已标价工程量清单或预算书；（8）图纸；（9）其他合同文件。</w:t>
      </w:r>
    </w:p>
    <w:p>
      <w:pPr>
        <w:spacing w:after="120" w:line="360" w:lineRule="auto"/>
        <w:ind w:firstLine="480" w:firstLineChars="20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1.6.1 图纸的提供</w:t>
      </w:r>
    </w:p>
    <w:p>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合同生效后7天内</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提供施工图纸三套</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 xml:space="preserve">本工程完整的设计施工图纸、设计变更图等涉及工程施工所需的所有图纸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1.6.4 承包人文件</w:t>
      </w:r>
    </w:p>
    <w:p>
      <w:pPr>
        <w:spacing w:line="580" w:lineRule="exact"/>
        <w:ind w:firstLine="480" w:firstLineChars="200"/>
        <w:jc w:val="left"/>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   。</w:t>
      </w:r>
    </w:p>
    <w:p>
      <w:pPr>
        <w:spacing w:line="360" w:lineRule="auto"/>
        <w:ind w:firstLine="470" w:firstLineChars="196"/>
        <w:jc w:val="left"/>
        <w:rPr>
          <w:rFonts w:ascii="宋体" w:hAnsi="宋体" w:cs="宋体"/>
          <w:sz w:val="24"/>
        </w:rPr>
      </w:pPr>
      <w:r>
        <w:rPr>
          <w:rFonts w:hint="eastAsia" w:ascii="宋体" w:hAnsi="宋体" w:cs="宋体"/>
          <w:sz w:val="24"/>
          <w:u w:val="single"/>
        </w:rPr>
        <w:t xml:space="preserve">（1）总进度计划 （2）施工组织设计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图纸会审后15个有效工作日内提供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贰份</w:t>
      </w:r>
      <w:r>
        <w:rPr>
          <w:rFonts w:hint="eastAsia" w:ascii="宋体" w:hAnsi="宋体" w:cs="宋体"/>
          <w:sz w:val="24"/>
        </w:rPr>
        <w:t>；</w:t>
      </w:r>
    </w:p>
    <w:p>
      <w:pPr>
        <w:spacing w:line="580" w:lineRule="exact"/>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 xml:space="preserve">提交发包人驻现场代表和监理人，实行签收记录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从收到之日起7个有效工作日内给予确认</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1.6.5 现场图纸准备</w:t>
      </w:r>
    </w:p>
    <w:p>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kern w:val="0"/>
          <w:sz w:val="24"/>
          <w:u w:val="single"/>
        </w:rPr>
        <w:t>执行本合同通用条款</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1.7 联络</w:t>
      </w:r>
    </w:p>
    <w:p>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sz w:val="24"/>
          <w:u w:val="single"/>
        </w:rPr>
        <w:t>三</w:t>
      </w:r>
      <w:r>
        <w:rPr>
          <w:rFonts w:hint="eastAsia" w:ascii="宋体" w:hAnsi="宋体" w:cs="宋体"/>
          <w:kern w:val="0"/>
          <w:sz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kern w:val="0"/>
          <w:sz w:val="24"/>
        </w:rPr>
      </w:pPr>
      <w:r>
        <w:rPr>
          <w:rFonts w:hint="eastAsia" w:ascii="宋体" w:hAnsi="宋体" w:cs="宋体"/>
          <w:kern w:val="0"/>
          <w:sz w:val="24"/>
        </w:rPr>
        <w:t>1.7.2 发包人接收文件的地点：</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发包人指定的接收人为：</w:t>
      </w:r>
      <w:r>
        <w:rPr>
          <w:rFonts w:hint="eastAsia" w:ascii="宋体" w:hAnsi="宋体" w:cs="宋体"/>
          <w:sz w:val="24"/>
          <w:u w:val="single"/>
        </w:rPr>
        <w:t>          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承包人接收文件的地点：</w:t>
      </w:r>
      <w:r>
        <w:rPr>
          <w:rFonts w:hint="eastAsia" w:ascii="宋体" w:hAnsi="宋体" w:cs="宋体"/>
          <w:sz w:val="24"/>
          <w:u w:val="single"/>
        </w:rPr>
        <w:t>现场办公室</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承包人指定的接收人为：</w:t>
      </w:r>
      <w:r>
        <w:rPr>
          <w:rFonts w:hint="eastAsia" w:ascii="宋体" w:hAnsi="宋体" w:cs="宋体"/>
          <w:sz w:val="24"/>
          <w:u w:val="single"/>
        </w:rPr>
        <w:t> 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监理人接收文件的地点：</w:t>
      </w:r>
      <w:r>
        <w:rPr>
          <w:rFonts w:hint="eastAsia" w:ascii="宋体" w:hAnsi="宋体" w:cs="宋体"/>
          <w:sz w:val="24"/>
          <w:u w:val="single"/>
        </w:rPr>
        <w:t>现场办公室</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监理人指定的接收人为：</w:t>
      </w:r>
      <w:r>
        <w:rPr>
          <w:rFonts w:hint="eastAsia" w:ascii="宋体" w:hAnsi="宋体" w:cs="宋体"/>
          <w:sz w:val="24"/>
          <w:u w:val="single"/>
        </w:rPr>
        <w:t>            </w:t>
      </w:r>
      <w:r>
        <w:rPr>
          <w:rFonts w:hint="eastAsia" w:ascii="宋体" w:hAnsi="宋体" w:cs="宋体"/>
          <w:kern w:val="0"/>
          <w:sz w:val="24"/>
        </w:rPr>
        <w:t>。</w:t>
      </w:r>
    </w:p>
    <w:p>
      <w:pPr>
        <w:spacing w:after="120" w:line="360" w:lineRule="auto"/>
        <w:ind w:firstLine="480" w:firstLineChars="200"/>
        <w:rPr>
          <w:rFonts w:ascii="宋体" w:hAnsi="宋体" w:cs="宋体"/>
          <w:sz w:val="24"/>
        </w:rPr>
      </w:pPr>
      <w:r>
        <w:rPr>
          <w:rFonts w:hint="eastAsia" w:ascii="宋体" w:hAnsi="宋体" w:cs="宋体"/>
          <w:sz w:val="24"/>
        </w:rPr>
        <w:t>1.10 交通运输</w:t>
      </w:r>
    </w:p>
    <w:p>
      <w:pPr>
        <w:spacing w:line="360" w:lineRule="auto"/>
        <w:ind w:firstLine="480" w:firstLineChars="200"/>
        <w:rPr>
          <w:rFonts w:ascii="宋体" w:hAnsi="宋体" w:cs="宋体"/>
          <w:sz w:val="24"/>
        </w:rPr>
      </w:pPr>
      <w:r>
        <w:rPr>
          <w:rFonts w:hint="eastAsia" w:ascii="宋体" w:hAnsi="宋体" w:cs="宋体"/>
          <w:sz w:val="24"/>
        </w:rPr>
        <w:t>1</w:t>
      </w:r>
      <w:bookmarkStart w:id="79" w:name="_Toc318581155"/>
      <w:bookmarkStart w:id="80" w:name="_Toc303539100"/>
      <w:bookmarkStart w:id="81" w:name="_Toc312677986"/>
      <w:bookmarkStart w:id="82" w:name="_Toc300934943"/>
      <w:bookmarkStart w:id="83" w:name="_Toc304295521"/>
      <w:r>
        <w:rPr>
          <w:rFonts w:hint="eastAsia" w:ascii="宋体" w:hAnsi="宋体" w:cs="宋体"/>
          <w:sz w:val="24"/>
        </w:rPr>
        <w:t>.10.1 出入现场的权利</w:t>
      </w:r>
    </w:p>
    <w:p>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 xml:space="preserve">/    </w:t>
      </w:r>
    </w:p>
    <w:p>
      <w:pPr>
        <w:spacing w:line="360" w:lineRule="auto"/>
        <w:ind w:firstLine="470" w:firstLineChars="196"/>
        <w:rPr>
          <w:rFonts w:ascii="宋体" w:hAnsi="宋体" w:cs="宋体"/>
          <w:sz w:val="24"/>
        </w:rPr>
      </w:pPr>
      <w:r>
        <w:rPr>
          <w:rFonts w:hint="eastAsia" w:ascii="宋体" w:hAnsi="宋体" w:cs="宋体"/>
          <w:sz w:val="24"/>
          <w:u w:val="single"/>
        </w:rPr>
        <w:t>发包人负责协调办理临时用地和占道许可，开工前确保通往施工现场的公共道路畅通。</w:t>
      </w:r>
    </w:p>
    <w:bookmarkEnd w:id="79"/>
    <w:bookmarkEnd w:id="80"/>
    <w:bookmarkEnd w:id="81"/>
    <w:bookmarkEnd w:id="82"/>
    <w:bookmarkEnd w:id="83"/>
    <w:p>
      <w:pPr>
        <w:spacing w:line="360" w:lineRule="auto"/>
        <w:ind w:firstLine="480" w:firstLineChars="200"/>
        <w:jc w:val="left"/>
        <w:rPr>
          <w:rFonts w:ascii="宋体" w:hAnsi="宋体" w:cs="宋体"/>
          <w:sz w:val="24"/>
        </w:rPr>
      </w:pPr>
      <w:r>
        <w:rPr>
          <w:rFonts w:hint="eastAsia" w:ascii="宋体" w:hAnsi="宋体" w:cs="宋体"/>
          <w:sz w:val="24"/>
        </w:rPr>
        <w:t>1</w:t>
      </w:r>
      <w:bookmarkStart w:id="84" w:name="_Toc303539101"/>
      <w:bookmarkStart w:id="85" w:name="_Toc300934944"/>
      <w:bookmarkStart w:id="86" w:name="_Toc312677987"/>
      <w:bookmarkStart w:id="87" w:name="_Toc304295522"/>
      <w:bookmarkStart w:id="88" w:name="_Toc318581156"/>
      <w:r>
        <w:rPr>
          <w:rFonts w:hint="eastAsia" w:ascii="宋体" w:hAnsi="宋体" w:cs="宋体"/>
          <w:sz w:val="24"/>
        </w:rPr>
        <w:t>.10.3 场内交通</w:t>
      </w:r>
    </w:p>
    <w:p>
      <w:pPr>
        <w:spacing w:line="360" w:lineRule="auto"/>
        <w:ind w:firstLine="480" w:firstLineChars="200"/>
        <w:jc w:val="left"/>
        <w:rPr>
          <w:rFonts w:ascii="宋体" w:hAnsi="宋体" w:cs="宋体"/>
          <w:kern w:val="0"/>
          <w:sz w:val="24"/>
        </w:rPr>
      </w:pPr>
      <w:r>
        <w:rPr>
          <w:rFonts w:hint="eastAsia" w:ascii="宋体" w:hAnsi="宋体" w:cs="宋体"/>
          <w:kern w:val="0"/>
          <w:sz w:val="24"/>
        </w:rPr>
        <w:t>关于场外交通和场内交通的边界的约定：</w:t>
      </w:r>
      <w:r>
        <w:rPr>
          <w:rFonts w:hint="eastAsia" w:ascii="宋体" w:hAnsi="宋体" w:cs="宋体"/>
          <w:sz w:val="24"/>
          <w:u w:val="single"/>
        </w:rPr>
        <w:t>以施工现场工地临时围墙为界，围墙以外为场外，以内为场内。</w:t>
      </w:r>
    </w:p>
    <w:p>
      <w:pPr>
        <w:spacing w:line="360" w:lineRule="auto"/>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 xml:space="preserve">/  </w:t>
      </w:r>
      <w:r>
        <w:rPr>
          <w:rFonts w:hint="eastAsia" w:ascii="宋体" w:hAnsi="宋体" w:cs="宋体"/>
          <w:sz w:val="24"/>
        </w:rPr>
        <w:t>。</w:t>
      </w:r>
      <w:bookmarkEnd w:id="84"/>
      <w:bookmarkEnd w:id="85"/>
      <w:bookmarkEnd w:id="86"/>
      <w:bookmarkEnd w:id="87"/>
      <w:bookmarkEnd w:id="88"/>
      <w:r>
        <w:rPr>
          <w:rFonts w:hint="eastAsia" w:ascii="宋体" w:hAnsi="宋体" w:cs="宋体"/>
          <w:sz w:val="24"/>
        </w:rPr>
        <w:t xml:space="preserve">  </w:t>
      </w:r>
      <w:bookmarkStart w:id="89" w:name="_Toc318581157"/>
    </w:p>
    <w:p>
      <w:pPr>
        <w:spacing w:line="360" w:lineRule="auto"/>
        <w:ind w:firstLine="480" w:firstLineChars="200"/>
        <w:jc w:val="left"/>
        <w:rPr>
          <w:rFonts w:ascii="宋体" w:hAnsi="宋体" w:cs="宋体"/>
          <w:sz w:val="24"/>
        </w:rPr>
      </w:pPr>
      <w:r>
        <w:rPr>
          <w:rFonts w:hint="eastAsia" w:ascii="宋体" w:hAnsi="宋体" w:cs="宋体"/>
          <w:sz w:val="24"/>
        </w:rPr>
        <w:t>1.10.4超大件和超重件的运输</w:t>
      </w:r>
    </w:p>
    <w:p>
      <w:pPr>
        <w:spacing w:line="360" w:lineRule="auto"/>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发包人</w:t>
      </w:r>
      <w:r>
        <w:rPr>
          <w:rFonts w:hint="eastAsia" w:ascii="宋体" w:hAnsi="宋体" w:cs="宋体"/>
          <w:sz w:val="24"/>
        </w:rPr>
        <w:t>承担。</w:t>
      </w:r>
    </w:p>
    <w:bookmarkEnd w:id="89"/>
    <w:p>
      <w:pPr>
        <w:spacing w:after="120" w:line="360" w:lineRule="auto"/>
        <w:ind w:firstLine="480" w:firstLineChars="200"/>
        <w:rPr>
          <w:rFonts w:ascii="宋体" w:hAnsi="宋体" w:cs="宋体"/>
          <w:sz w:val="24"/>
        </w:rPr>
      </w:pPr>
      <w:r>
        <w:rPr>
          <w:rFonts w:hint="eastAsia" w:ascii="宋体" w:hAnsi="宋体" w:cs="宋体"/>
          <w:sz w:val="24"/>
        </w:rPr>
        <w:t>1.11 知识产权</w:t>
      </w:r>
    </w:p>
    <w:p>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sz w:val="24"/>
        </w:rPr>
        <w:t>。</w:t>
      </w:r>
    </w:p>
    <w:p>
      <w:pPr>
        <w:spacing w:line="580" w:lineRule="exact"/>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sz w:val="24"/>
          <w:u w:val="single"/>
        </w:rPr>
        <w:t>未经过发包人同意不得转借他人使用或向第三方透露上述文件内容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   </w:t>
      </w:r>
      <w:r>
        <w:rPr>
          <w:rFonts w:hint="eastAsia" w:ascii="宋体" w:hAnsi="宋体" w:cs="宋体"/>
          <w:kern w:val="0"/>
          <w:sz w:val="24"/>
        </w:rPr>
        <w:t>。</w:t>
      </w:r>
    </w:p>
    <w:p>
      <w:pPr>
        <w:spacing w:after="120" w:line="360" w:lineRule="auto"/>
        <w:ind w:firstLine="480" w:firstLineChars="200"/>
        <w:rPr>
          <w:rFonts w:ascii="宋体" w:hAnsi="宋体" w:cs="宋体"/>
          <w:sz w:val="24"/>
        </w:rPr>
      </w:pPr>
      <w:r>
        <w:rPr>
          <w:rFonts w:hint="eastAsia" w:ascii="宋体" w:hAnsi="宋体" w:cs="宋体"/>
          <w:sz w:val="24"/>
        </w:rPr>
        <w:t>1.13工程量清单错误的修正</w:t>
      </w:r>
    </w:p>
    <w:p>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sz w:val="24"/>
          <w:u w:val="single"/>
        </w:rPr>
        <w:t>是</w:t>
      </w:r>
      <w:r>
        <w:rPr>
          <w:rFonts w:hint="eastAsia" w:ascii="宋体" w:hAnsi="宋体" w:cs="宋体"/>
          <w:kern w:val="0"/>
          <w:sz w:val="24"/>
        </w:rPr>
        <w:t>。</w:t>
      </w:r>
    </w:p>
    <w:p>
      <w:pPr>
        <w:spacing w:line="360" w:lineRule="auto"/>
        <w:ind w:firstLine="480" w:firstLineChars="200"/>
        <w:rPr>
          <w:rFonts w:ascii="宋体" w:hAnsi="宋体" w:cs="宋体"/>
          <w:sz w:val="24"/>
        </w:rPr>
      </w:pPr>
      <w:r>
        <w:rPr>
          <w:rFonts w:hint="eastAsia" w:ascii="宋体" w:hAnsi="宋体" w:cs="宋体"/>
          <w:sz w:val="24"/>
        </w:rPr>
        <w:t>允许调整合同价格的工程量偏差范围：</w:t>
      </w:r>
      <w:r>
        <w:rPr>
          <w:rFonts w:hint="eastAsia" w:ascii="宋体" w:hAnsi="宋体" w:cs="宋体"/>
          <w:sz w:val="24"/>
          <w:u w:val="single"/>
        </w:rPr>
        <w:t xml:space="preserve">据实调整  </w:t>
      </w:r>
      <w:r>
        <w:rPr>
          <w:rFonts w:hint="eastAsia" w:ascii="宋体" w:hAnsi="宋体" w:cs="宋体"/>
          <w:kern w:val="0"/>
          <w:sz w:val="24"/>
        </w:rPr>
        <w:t>。</w:t>
      </w:r>
    </w:p>
    <w:p>
      <w:pPr>
        <w:pStyle w:val="5"/>
        <w:spacing w:before="120" w:after="120" w:line="360" w:lineRule="auto"/>
        <w:rPr>
          <w:rFonts w:ascii="宋体" w:hAnsi="宋体" w:cs="宋体"/>
          <w:b w:val="0"/>
          <w:bCs w:val="0"/>
          <w:sz w:val="24"/>
          <w:szCs w:val="24"/>
        </w:rPr>
      </w:pPr>
      <w:bookmarkStart w:id="90" w:name="_Toc384891851"/>
      <w:bookmarkStart w:id="91" w:name="_Toc351203634"/>
      <w:bookmarkStart w:id="92" w:name="_Toc384892054"/>
      <w:r>
        <w:rPr>
          <w:rFonts w:hint="eastAsia" w:ascii="宋体" w:hAnsi="宋体" w:cs="宋体"/>
          <w:b w:val="0"/>
          <w:bCs w:val="0"/>
          <w:sz w:val="24"/>
          <w:szCs w:val="24"/>
        </w:rPr>
        <w:t>2</w:t>
      </w:r>
      <w:bookmarkStart w:id="93" w:name="_Toc296944496"/>
      <w:bookmarkStart w:id="94" w:name="_Toc296347156"/>
      <w:bookmarkStart w:id="95" w:name="_Toc292559867"/>
      <w:bookmarkStart w:id="96" w:name="_Toc296503157"/>
      <w:bookmarkStart w:id="97" w:name="_Toc296891197"/>
      <w:bookmarkStart w:id="98" w:name="_Toc296890985"/>
      <w:bookmarkStart w:id="99" w:name="_Toc297120457"/>
      <w:bookmarkStart w:id="100" w:name="_Toc297048343"/>
      <w:bookmarkStart w:id="101" w:name="_Toc292559362"/>
      <w:bookmarkStart w:id="102" w:name="_Toc296346658"/>
      <w:r>
        <w:rPr>
          <w:rFonts w:hint="eastAsia" w:ascii="宋体" w:hAnsi="宋体" w:cs="宋体"/>
          <w:b w:val="0"/>
          <w:bCs w:val="0"/>
          <w:sz w:val="24"/>
          <w:szCs w:val="24"/>
        </w:rPr>
        <w:t>. 发包人</w:t>
      </w:r>
      <w:bookmarkEnd w:id="90"/>
      <w:bookmarkEnd w:id="91"/>
      <w:bookmarkEnd w:id="92"/>
    </w:p>
    <w:bookmarkEnd w:id="93"/>
    <w:bookmarkEnd w:id="94"/>
    <w:bookmarkEnd w:id="95"/>
    <w:bookmarkEnd w:id="96"/>
    <w:bookmarkEnd w:id="97"/>
    <w:bookmarkEnd w:id="98"/>
    <w:bookmarkEnd w:id="99"/>
    <w:bookmarkEnd w:id="100"/>
    <w:bookmarkEnd w:id="101"/>
    <w:bookmarkEnd w:id="102"/>
    <w:p>
      <w:pPr>
        <w:spacing w:after="120" w:line="360" w:lineRule="auto"/>
        <w:ind w:firstLine="480" w:firstLineChars="200"/>
        <w:rPr>
          <w:rFonts w:ascii="宋体" w:hAnsi="宋体" w:cs="宋体"/>
          <w:sz w:val="24"/>
        </w:rPr>
      </w:pPr>
      <w:r>
        <w:rPr>
          <w:rFonts w:hint="eastAsia" w:ascii="宋体" w:hAnsi="宋体" w:cs="宋体"/>
          <w:sz w:val="24"/>
        </w:rPr>
        <w:t>2.2 发包人代表</w:t>
      </w:r>
    </w:p>
    <w:p>
      <w:pPr>
        <w:spacing w:line="360" w:lineRule="auto"/>
        <w:ind w:firstLine="480" w:firstLineChars="200"/>
        <w:rPr>
          <w:rFonts w:ascii="宋体" w:hAnsi="宋体" w:cs="宋体"/>
          <w:sz w:val="24"/>
        </w:rPr>
      </w:pPr>
      <w:r>
        <w:rPr>
          <w:rFonts w:hint="eastAsia" w:ascii="宋体" w:hAnsi="宋体" w:cs="宋体"/>
          <w:sz w:val="24"/>
        </w:rPr>
        <w:t>发包人代表：</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pStyle w:val="197"/>
        <w:spacing w:line="580" w:lineRule="exact"/>
        <w:ind w:left="0" w:right="26" w:firstLine="480" w:firstLineChars="200"/>
        <w:rPr>
          <w:rFonts w:ascii="宋体" w:hAnsi="宋体" w:cs="宋体"/>
          <w:szCs w:val="24"/>
          <w:u w:val="single"/>
        </w:rPr>
      </w:pPr>
      <w:r>
        <w:rPr>
          <w:rFonts w:hint="eastAsia" w:ascii="宋体" w:hAnsi="宋体" w:cs="宋体"/>
          <w:szCs w:val="24"/>
        </w:rPr>
        <w:t>发包人对发包人代表的授权范围如下：</w:t>
      </w:r>
      <w:r>
        <w:rPr>
          <w:rFonts w:hint="eastAsia" w:ascii="宋体" w:hAnsi="宋体" w:cs="宋体"/>
          <w:kern w:val="2"/>
          <w:szCs w:val="24"/>
          <w:u w:val="single"/>
        </w:rPr>
        <w:t>主持该项目施工过程中及保修阶段的全过程管理。负责安全、质量、进度，监督材料、设备的定样，材料价格的确认，以及代表发包人对工程量造价的核算和工程结算、工程安全、质量、进度、变更、认价、工程量的增减等所有相关文件的签字确认。</w:t>
      </w:r>
    </w:p>
    <w:p>
      <w:pPr>
        <w:spacing w:after="120"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pPr>
        <w:spacing w:line="360" w:lineRule="auto"/>
        <w:ind w:firstLine="480" w:firstLineChars="200"/>
        <w:rPr>
          <w:rFonts w:ascii="宋体" w:hAnsi="宋体" w:cs="宋体"/>
          <w:sz w:val="24"/>
        </w:rPr>
      </w:pPr>
      <w:r>
        <w:rPr>
          <w:rFonts w:hint="eastAsia" w:ascii="宋体" w:hAnsi="宋体" w:cs="宋体"/>
          <w:sz w:val="24"/>
        </w:rPr>
        <w:t>2.4.1 提供施工现场</w:t>
      </w:r>
    </w:p>
    <w:p>
      <w:pPr>
        <w:spacing w:line="360" w:lineRule="auto"/>
        <w:ind w:firstLine="480" w:firstLineChars="200"/>
        <w:jc w:val="left"/>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开工前完成“四通一平”（水通、电通、网络通、道路通及场地平整），包括工地周围区间道路的畅通，满足承包人施工所需的施工、材料加工、仓库及施工人员现场居住临时搭建的场地。</w:t>
      </w:r>
    </w:p>
    <w:p>
      <w:pPr>
        <w:spacing w:line="360" w:lineRule="auto"/>
        <w:ind w:firstLine="480" w:firstLineChars="200"/>
        <w:rPr>
          <w:rFonts w:ascii="宋体" w:hAnsi="宋体" w:cs="宋体"/>
          <w:sz w:val="24"/>
        </w:rPr>
      </w:pPr>
      <w:r>
        <w:rPr>
          <w:rFonts w:hint="eastAsia" w:ascii="宋体" w:hAnsi="宋体" w:cs="宋体"/>
          <w:sz w:val="24"/>
        </w:rPr>
        <w:t>2.4.2 提供施工条件</w:t>
      </w:r>
    </w:p>
    <w:p>
      <w:pPr>
        <w:spacing w:line="360" w:lineRule="auto"/>
        <w:ind w:firstLine="480" w:firstLineChars="200"/>
        <w:rPr>
          <w:rFonts w:ascii="宋体" w:hAnsi="宋体" w:cs="宋体"/>
          <w:sz w:val="24"/>
          <w:u w:val="single"/>
        </w:rPr>
      </w:pPr>
      <w:r>
        <w:rPr>
          <w:rFonts w:hint="eastAsia" w:ascii="宋体" w:hAnsi="宋体" w:cs="宋体"/>
          <w:sz w:val="24"/>
        </w:rPr>
        <w:t>关于发包人应负责提供施工所需要的条件，包括：</w:t>
      </w:r>
      <w:r>
        <w:rPr>
          <w:rFonts w:hint="eastAsia" w:ascii="宋体" w:hAnsi="宋体" w:cs="宋体"/>
          <w:sz w:val="24"/>
          <w:u w:val="single"/>
        </w:rPr>
        <w:t>执行通用条款2.4.2条 、2.4.3条、2.4.4条（1）开工前7天将施工用水、电、通讯等管线接送至施工现场。（2）发包人负责协调办理临时用地和占道许可，开工前确保通往施工现场的公共道路畅通。（3）开工前，负责与市政及有关部门摸清地下管线，书面交底给承包人。并对资料的真实性、准确性负责。（4）开工前</w:t>
      </w:r>
      <w:r>
        <w:rPr>
          <w:rFonts w:hint="eastAsia" w:ascii="宋体" w:hAnsi="宋体" w:cs="宋体"/>
          <w:kern w:val="0"/>
          <w:sz w:val="24"/>
          <w:u w:val="single"/>
        </w:rPr>
        <w:t>协调处理施工现场周围地下管线和邻近建筑物、构筑物、古树名木的保护工作，并承担相关费用；（5）</w:t>
      </w:r>
      <w:r>
        <w:rPr>
          <w:rFonts w:hint="eastAsia" w:ascii="宋体" w:hAnsi="宋体" w:cs="宋体"/>
          <w:sz w:val="24"/>
          <w:u w:val="single"/>
        </w:rPr>
        <w:t>发包人负责协调处理好围墙之外的相邻单位及居住户的关系，如有纠纷与承包人无关，但承包人有积极配合发包人的义务。由此导致工程无法施工的，工期顺延，造成承包的损失的由发包人承担。</w:t>
      </w:r>
    </w:p>
    <w:p>
      <w:pPr>
        <w:spacing w:after="120" w:line="360" w:lineRule="auto"/>
        <w:ind w:firstLine="480" w:firstLineChars="200"/>
        <w:rPr>
          <w:rFonts w:ascii="宋体" w:hAnsi="宋体" w:cs="宋体"/>
          <w:sz w:val="24"/>
        </w:rPr>
      </w:pPr>
      <w:r>
        <w:rPr>
          <w:rFonts w:hint="eastAsia" w:ascii="宋体" w:hAnsi="宋体" w:cs="宋体"/>
          <w:sz w:val="24"/>
        </w:rPr>
        <w:t>2.5 资金来源证明及支付担保</w:t>
      </w:r>
    </w:p>
    <w:p>
      <w:pPr>
        <w:spacing w:line="360" w:lineRule="auto"/>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否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无</w:t>
      </w:r>
      <w:r>
        <w:rPr>
          <w:rFonts w:hint="eastAsia" w:ascii="宋体" w:hAnsi="宋体" w:cs="宋体"/>
          <w:sz w:val="24"/>
        </w:rPr>
        <w:t>。</w:t>
      </w:r>
    </w:p>
    <w:p>
      <w:pPr>
        <w:pStyle w:val="5"/>
        <w:spacing w:before="120" w:after="120" w:line="360" w:lineRule="auto"/>
        <w:rPr>
          <w:rFonts w:ascii="宋体" w:hAnsi="宋体" w:cs="宋体"/>
          <w:b w:val="0"/>
          <w:bCs w:val="0"/>
          <w:sz w:val="24"/>
          <w:szCs w:val="24"/>
        </w:rPr>
      </w:pPr>
      <w:bookmarkStart w:id="103" w:name="_Toc384892055"/>
      <w:bookmarkStart w:id="104" w:name="_Toc384891852"/>
      <w:bookmarkStart w:id="105" w:name="_Toc351203635"/>
      <w:r>
        <w:rPr>
          <w:rFonts w:hint="eastAsia" w:ascii="宋体" w:hAnsi="宋体" w:cs="宋体"/>
          <w:b w:val="0"/>
          <w:bCs w:val="0"/>
          <w:sz w:val="24"/>
          <w:szCs w:val="24"/>
        </w:rPr>
        <w:t>3</w:t>
      </w:r>
      <w:bookmarkStart w:id="106" w:name="_Toc296503158"/>
      <w:bookmarkStart w:id="107" w:name="_Toc296346659"/>
      <w:bookmarkStart w:id="108" w:name="_Toc296891198"/>
      <w:bookmarkStart w:id="109" w:name="_Toc292559868"/>
      <w:bookmarkStart w:id="110" w:name="_Toc297120458"/>
      <w:bookmarkStart w:id="111" w:name="_Toc296890986"/>
      <w:bookmarkStart w:id="112" w:name="_Toc296347157"/>
      <w:bookmarkStart w:id="113" w:name="_Toc292559363"/>
      <w:bookmarkStart w:id="114" w:name="_Toc296944497"/>
      <w:bookmarkStart w:id="115" w:name="_Toc297048344"/>
      <w:r>
        <w:rPr>
          <w:rFonts w:hint="eastAsia" w:ascii="宋体" w:hAnsi="宋体" w:cs="宋体"/>
          <w:b w:val="0"/>
          <w:bCs w:val="0"/>
          <w:sz w:val="24"/>
          <w:szCs w:val="24"/>
        </w:rPr>
        <w:t>. 承包人</w:t>
      </w:r>
      <w:bookmarkEnd w:id="103"/>
      <w:bookmarkEnd w:id="104"/>
      <w:bookmarkEnd w:id="105"/>
    </w:p>
    <w:bookmarkEnd w:id="106"/>
    <w:bookmarkEnd w:id="107"/>
    <w:bookmarkEnd w:id="108"/>
    <w:bookmarkEnd w:id="109"/>
    <w:bookmarkEnd w:id="110"/>
    <w:bookmarkEnd w:id="111"/>
    <w:bookmarkEnd w:id="112"/>
    <w:bookmarkEnd w:id="113"/>
    <w:bookmarkEnd w:id="114"/>
    <w:bookmarkEnd w:id="115"/>
    <w:p>
      <w:pPr>
        <w:spacing w:after="120" w:line="360" w:lineRule="auto"/>
        <w:ind w:firstLine="480" w:firstLineChars="200"/>
        <w:rPr>
          <w:rFonts w:ascii="宋体" w:hAnsi="宋体" w:cs="宋体"/>
          <w:sz w:val="24"/>
        </w:rPr>
      </w:pPr>
      <w:r>
        <w:rPr>
          <w:rFonts w:hint="eastAsia" w:ascii="宋体" w:hAnsi="宋体" w:cs="宋体"/>
          <w:sz w:val="24"/>
        </w:rPr>
        <w:t>3.1 承包人的一般义务</w:t>
      </w:r>
    </w:p>
    <w:p>
      <w:pPr>
        <w:spacing w:line="360" w:lineRule="auto"/>
        <w:ind w:firstLine="480" w:firstLineChars="200"/>
        <w:rPr>
          <w:rFonts w:ascii="宋体" w:hAnsi="宋体" w:cs="宋体"/>
          <w:kern w:val="0"/>
          <w:sz w:val="24"/>
        </w:rPr>
      </w:pPr>
      <w:r>
        <w:rPr>
          <w:rFonts w:hint="eastAsia" w:ascii="宋体" w:hAnsi="宋体" w:cs="宋体"/>
          <w:kern w:val="0"/>
          <w:sz w:val="24"/>
        </w:rPr>
        <w:t>（5）承包人提交的竣工资料的内容：竣工图；完整的施工技术资料；工程结算报告。</w:t>
      </w:r>
    </w:p>
    <w:p>
      <w:pPr>
        <w:spacing w:line="360" w:lineRule="auto"/>
        <w:ind w:firstLine="480" w:firstLineChars="200"/>
        <w:rPr>
          <w:rFonts w:ascii="宋体" w:hAnsi="宋体" w:cs="宋体"/>
          <w:kern w:val="0"/>
          <w:sz w:val="24"/>
        </w:rPr>
      </w:pPr>
      <w:r>
        <w:rPr>
          <w:rFonts w:hint="eastAsia" w:ascii="宋体" w:hAnsi="宋体" w:cs="宋体"/>
          <w:kern w:val="0"/>
          <w:sz w:val="24"/>
        </w:rPr>
        <w:t>承包人需要提交的竣工资料套数：三套。</w:t>
      </w:r>
    </w:p>
    <w:p>
      <w:pPr>
        <w:spacing w:line="360" w:lineRule="auto"/>
        <w:ind w:firstLine="480" w:firstLineChars="200"/>
        <w:rPr>
          <w:rFonts w:ascii="宋体" w:hAnsi="宋体" w:cs="宋体"/>
          <w:kern w:val="0"/>
          <w:sz w:val="24"/>
        </w:rPr>
      </w:pPr>
      <w:r>
        <w:rPr>
          <w:rFonts w:hint="eastAsia" w:ascii="宋体" w:hAnsi="宋体" w:cs="宋体"/>
          <w:sz w:val="24"/>
        </w:rPr>
        <w:t>承包人提交的竣工资料的费用承担：</w:t>
      </w:r>
      <w:r>
        <w:rPr>
          <w:rFonts w:hint="eastAsia" w:ascii="宋体" w:hAnsi="宋体" w:cs="宋体"/>
          <w:sz w:val="24"/>
          <w:u w:val="single"/>
        </w:rPr>
        <w:t xml:space="preserve">由承包人承担，如果发包人要求提供超出合同约定的资料及数量的费用由发包人承担。 </w:t>
      </w:r>
    </w:p>
    <w:p>
      <w:pPr>
        <w:spacing w:line="360" w:lineRule="auto"/>
        <w:ind w:firstLine="480" w:firstLineChars="200"/>
        <w:rPr>
          <w:rFonts w:ascii="宋体" w:hAnsi="宋体" w:cs="宋体"/>
          <w:kern w:val="0"/>
          <w:sz w:val="24"/>
        </w:rPr>
      </w:pPr>
      <w:r>
        <w:rPr>
          <w:rFonts w:hint="eastAsia" w:ascii="宋体" w:hAnsi="宋体" w:cs="宋体"/>
          <w:sz w:val="24"/>
        </w:rPr>
        <w:t>承包人提交的竣工资料移交时间：</w:t>
      </w:r>
      <w:r>
        <w:rPr>
          <w:rFonts w:hint="eastAsia" w:ascii="宋体" w:hAnsi="宋体" w:cs="宋体"/>
          <w:sz w:val="24"/>
          <w:u w:val="single"/>
        </w:rPr>
        <w:t>竣工验收前的7个有效工日</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现场交验给发包人代表人，代表人书面签收。</w:t>
      </w:r>
    </w:p>
    <w:p>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sz w:val="24"/>
          <w:u w:val="single"/>
        </w:rPr>
        <w:t>双方另行协商。</w:t>
      </w:r>
    </w:p>
    <w:p>
      <w:pPr>
        <w:spacing w:after="120" w:line="360" w:lineRule="auto"/>
        <w:ind w:firstLine="480" w:firstLineChars="200"/>
        <w:rPr>
          <w:rFonts w:ascii="宋体" w:hAnsi="宋体" w:cs="宋体"/>
          <w:sz w:val="24"/>
        </w:rPr>
      </w:pPr>
      <w:r>
        <w:rPr>
          <w:rFonts w:hint="eastAsia" w:ascii="宋体" w:hAnsi="宋体" w:cs="宋体"/>
          <w:sz w:val="24"/>
        </w:rPr>
        <w:t>3.2 项目经理</w:t>
      </w:r>
    </w:p>
    <w:p>
      <w:pPr>
        <w:spacing w:line="360" w:lineRule="auto"/>
        <w:ind w:firstLine="480" w:firstLineChars="200"/>
        <w:rPr>
          <w:rFonts w:ascii="宋体" w:hAnsi="宋体" w:cs="宋体"/>
          <w:sz w:val="24"/>
        </w:rPr>
      </w:pPr>
      <w:r>
        <w:rPr>
          <w:rFonts w:hint="eastAsia" w:ascii="宋体" w:hAnsi="宋体" w:cs="宋体"/>
          <w:kern w:val="0"/>
          <w:sz w:val="24"/>
        </w:rPr>
        <w:t xml:space="preserve">3.2.1 </w:t>
      </w:r>
      <w:r>
        <w:rPr>
          <w:rFonts w:hint="eastAsia" w:ascii="宋体" w:hAnsi="宋体" w:cs="宋体"/>
          <w:sz w:val="24"/>
        </w:rPr>
        <w:t>项目经理：</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sz w:val="24"/>
          <w:u w:val="single"/>
        </w:rPr>
        <w:t>每月不少于24天</w:t>
      </w:r>
      <w:r>
        <w:rPr>
          <w:rFonts w:hint="eastAsia" w:ascii="宋体" w:hAnsi="宋体" w:cs="宋体"/>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sz w:val="24"/>
          <w:u w:val="single"/>
        </w:rPr>
        <w:t>取消成交资格</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sz w:val="24"/>
          <w:u w:val="single"/>
        </w:rPr>
        <w:t>向发包人支付违约金1万元/人·次。擅自离场超过3天，发包人有权要求承包人更换项目经理，承包人支付违约金3万元，由此增加的费用和延误工期由承包人承担</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3.2.3 承包人擅自更换项目经理的违约责任：</w:t>
      </w:r>
      <w:r>
        <w:rPr>
          <w:rFonts w:hint="eastAsia" w:ascii="宋体" w:hAnsi="宋体" w:cs="宋体"/>
          <w:sz w:val="24"/>
          <w:u w:val="single"/>
        </w:rPr>
        <w:t>向发包人支付违约金3万元，由此增加的费用和延误工期由承包人承担</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xml:space="preserve">    3.2.4 承包人无正当理由拒绝更换项目经理的违约责任：</w:t>
      </w:r>
      <w:r>
        <w:rPr>
          <w:rFonts w:hint="eastAsia" w:ascii="宋体" w:hAnsi="宋体" w:cs="宋体"/>
          <w:sz w:val="24"/>
          <w:u w:val="single"/>
        </w:rPr>
        <w:t>向发包人支付违约金3万元，由此增加的费用和延误工期由承包人承担</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3.3 承包人人员</w:t>
      </w:r>
    </w:p>
    <w:p>
      <w:pPr>
        <w:spacing w:line="360" w:lineRule="auto"/>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开工前七天。</w:t>
      </w:r>
    </w:p>
    <w:p>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向发包人支付违约金 0.5万元/人·次</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 xml:space="preserve">3.3.4 承包人主要施工管理人员离开施工现场的批准要求： </w:t>
      </w:r>
      <w:r>
        <w:rPr>
          <w:rFonts w:hint="eastAsia" w:ascii="宋体" w:hAnsi="宋体" w:cs="宋体"/>
          <w:sz w:val="24"/>
          <w:u w:val="single"/>
        </w:rPr>
        <w:t xml:space="preserve">必须经发包人同意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项目主要施工管理人员必须与投标文件承诺一致，否则视为违约。更换施工管理人员必须经发包人书面同意，向发包人支付违约金 0.5万元/人·次</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向发包人支付违约金0.2万元/人·次</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3</w:t>
      </w:r>
      <w:bookmarkStart w:id="116" w:name="_Toc296890987"/>
      <w:bookmarkStart w:id="117" w:name="_Toc297120459"/>
      <w:bookmarkStart w:id="118" w:name="_Toc297123492"/>
      <w:bookmarkStart w:id="119" w:name="_Toc304295523"/>
      <w:bookmarkStart w:id="120" w:name="_Toc296944498"/>
      <w:bookmarkStart w:id="121" w:name="_Toc303539102"/>
      <w:bookmarkStart w:id="122" w:name="_Toc292559869"/>
      <w:bookmarkStart w:id="123" w:name="_Toc296503159"/>
      <w:bookmarkStart w:id="124" w:name="_Toc296346660"/>
      <w:bookmarkStart w:id="125" w:name="_Toc292559364"/>
      <w:bookmarkStart w:id="126" w:name="_Toc300934945"/>
      <w:bookmarkStart w:id="127" w:name="_Toc296891199"/>
      <w:bookmarkStart w:id="128" w:name="_Toc297216151"/>
      <w:bookmarkStart w:id="129" w:name="_Toc297048345"/>
      <w:bookmarkStart w:id="130" w:name="_Toc296347158"/>
      <w:bookmarkStart w:id="131" w:name="_Toc312677988"/>
      <w:r>
        <w:rPr>
          <w:rFonts w:hint="eastAsia" w:ascii="宋体" w:hAnsi="宋体" w:cs="宋体"/>
          <w:sz w:val="24"/>
        </w:rPr>
        <w:t>.5 分包</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spacing w:line="360" w:lineRule="auto"/>
        <w:ind w:firstLine="480" w:firstLineChars="200"/>
        <w:rPr>
          <w:rFonts w:ascii="宋体" w:hAnsi="宋体" w:cs="宋体"/>
          <w:sz w:val="24"/>
        </w:rPr>
      </w:pPr>
      <w:r>
        <w:rPr>
          <w:rFonts w:hint="eastAsia" w:ascii="宋体" w:hAnsi="宋体" w:cs="宋体"/>
          <w:sz w:val="24"/>
        </w:rPr>
        <w:t>3</w:t>
      </w:r>
      <w:bookmarkStart w:id="132" w:name="_Toc304295524"/>
      <w:bookmarkStart w:id="133" w:name="_Toc296503160"/>
      <w:bookmarkStart w:id="134" w:name="_Toc297216152"/>
      <w:bookmarkStart w:id="135" w:name="_Toc296890988"/>
      <w:bookmarkStart w:id="136" w:name="_Toc296347159"/>
      <w:bookmarkStart w:id="137" w:name="_Toc303539103"/>
      <w:bookmarkStart w:id="138" w:name="_Toc297123493"/>
      <w:bookmarkStart w:id="139" w:name="_Toc296944499"/>
      <w:bookmarkStart w:id="140" w:name="_Toc297048346"/>
      <w:bookmarkStart w:id="141" w:name="_Toc292559870"/>
      <w:bookmarkStart w:id="142" w:name="_Toc300934946"/>
      <w:bookmarkStart w:id="143" w:name="_Toc296346661"/>
      <w:bookmarkStart w:id="144" w:name="_Toc296891200"/>
      <w:bookmarkStart w:id="145" w:name="_Toc297120460"/>
      <w:bookmarkStart w:id="146" w:name="_Toc292559365"/>
      <w:bookmarkStart w:id="147" w:name="_Toc318581158"/>
      <w:bookmarkStart w:id="148" w:name="_Toc312677989"/>
      <w:r>
        <w:rPr>
          <w:rFonts w:hint="eastAsia" w:ascii="宋体" w:hAnsi="宋体" w:cs="宋体"/>
          <w:sz w:val="24"/>
        </w:rPr>
        <w:t>.5.1 分包的一般约定</w:t>
      </w:r>
    </w:p>
    <w:p>
      <w:pPr>
        <w:spacing w:line="360" w:lineRule="auto"/>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sz w:val="24"/>
          <w:u w:val="single"/>
        </w:rPr>
        <w:t xml:space="preserve">               </w:t>
      </w:r>
      <w:r>
        <w:rPr>
          <w:rFonts w:hint="eastAsia" w:ascii="宋体" w:hAnsi="宋体" w:cs="宋体"/>
          <w:sz w:val="24"/>
          <w:u w:val="none"/>
        </w:rPr>
        <w:t>。</w:t>
      </w:r>
    </w:p>
    <w:p>
      <w:pPr>
        <w:spacing w:line="360" w:lineRule="auto"/>
        <w:ind w:firstLine="480" w:firstLineChars="200"/>
        <w:jc w:val="left"/>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w:t>
      </w:r>
      <w:r>
        <w:rPr>
          <w:rFonts w:hint="eastAsia" w:ascii="宋体" w:hAnsi="宋体" w:cs="宋体"/>
          <w:sz w:val="24"/>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9" w:name="_Toc296944500"/>
      <w:bookmarkStart w:id="150" w:name="_Toc304295525"/>
      <w:bookmarkStart w:id="151" w:name="_Toc297048347"/>
      <w:bookmarkStart w:id="152" w:name="_Toc296347160"/>
      <w:bookmarkStart w:id="153" w:name="_Toc297120461"/>
      <w:bookmarkStart w:id="154" w:name="_Toc297123494"/>
      <w:bookmarkStart w:id="155" w:name="_Toc296503161"/>
      <w:bookmarkStart w:id="156" w:name="_Toc296890989"/>
      <w:bookmarkStart w:id="157" w:name="_Toc300934947"/>
      <w:bookmarkStart w:id="158" w:name="_Toc296346662"/>
      <w:bookmarkStart w:id="159" w:name="_Toc303539104"/>
      <w:bookmarkStart w:id="160" w:name="_Toc297216153"/>
      <w:bookmarkStart w:id="161" w:name="_Toc296891201"/>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Pr>
        <w:spacing w:line="360" w:lineRule="auto"/>
        <w:rPr>
          <w:rFonts w:ascii="宋体" w:hAnsi="宋体" w:cs="宋体"/>
          <w:sz w:val="24"/>
        </w:rPr>
      </w:pPr>
      <w:r>
        <w:rPr>
          <w:rFonts w:hint="eastAsia" w:ascii="宋体" w:hAnsi="宋体" w:cs="宋体"/>
          <w:sz w:val="24"/>
        </w:rPr>
        <w:t xml:space="preserve">    3</w:t>
      </w:r>
      <w:bookmarkStart w:id="162" w:name="_Toc318581159"/>
      <w:bookmarkStart w:id="163" w:name="_Toc312677990"/>
      <w:r>
        <w:rPr>
          <w:rFonts w:hint="eastAsia" w:ascii="宋体" w:hAnsi="宋体" w:cs="宋体"/>
          <w:sz w:val="24"/>
        </w:rPr>
        <w:t>.5.2分包的确定</w:t>
      </w:r>
    </w:p>
    <w:p>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其他关于分包的约定：</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3.5.4 分包合同价款</w:t>
      </w:r>
    </w:p>
    <w:p>
      <w:pPr>
        <w:spacing w:line="360" w:lineRule="auto"/>
        <w:ind w:firstLine="480" w:firstLineChars="200"/>
        <w:rPr>
          <w:rFonts w:ascii="宋体" w:hAnsi="宋体" w:cs="宋体"/>
          <w:sz w:val="24"/>
        </w:rPr>
      </w:pPr>
      <w:r>
        <w:rPr>
          <w:rFonts w:hint="eastAsia" w:ascii="宋体" w:hAnsi="宋体" w:cs="宋体"/>
          <w:sz w:val="24"/>
        </w:rPr>
        <w:t>关于分包合同价款支付的约定：</w:t>
      </w:r>
      <w:r>
        <w:rPr>
          <w:rFonts w:hint="eastAsia" w:ascii="宋体" w:hAnsi="宋体" w:cs="宋体"/>
          <w:sz w:val="24"/>
          <w:u w:val="single"/>
        </w:rPr>
        <w:t>／</w:t>
      </w:r>
      <w:r>
        <w:rPr>
          <w:rFonts w:hint="eastAsia" w:ascii="宋体" w:hAnsi="宋体" w:cs="宋体"/>
          <w:sz w:val="24"/>
        </w:rPr>
        <w:t>。</w:t>
      </w:r>
    </w:p>
    <w:bookmarkEnd w:id="162"/>
    <w:bookmarkEnd w:id="163"/>
    <w:p>
      <w:pPr>
        <w:spacing w:after="120" w:line="360" w:lineRule="auto"/>
        <w:ind w:firstLine="480" w:firstLineChars="200"/>
        <w:rPr>
          <w:rFonts w:ascii="宋体" w:hAnsi="宋体" w:cs="宋体"/>
          <w:sz w:val="24"/>
        </w:rPr>
      </w:pPr>
      <w:r>
        <w:rPr>
          <w:rFonts w:hint="eastAsia" w:ascii="宋体" w:hAnsi="宋体" w:cs="宋体"/>
          <w:sz w:val="24"/>
        </w:rPr>
        <w:t>3.6 工程照管与成品、半成品保护</w:t>
      </w:r>
    </w:p>
    <w:p>
      <w:pPr>
        <w:spacing w:before="120" w:after="120" w:line="360" w:lineRule="auto"/>
        <w:ind w:firstLine="480" w:firstLineChars="200"/>
        <w:rPr>
          <w:rFonts w:ascii="宋体" w:hAnsi="宋体" w:cs="宋体"/>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sz w:val="24"/>
          <w:u w:val="single"/>
        </w:rPr>
        <w:t xml:space="preserve">/  </w:t>
      </w:r>
      <w:r>
        <w:rPr>
          <w:rFonts w:hint="eastAsia" w:ascii="宋体" w:hAnsi="宋体" w:cs="宋体"/>
          <w:kern w:val="0"/>
          <w:sz w:val="24"/>
        </w:rPr>
        <w:t>。</w:t>
      </w:r>
    </w:p>
    <w:p>
      <w:pPr>
        <w:spacing w:after="120" w:line="360" w:lineRule="auto"/>
        <w:ind w:firstLine="482" w:firstLineChars="200"/>
        <w:rPr>
          <w:rFonts w:ascii="宋体" w:hAnsi="宋体" w:cs="宋体"/>
          <w:b/>
          <w:bCs/>
          <w:sz w:val="24"/>
        </w:rPr>
      </w:pPr>
      <w:r>
        <w:rPr>
          <w:rFonts w:hint="eastAsia" w:ascii="宋体" w:hAnsi="宋体" w:cs="宋体"/>
          <w:b/>
          <w:bCs/>
          <w:sz w:val="24"/>
        </w:rPr>
        <w:t>3.7 履约担保</w:t>
      </w:r>
    </w:p>
    <w:p>
      <w:pPr>
        <w:spacing w:line="360" w:lineRule="auto"/>
        <w:ind w:firstLine="482" w:firstLineChars="200"/>
        <w:jc w:val="left"/>
        <w:rPr>
          <w:rFonts w:ascii="宋体" w:hAnsi="宋体" w:cs="宋体"/>
          <w:b/>
          <w:bCs/>
          <w:sz w:val="24"/>
        </w:rPr>
      </w:pPr>
      <w:r>
        <w:rPr>
          <w:rFonts w:hint="eastAsia" w:ascii="宋体" w:hAnsi="宋体" w:cs="宋体"/>
          <w:b/>
          <w:bCs/>
          <w:sz w:val="24"/>
        </w:rPr>
        <w:t>承包人是否提供履约担保：</w:t>
      </w:r>
      <w:r>
        <w:rPr>
          <w:rFonts w:hint="eastAsia" w:ascii="宋体" w:hAnsi="宋体" w:cs="宋体"/>
          <w:b/>
          <w:bCs/>
          <w:sz w:val="24"/>
          <w:u w:val="single"/>
        </w:rPr>
        <w:t>否</w:t>
      </w:r>
      <w:r>
        <w:rPr>
          <w:rFonts w:hint="eastAsia" w:ascii="宋体" w:hAnsi="宋体" w:cs="宋体"/>
          <w:b/>
          <w:bCs/>
          <w:sz w:val="24"/>
        </w:rPr>
        <w:t>。</w:t>
      </w:r>
    </w:p>
    <w:p>
      <w:pPr>
        <w:spacing w:line="360" w:lineRule="auto"/>
        <w:ind w:firstLine="482" w:firstLineChars="200"/>
        <w:jc w:val="left"/>
        <w:rPr>
          <w:rFonts w:ascii="宋体" w:hAnsi="宋体" w:cs="宋体"/>
          <w:sz w:val="24"/>
        </w:rPr>
      </w:pPr>
      <w:r>
        <w:rPr>
          <w:rFonts w:hint="eastAsia" w:ascii="宋体" w:hAnsi="宋体" w:cs="宋体"/>
          <w:b/>
          <w:bCs/>
          <w:sz w:val="24"/>
        </w:rPr>
        <w:t>承包人提供履约担保的形式、金额及期限的：</w:t>
      </w:r>
      <w:r>
        <w:rPr>
          <w:rFonts w:hint="eastAsia" w:ascii="宋体" w:hAnsi="宋体" w:cs="宋体"/>
          <w:b/>
          <w:bCs/>
          <w:sz w:val="24"/>
          <w:u w:val="single"/>
        </w:rPr>
        <w:t>根据百政办电〔2021〕34号《百色市2021年持续优化营商环境行动方案》精神，本项目无需缴纳履约保证金。</w:t>
      </w:r>
    </w:p>
    <w:p>
      <w:pPr>
        <w:pStyle w:val="5"/>
        <w:spacing w:before="120" w:after="120" w:line="360" w:lineRule="auto"/>
        <w:rPr>
          <w:rFonts w:ascii="宋体" w:hAnsi="宋体" w:cs="宋体"/>
          <w:b w:val="0"/>
          <w:bCs w:val="0"/>
          <w:sz w:val="24"/>
          <w:szCs w:val="24"/>
        </w:rPr>
      </w:pPr>
      <w:bookmarkStart w:id="164" w:name="_Toc384891853"/>
      <w:bookmarkStart w:id="165" w:name="_Toc351203636"/>
      <w:bookmarkStart w:id="166" w:name="_Toc384892056"/>
      <w:r>
        <w:rPr>
          <w:rFonts w:hint="eastAsia" w:ascii="宋体" w:hAnsi="宋体" w:cs="宋体"/>
          <w:b w:val="0"/>
          <w:bCs w:val="0"/>
          <w:sz w:val="24"/>
          <w:szCs w:val="24"/>
        </w:rPr>
        <w:t>4</w:t>
      </w:r>
      <w:bookmarkStart w:id="167" w:name="_Toc292559366"/>
      <w:bookmarkStart w:id="168" w:name="_Toc297048348"/>
      <w:bookmarkStart w:id="169" w:name="_Toc296891202"/>
      <w:bookmarkStart w:id="170" w:name="_Toc297120462"/>
      <w:bookmarkStart w:id="171" w:name="_Toc296347161"/>
      <w:bookmarkStart w:id="172" w:name="_Toc292559871"/>
      <w:bookmarkStart w:id="173" w:name="_Toc296944501"/>
      <w:bookmarkStart w:id="174" w:name="_Toc296503162"/>
      <w:bookmarkStart w:id="175" w:name="_Toc267251413"/>
      <w:bookmarkStart w:id="176" w:name="_Toc296346663"/>
      <w:bookmarkStart w:id="177" w:name="_Toc296890990"/>
      <w:r>
        <w:rPr>
          <w:rFonts w:hint="eastAsia" w:ascii="宋体" w:hAnsi="宋体" w:cs="宋体"/>
          <w:b w:val="0"/>
          <w:bCs w:val="0"/>
          <w:sz w:val="24"/>
          <w:szCs w:val="24"/>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cs="宋体"/>
          <w:b w:val="0"/>
          <w:bCs w:val="0"/>
          <w:sz w:val="24"/>
          <w:szCs w:val="24"/>
        </w:rPr>
        <w:t>理人</w:t>
      </w:r>
      <w:bookmarkEnd w:id="164"/>
      <w:bookmarkEnd w:id="165"/>
      <w:bookmarkEnd w:id="166"/>
    </w:p>
    <w:p>
      <w:pPr>
        <w:spacing w:after="120" w:line="360" w:lineRule="auto"/>
        <w:ind w:firstLine="480" w:firstLineChars="200"/>
        <w:rPr>
          <w:rFonts w:ascii="宋体" w:hAnsi="宋体" w:cs="宋体"/>
          <w:sz w:val="24"/>
        </w:rPr>
      </w:pPr>
      <w:r>
        <w:rPr>
          <w:rFonts w:hint="eastAsia" w:ascii="宋体" w:hAnsi="宋体" w:cs="宋体"/>
          <w:sz w:val="24"/>
        </w:rPr>
        <w:t>4.1监理人的一般规定</w:t>
      </w:r>
    </w:p>
    <w:p>
      <w:pPr>
        <w:spacing w:line="360" w:lineRule="auto"/>
        <w:ind w:firstLine="480" w:firstLineChars="200"/>
        <w:jc w:val="left"/>
        <w:rPr>
          <w:rFonts w:ascii="宋体" w:hAnsi="宋体" w:cs="宋体"/>
          <w:sz w:val="24"/>
        </w:rPr>
      </w:pPr>
      <w:r>
        <w:rPr>
          <w:rFonts w:hint="eastAsia" w:ascii="宋体" w:hAnsi="宋体" w:cs="宋体"/>
          <w:sz w:val="24"/>
        </w:rPr>
        <w:t>关于监理人的监理内容：</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关于监理人的监理权限：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4.2 监理人员</w:t>
      </w:r>
    </w:p>
    <w:p>
      <w:pPr>
        <w:spacing w:line="360" w:lineRule="auto"/>
        <w:ind w:firstLine="480" w:firstLineChars="200"/>
        <w:rPr>
          <w:rFonts w:ascii="宋体" w:hAnsi="宋体" w:cs="宋体"/>
          <w:sz w:val="24"/>
        </w:rPr>
      </w:pPr>
      <w:r>
        <w:rPr>
          <w:rFonts w:hint="eastAsia" w:ascii="宋体" w:hAnsi="宋体" w:cs="宋体"/>
          <w:sz w:val="24"/>
        </w:rPr>
        <w:t>总监理工程师：</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  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4.4 商定或确定</w:t>
      </w:r>
    </w:p>
    <w:p>
      <w:pPr>
        <w:spacing w:line="360" w:lineRule="auto"/>
        <w:ind w:firstLine="480" w:firstLineChars="200"/>
        <w:rPr>
          <w:rFonts w:ascii="宋体" w:hAnsi="宋体" w:cs="宋体"/>
          <w:sz w:val="24"/>
        </w:rPr>
      </w:pPr>
      <w:bookmarkStart w:id="178" w:name="_Toc267251418"/>
      <w:r>
        <w:rPr>
          <w:rFonts w:hint="eastAsia" w:ascii="宋体" w:hAnsi="宋体" w:cs="宋体"/>
          <w:sz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ascii="宋体" w:hAnsi="宋体" w:cs="宋体"/>
          <w:sz w:val="24"/>
          <w:u w:val="single"/>
        </w:rPr>
        <w:t>施工现场安全是否符合规范要求</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u w:val="single"/>
        </w:rPr>
        <w:t>分部分项工程质量是否符合验收规范</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u w:val="single"/>
        </w:rPr>
        <w:t>施工进度是否符合进度计划要求</w:t>
      </w:r>
      <w:r>
        <w:rPr>
          <w:rFonts w:hint="eastAsia" w:ascii="宋体" w:hAnsi="宋体" w:cs="宋体"/>
          <w:sz w:val="24"/>
        </w:rPr>
        <w:t>。</w:t>
      </w:r>
    </w:p>
    <w:p>
      <w:pPr>
        <w:pStyle w:val="5"/>
        <w:spacing w:before="120" w:after="120" w:line="360" w:lineRule="auto"/>
        <w:rPr>
          <w:rFonts w:ascii="宋体" w:hAnsi="宋体" w:cs="宋体"/>
          <w:b w:val="0"/>
          <w:bCs w:val="0"/>
          <w:sz w:val="24"/>
          <w:szCs w:val="24"/>
        </w:rPr>
      </w:pPr>
      <w:bookmarkStart w:id="179" w:name="_Toc384891854"/>
      <w:bookmarkStart w:id="180" w:name="_Toc351203637"/>
      <w:bookmarkStart w:id="181" w:name="_Toc384892057"/>
      <w:r>
        <w:rPr>
          <w:rFonts w:hint="eastAsia" w:ascii="宋体" w:hAnsi="宋体" w:cs="宋体"/>
          <w:b w:val="0"/>
          <w:bCs w:val="0"/>
          <w:sz w:val="24"/>
          <w:szCs w:val="24"/>
        </w:rPr>
        <w:t>5</w:t>
      </w:r>
      <w:bookmarkEnd w:id="178"/>
      <w:bookmarkStart w:id="182" w:name="_Toc296503163"/>
      <w:bookmarkStart w:id="183" w:name="_Toc296890991"/>
      <w:bookmarkStart w:id="184" w:name="_Toc296891203"/>
      <w:bookmarkStart w:id="185" w:name="_Toc296347162"/>
      <w:bookmarkStart w:id="186" w:name="_Toc296346664"/>
      <w:bookmarkStart w:id="187" w:name="_Toc296944502"/>
      <w:bookmarkStart w:id="188" w:name="_Toc292559872"/>
      <w:bookmarkStart w:id="189" w:name="_Toc292559367"/>
      <w:bookmarkStart w:id="190" w:name="_Toc297048349"/>
      <w:bookmarkStart w:id="191" w:name="_Toc297120463"/>
      <w:r>
        <w:rPr>
          <w:rFonts w:hint="eastAsia" w:ascii="宋体" w:hAnsi="宋体" w:cs="宋体"/>
          <w:b w:val="0"/>
          <w:bCs w:val="0"/>
          <w:sz w:val="24"/>
          <w:szCs w:val="24"/>
        </w:rPr>
        <w:t>. 工程质量</w:t>
      </w:r>
      <w:bookmarkEnd w:id="179"/>
      <w:bookmarkEnd w:id="180"/>
      <w:bookmarkEnd w:id="181"/>
    </w:p>
    <w:p>
      <w:pPr>
        <w:spacing w:after="120" w:line="360" w:lineRule="auto"/>
        <w:ind w:firstLine="480" w:firstLineChars="200"/>
        <w:rPr>
          <w:rFonts w:ascii="宋体" w:hAnsi="宋体" w:cs="宋体"/>
          <w:sz w:val="24"/>
        </w:rPr>
      </w:pPr>
      <w:r>
        <w:rPr>
          <w:rFonts w:hint="eastAsia" w:ascii="宋体" w:hAnsi="宋体" w:cs="宋体"/>
          <w:sz w:val="24"/>
        </w:rPr>
        <w:t>5.1 质量要求</w:t>
      </w:r>
    </w:p>
    <w:p>
      <w:pPr>
        <w:spacing w:line="360" w:lineRule="auto"/>
        <w:ind w:firstLine="480" w:firstLineChars="200"/>
        <w:jc w:val="left"/>
        <w:rPr>
          <w:rFonts w:ascii="宋体" w:hAnsi="宋体" w:cs="宋体"/>
          <w:sz w:val="24"/>
        </w:rPr>
      </w:pPr>
      <w:r>
        <w:rPr>
          <w:rFonts w:hint="eastAsia" w:ascii="宋体" w:hAnsi="宋体" w:cs="宋体"/>
          <w:sz w:val="24"/>
        </w:rPr>
        <w:t>5</w:t>
      </w:r>
      <w:bookmarkStart w:id="192" w:name="_Toc312677997"/>
      <w:bookmarkStart w:id="193" w:name="_Toc297216155"/>
      <w:bookmarkStart w:id="194" w:name="_Toc318581164"/>
      <w:bookmarkStart w:id="195" w:name="_Toc300934949"/>
      <w:bookmarkStart w:id="196" w:name="_Toc297123496"/>
      <w:bookmarkStart w:id="197" w:name="_Toc303539106"/>
      <w:bookmarkStart w:id="198" w:name="_Toc304295527"/>
      <w:r>
        <w:rPr>
          <w:rFonts w:hint="eastAsia" w:ascii="宋体" w:hAnsi="宋体" w:cs="宋体"/>
          <w:sz w:val="24"/>
        </w:rPr>
        <w:t>.1.1 特殊质量标准和要求：</w:t>
      </w:r>
      <w:r>
        <w:rPr>
          <w:rFonts w:hint="eastAsia" w:ascii="宋体" w:hAnsi="宋体" w:cs="宋体"/>
          <w:sz w:val="24"/>
          <w:u w:val="single"/>
        </w:rPr>
        <w:t>无要求</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关于工程奖项的约定：</w:t>
      </w:r>
      <w:r>
        <w:rPr>
          <w:rFonts w:hint="eastAsia" w:ascii="宋体" w:hAnsi="宋体" w:cs="宋体"/>
          <w:sz w:val="24"/>
          <w:u w:val="single"/>
        </w:rPr>
        <w:t>无约定</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5.3 隐蔽工程检查</w:t>
      </w:r>
    </w:p>
    <w:p>
      <w:pPr>
        <w:spacing w:line="360" w:lineRule="auto"/>
        <w:ind w:firstLine="480" w:firstLineChars="200"/>
        <w:jc w:val="left"/>
        <w:rPr>
          <w:rFonts w:ascii="宋体" w:hAnsi="宋体" w:cs="宋体"/>
          <w:sz w:val="24"/>
        </w:rPr>
      </w:pPr>
      <w:r>
        <w:rPr>
          <w:rFonts w:hint="eastAsia" w:ascii="宋体" w:hAnsi="宋体" w:cs="宋体"/>
          <w:sz w:val="24"/>
        </w:rPr>
        <w:t>5.3.2承包人提前通知监理人隐蔽工程检查的期限的约定：</w:t>
      </w:r>
      <w:r>
        <w:rPr>
          <w:rFonts w:hint="eastAsia" w:ascii="宋体" w:hAnsi="宋体" w:cs="宋体"/>
          <w:kern w:val="0"/>
          <w:sz w:val="24"/>
          <w:u w:val="single"/>
        </w:rPr>
        <w:t>工程隐蔽部位经承包人自检确认具备覆盖条件后，承包人应在共同检查前8小时通知监理人检查。由于工期进度要求，如果出现整改的，整改完毕后监理人随时配合承包人进行验收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4</w:t>
      </w:r>
      <w:r>
        <w:rPr>
          <w:rFonts w:hint="eastAsia" w:ascii="宋体" w:hAnsi="宋体" w:cs="宋体"/>
          <w:sz w:val="24"/>
        </w:rPr>
        <w:t>小时提交书面延期要求。</w:t>
      </w:r>
    </w:p>
    <w:p>
      <w:pPr>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8</w:t>
      </w:r>
      <w:r>
        <w:rPr>
          <w:rFonts w:hint="eastAsia" w:ascii="宋体" w:hAnsi="宋体" w:cs="宋体"/>
          <w:sz w:val="24"/>
        </w:rPr>
        <w:t>小时。</w:t>
      </w:r>
    </w:p>
    <w:p>
      <w:pPr>
        <w:pStyle w:val="5"/>
        <w:spacing w:before="120" w:after="120" w:line="360" w:lineRule="auto"/>
        <w:rPr>
          <w:rFonts w:ascii="宋体" w:hAnsi="宋体" w:cs="宋体"/>
          <w:b w:val="0"/>
          <w:bCs w:val="0"/>
          <w:sz w:val="24"/>
          <w:szCs w:val="24"/>
        </w:rPr>
      </w:pPr>
      <w:bookmarkStart w:id="199" w:name="_Toc351203638"/>
      <w:bookmarkStart w:id="200" w:name="_Toc384891855"/>
      <w:bookmarkStart w:id="201" w:name="_Toc384892058"/>
      <w:r>
        <w:rPr>
          <w:rFonts w:hint="eastAsia" w:ascii="宋体" w:hAnsi="宋体" w:cs="宋体"/>
          <w:b w:val="0"/>
          <w:bCs w:val="0"/>
          <w:sz w:val="24"/>
          <w:szCs w:val="24"/>
        </w:rPr>
        <w:t>6. 安全文明施工与环境保护</w:t>
      </w:r>
      <w:bookmarkEnd w:id="199"/>
      <w:bookmarkEnd w:id="200"/>
      <w:bookmarkEnd w:id="201"/>
    </w:p>
    <w:p>
      <w:pPr>
        <w:spacing w:after="120" w:line="360" w:lineRule="auto"/>
        <w:ind w:firstLine="480" w:firstLineChars="200"/>
        <w:rPr>
          <w:rFonts w:ascii="宋体" w:hAnsi="宋体" w:cs="宋体"/>
          <w:sz w:val="24"/>
        </w:rPr>
      </w:pPr>
      <w:r>
        <w:rPr>
          <w:rFonts w:hint="eastAsia" w:ascii="宋体" w:hAnsi="宋体" w:cs="宋体"/>
          <w:sz w:val="24"/>
        </w:rPr>
        <w:t>6.1安全文明施工</w:t>
      </w:r>
    </w:p>
    <w:p>
      <w:pPr>
        <w:spacing w:line="360" w:lineRule="auto"/>
        <w:ind w:firstLine="480" w:firstLineChars="200"/>
        <w:jc w:val="left"/>
        <w:rPr>
          <w:rFonts w:ascii="宋体" w:hAnsi="宋体" w:cs="宋体"/>
          <w:sz w:val="24"/>
        </w:rPr>
      </w:pPr>
      <w:r>
        <w:rPr>
          <w:rFonts w:hint="eastAsia" w:ascii="宋体" w:hAnsi="宋体" w:cs="宋体"/>
          <w:sz w:val="24"/>
        </w:rPr>
        <w:t>6.1.1 项目安全生产的达标目标及相应事项的约定：</w:t>
      </w:r>
      <w:r>
        <w:rPr>
          <w:rFonts w:hint="eastAsia" w:ascii="宋体" w:hAnsi="宋体" w:cs="宋体"/>
          <w:sz w:val="24"/>
          <w:u w:val="single"/>
        </w:rPr>
        <w:t>安全生产必须按照国家有关管理条例进行施工，严格遵守《建筑施工安全检查标准》（JGJ59-2011）标准。</w:t>
      </w:r>
    </w:p>
    <w:p>
      <w:pPr>
        <w:spacing w:line="360" w:lineRule="auto"/>
        <w:ind w:firstLine="480" w:firstLineChars="200"/>
        <w:jc w:val="left"/>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6.1.5 文明施工</w:t>
      </w:r>
    </w:p>
    <w:p>
      <w:pPr>
        <w:spacing w:line="360" w:lineRule="auto"/>
        <w:ind w:firstLine="480" w:firstLineChars="200"/>
        <w:jc w:val="left"/>
        <w:rPr>
          <w:rFonts w:ascii="宋体" w:hAnsi="宋体" w:cs="宋体"/>
          <w:sz w:val="24"/>
        </w:rPr>
      </w:pPr>
      <w:r>
        <w:rPr>
          <w:rFonts w:hint="eastAsia" w:ascii="宋体" w:hAnsi="宋体" w:cs="宋体"/>
          <w:sz w:val="24"/>
        </w:rPr>
        <w:t>合同当事人对文明施工的要求：</w:t>
      </w:r>
      <w:r>
        <w:rPr>
          <w:rFonts w:hint="eastAsia" w:ascii="宋体" w:hAnsi="宋体" w:cs="宋体"/>
          <w:sz w:val="24"/>
          <w:u w:val="single"/>
        </w:rPr>
        <w:t xml:space="preserve">/  。 </w:t>
      </w:r>
    </w:p>
    <w:p>
      <w:pPr>
        <w:spacing w:line="360" w:lineRule="auto"/>
        <w:ind w:firstLine="480" w:firstLineChars="200"/>
        <w:jc w:val="left"/>
        <w:rPr>
          <w:rFonts w:ascii="宋体" w:hAnsi="宋体" w:cs="宋体"/>
          <w:sz w:val="24"/>
        </w:rPr>
      </w:pPr>
      <w:r>
        <w:rPr>
          <w:rFonts w:hint="eastAsia" w:ascii="宋体" w:hAnsi="宋体" w:cs="宋体"/>
          <w:sz w:val="24"/>
        </w:rPr>
        <w:t>6.1.6 关于安全文明施工费支付比例和支付期限的约定：</w:t>
      </w:r>
      <w:r>
        <w:rPr>
          <w:rFonts w:hint="eastAsia" w:ascii="宋体" w:hAnsi="宋体" w:cs="宋体"/>
          <w:sz w:val="24"/>
          <w:u w:val="single"/>
        </w:rPr>
        <w:t>（1）严格执行桂建质[2015]16号文《广西壮族自治区建筑工程安全防护、文明施工措施费及使用管理细则》的有关规定，确保建设工程各项安全防护、文明施工落实到位。发包人需按规定交纳安全文明施工费。</w:t>
      </w:r>
    </w:p>
    <w:bookmarkEnd w:id="192"/>
    <w:bookmarkEnd w:id="193"/>
    <w:bookmarkEnd w:id="194"/>
    <w:bookmarkEnd w:id="195"/>
    <w:bookmarkEnd w:id="196"/>
    <w:bookmarkEnd w:id="197"/>
    <w:bookmarkEnd w:id="198"/>
    <w:p>
      <w:pPr>
        <w:pStyle w:val="5"/>
        <w:spacing w:before="120" w:after="120" w:line="360" w:lineRule="auto"/>
        <w:rPr>
          <w:rFonts w:ascii="宋体" w:hAnsi="宋体" w:cs="宋体"/>
          <w:b w:val="0"/>
          <w:bCs w:val="0"/>
          <w:sz w:val="24"/>
          <w:szCs w:val="24"/>
        </w:rPr>
      </w:pPr>
      <w:bookmarkStart w:id="202" w:name="_Toc384891856"/>
      <w:bookmarkStart w:id="203" w:name="_Toc351203639"/>
      <w:bookmarkStart w:id="204" w:name="_Toc384892059"/>
      <w:r>
        <w:rPr>
          <w:rFonts w:hint="eastAsia" w:ascii="宋体" w:hAnsi="宋体" w:cs="宋体"/>
          <w:b w:val="0"/>
          <w:bCs w:val="0"/>
          <w:sz w:val="24"/>
          <w:szCs w:val="24"/>
        </w:rPr>
        <w:t>7. 工期和进度</w:t>
      </w:r>
      <w:bookmarkEnd w:id="202"/>
      <w:bookmarkEnd w:id="203"/>
      <w:bookmarkEnd w:id="204"/>
    </w:p>
    <w:p>
      <w:pPr>
        <w:spacing w:after="120" w:line="360" w:lineRule="auto"/>
        <w:ind w:firstLine="480" w:firstLineChars="200"/>
        <w:rPr>
          <w:rFonts w:ascii="宋体" w:hAnsi="宋体" w:cs="宋体"/>
          <w:sz w:val="24"/>
        </w:rPr>
      </w:pPr>
      <w:r>
        <w:rPr>
          <w:rFonts w:hint="eastAsia" w:ascii="宋体" w:hAnsi="宋体" w:cs="宋体"/>
          <w:sz w:val="24"/>
        </w:rPr>
        <w:t>7.1 施工组织设计</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sz w:val="24"/>
        </w:rPr>
        <w:t>7.1.1 合</w:t>
      </w:r>
      <w:r>
        <w:rPr>
          <w:rFonts w:hint="eastAsia" w:ascii="宋体" w:hAnsi="宋体" w:cs="宋体"/>
          <w:kern w:val="0"/>
          <w:sz w:val="24"/>
        </w:rPr>
        <w:t>同当事人约定的施工组织设计应包括的其他内容：</w:t>
      </w:r>
      <w:r>
        <w:rPr>
          <w:rFonts w:hint="eastAsia" w:ascii="宋体" w:hAnsi="宋体" w:cs="宋体"/>
          <w:sz w:val="24"/>
          <w:u w:val="single"/>
        </w:rPr>
        <w:t xml:space="preserve">/  </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sz w:val="24"/>
        </w:rPr>
        <w:t xml:space="preserve">7.1.2 </w:t>
      </w:r>
      <w:r>
        <w:rPr>
          <w:rFonts w:hint="eastAsia" w:ascii="宋体" w:hAnsi="宋体" w:cs="宋体"/>
          <w:kern w:val="0"/>
          <w:sz w:val="24"/>
        </w:rPr>
        <w:t>施工组织设计的提交和修改</w:t>
      </w:r>
    </w:p>
    <w:p>
      <w:pPr>
        <w:autoSpaceDE w:val="0"/>
        <w:autoSpaceDN w:val="0"/>
        <w:adjustRightInd w:val="0"/>
        <w:spacing w:line="360" w:lineRule="auto"/>
        <w:jc w:val="left"/>
        <w:rPr>
          <w:rFonts w:ascii="宋体" w:hAnsi="宋体" w:cs="宋体"/>
          <w:sz w:val="24"/>
        </w:rPr>
      </w:pPr>
      <w:r>
        <w:rPr>
          <w:rFonts w:hint="eastAsia" w:ascii="宋体" w:hAnsi="宋体" w:cs="宋体"/>
          <w:kern w:val="0"/>
          <w:sz w:val="24"/>
        </w:rPr>
        <w:t>承包人提交详细施工组织设计的期限的约定：</w:t>
      </w:r>
      <w:r>
        <w:rPr>
          <w:rFonts w:hint="eastAsia" w:ascii="宋体" w:hAnsi="宋体" w:cs="宋体"/>
          <w:sz w:val="24"/>
          <w:u w:val="single"/>
        </w:rPr>
        <w:t xml:space="preserve">图纸会审后7个有效工作日内提供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7个有效工作日</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7</w:t>
      </w:r>
      <w:bookmarkStart w:id="205" w:name="_Toc304295541"/>
      <w:bookmarkStart w:id="206" w:name="_Toc297216173"/>
      <w:bookmarkStart w:id="207" w:name="_Toc312677479"/>
      <w:bookmarkStart w:id="208" w:name="_Toc303539123"/>
      <w:bookmarkStart w:id="209" w:name="_Toc300934966"/>
      <w:bookmarkStart w:id="210" w:name="_Toc312678005"/>
      <w:bookmarkStart w:id="211" w:name="_Toc297123514"/>
      <w:r>
        <w:rPr>
          <w:rFonts w:hint="eastAsia" w:ascii="宋体" w:hAnsi="宋体" w:cs="宋体"/>
          <w:sz w:val="24"/>
        </w:rPr>
        <w:t>.2 施工进度计划</w:t>
      </w:r>
    </w:p>
    <w:p>
      <w:pPr>
        <w:spacing w:line="360" w:lineRule="auto"/>
        <w:ind w:firstLine="480" w:firstLineChars="200"/>
        <w:jc w:val="left"/>
        <w:rPr>
          <w:rFonts w:ascii="宋体" w:hAnsi="宋体" w:cs="宋体"/>
          <w:sz w:val="24"/>
        </w:rPr>
      </w:pPr>
      <w:r>
        <w:rPr>
          <w:rFonts w:hint="eastAsia" w:ascii="宋体" w:hAnsi="宋体" w:cs="宋体"/>
          <w:sz w:val="24"/>
        </w:rPr>
        <w:t>7.2.2 施工进度计划的修订</w:t>
      </w:r>
    </w:p>
    <w:p>
      <w:pPr>
        <w:spacing w:line="360" w:lineRule="auto"/>
        <w:ind w:firstLine="480" w:firstLineChars="200"/>
        <w:jc w:val="left"/>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7.3 开工</w:t>
      </w:r>
    </w:p>
    <w:p>
      <w:pPr>
        <w:spacing w:line="360" w:lineRule="auto"/>
        <w:ind w:firstLine="480" w:firstLineChars="200"/>
        <w:jc w:val="left"/>
        <w:rPr>
          <w:rFonts w:ascii="宋体" w:hAnsi="宋体" w:cs="宋体"/>
          <w:sz w:val="24"/>
        </w:rPr>
      </w:pPr>
      <w:r>
        <w:rPr>
          <w:rFonts w:hint="eastAsia" w:ascii="宋体" w:hAnsi="宋体" w:cs="宋体"/>
          <w:sz w:val="24"/>
        </w:rPr>
        <w:t>7.3.1 开工准备</w:t>
      </w:r>
    </w:p>
    <w:p>
      <w:pPr>
        <w:spacing w:line="360" w:lineRule="auto"/>
        <w:ind w:firstLine="480" w:firstLineChars="200"/>
        <w:jc w:val="left"/>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在开工前办理完毕所有合法手续，并提供给承包人证件复印件（扫描件）一套</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无</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7.3.2开工通知</w:t>
      </w:r>
    </w:p>
    <w:p>
      <w:pPr>
        <w:spacing w:line="360" w:lineRule="auto"/>
        <w:ind w:firstLine="480" w:firstLineChars="200"/>
        <w:jc w:val="left"/>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60</w:t>
      </w:r>
      <w:r>
        <w:rPr>
          <w:rFonts w:hint="eastAsia" w:ascii="宋体" w:hAnsi="宋体" w:cs="宋体"/>
          <w:sz w:val="24"/>
        </w:rPr>
        <w:t>天内发出开工通知的，承包人有权提出价格调整要求，或者解除合同。</w:t>
      </w:r>
    </w:p>
    <w:bookmarkEnd w:id="205"/>
    <w:bookmarkEnd w:id="206"/>
    <w:bookmarkEnd w:id="207"/>
    <w:bookmarkEnd w:id="208"/>
    <w:bookmarkEnd w:id="209"/>
    <w:bookmarkEnd w:id="210"/>
    <w:bookmarkEnd w:id="211"/>
    <w:p>
      <w:pPr>
        <w:spacing w:after="120" w:line="360" w:lineRule="auto"/>
        <w:ind w:firstLine="480" w:firstLineChars="200"/>
        <w:rPr>
          <w:rFonts w:ascii="宋体" w:hAnsi="宋体" w:cs="宋体"/>
          <w:sz w:val="24"/>
        </w:rPr>
      </w:pPr>
      <w:r>
        <w:rPr>
          <w:rFonts w:hint="eastAsia" w:ascii="宋体" w:hAnsi="宋体" w:cs="宋体"/>
          <w:sz w:val="24"/>
        </w:rPr>
        <w:t>7.4 测量放线</w:t>
      </w:r>
    </w:p>
    <w:p>
      <w:pPr>
        <w:spacing w:line="360" w:lineRule="auto"/>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开工前7天用书面形式现场交验给承包人</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7</w:t>
      </w:r>
      <w:bookmarkStart w:id="212" w:name="_Toc312677484"/>
      <w:bookmarkStart w:id="213" w:name="_Toc300934968"/>
      <w:bookmarkStart w:id="214" w:name="_Toc297216175"/>
      <w:bookmarkStart w:id="215" w:name="_Toc303539125"/>
      <w:bookmarkStart w:id="216" w:name="_Toc304295546"/>
      <w:bookmarkStart w:id="217" w:name="_Toc312678010"/>
      <w:bookmarkStart w:id="218" w:name="_Toc297123516"/>
      <w:r>
        <w:rPr>
          <w:rFonts w:hint="eastAsia" w:ascii="宋体" w:hAnsi="宋体" w:cs="宋体"/>
          <w:sz w:val="24"/>
        </w:rPr>
        <w:t>.5 工期延误</w:t>
      </w:r>
    </w:p>
    <w:bookmarkEnd w:id="212"/>
    <w:bookmarkEnd w:id="213"/>
    <w:bookmarkEnd w:id="214"/>
    <w:bookmarkEnd w:id="215"/>
    <w:bookmarkEnd w:id="216"/>
    <w:bookmarkEnd w:id="217"/>
    <w:bookmarkEnd w:id="218"/>
    <w:p>
      <w:pPr>
        <w:spacing w:line="360" w:lineRule="auto"/>
        <w:ind w:firstLine="480" w:firstLineChars="200"/>
        <w:jc w:val="left"/>
        <w:rPr>
          <w:rFonts w:ascii="宋体" w:hAnsi="宋体" w:cs="宋体"/>
          <w:sz w:val="24"/>
        </w:rPr>
      </w:pPr>
      <w:r>
        <w:rPr>
          <w:rFonts w:hint="eastAsia" w:ascii="宋体" w:hAnsi="宋体" w:cs="宋体"/>
          <w:sz w:val="24"/>
        </w:rPr>
        <w:t>7.5.1 因发包人原因导致工期延误</w:t>
      </w:r>
    </w:p>
    <w:p>
      <w:pPr>
        <w:pStyle w:val="197"/>
        <w:spacing w:line="580" w:lineRule="exact"/>
        <w:ind w:left="0" w:right="26" w:firstLine="480" w:firstLineChars="200"/>
        <w:rPr>
          <w:rFonts w:ascii="宋体" w:hAnsi="宋体" w:cs="宋体"/>
          <w:szCs w:val="24"/>
          <w:u w:val="single"/>
        </w:rPr>
      </w:pPr>
      <w:r>
        <w:rPr>
          <w:rFonts w:hint="eastAsia" w:ascii="宋体" w:hAnsi="宋体" w:cs="宋体"/>
          <w:szCs w:val="24"/>
        </w:rPr>
        <w:t>（7）因发包人原因导致工期延误的其他情形：</w:t>
      </w:r>
    </w:p>
    <w:p>
      <w:pPr>
        <w:pStyle w:val="197"/>
        <w:spacing w:line="580" w:lineRule="exact"/>
        <w:ind w:left="0" w:right="26" w:firstLine="470" w:firstLineChars="196"/>
        <w:rPr>
          <w:rFonts w:ascii="宋体" w:hAnsi="宋体" w:cs="宋体"/>
          <w:szCs w:val="24"/>
        </w:rPr>
      </w:pPr>
      <w:r>
        <w:rPr>
          <w:rFonts w:hint="eastAsia" w:ascii="宋体" w:hAnsi="宋体" w:cs="宋体"/>
          <w:szCs w:val="24"/>
          <w:u w:val="single"/>
        </w:rPr>
        <w:t>（1）重大设计变更或设计变更导致的工程量变化超出原设计5%以上的部分，对超出部分工期可以顺延（或缩减），发生时现场办理工期签证；</w:t>
      </w:r>
    </w:p>
    <w:p>
      <w:pPr>
        <w:pStyle w:val="197"/>
        <w:spacing w:line="580" w:lineRule="exact"/>
        <w:ind w:left="0" w:right="26" w:firstLine="470" w:firstLineChars="196"/>
        <w:rPr>
          <w:rFonts w:ascii="宋体" w:hAnsi="宋体" w:cs="宋体"/>
          <w:szCs w:val="24"/>
          <w:u w:val="single"/>
        </w:rPr>
      </w:pPr>
      <w:r>
        <w:rPr>
          <w:rFonts w:hint="eastAsia" w:ascii="宋体" w:hAnsi="宋体" w:cs="宋体"/>
          <w:szCs w:val="24"/>
          <w:u w:val="single"/>
        </w:rPr>
        <w:t>（2）由于发包人原因造成工期延误 8小时（不含）以上的，导致承包人发生的误工及机械闲置费用现场核准由发包人承担，工期顺延。</w:t>
      </w:r>
    </w:p>
    <w:p>
      <w:pPr>
        <w:pStyle w:val="197"/>
        <w:spacing w:line="580" w:lineRule="exact"/>
        <w:ind w:left="0" w:right="26" w:firstLine="470" w:firstLineChars="196"/>
        <w:rPr>
          <w:rFonts w:ascii="宋体" w:hAnsi="宋体" w:cs="宋体"/>
          <w:szCs w:val="24"/>
        </w:rPr>
      </w:pPr>
      <w:r>
        <w:rPr>
          <w:rFonts w:hint="eastAsia" w:ascii="宋体" w:hAnsi="宋体" w:cs="宋体"/>
          <w:szCs w:val="24"/>
          <w:u w:val="single"/>
        </w:rPr>
        <w:t>（3）发包人未按合同规定支付工程款并影响施工进度的或政策处理问题影响施工进度的，工期顺延。</w:t>
      </w:r>
    </w:p>
    <w:p>
      <w:pPr>
        <w:spacing w:after="120" w:line="360" w:lineRule="auto"/>
        <w:ind w:firstLine="480" w:firstLineChars="200"/>
        <w:rPr>
          <w:rFonts w:ascii="宋体" w:hAnsi="宋体" w:cs="宋体"/>
          <w:sz w:val="24"/>
        </w:rPr>
      </w:pPr>
      <w:r>
        <w:rPr>
          <w:rFonts w:hint="eastAsia" w:ascii="宋体" w:hAnsi="宋体" w:cs="宋体"/>
          <w:sz w:val="24"/>
        </w:rPr>
        <w:t>7</w:t>
      </w:r>
      <w:bookmarkStart w:id="219" w:name="_Toc303539128"/>
      <w:bookmarkStart w:id="220" w:name="_Toc297216178"/>
      <w:bookmarkStart w:id="221" w:name="_Toc300934971"/>
      <w:bookmarkStart w:id="222" w:name="_Toc297123519"/>
      <w:bookmarkStart w:id="223" w:name="_Toc304295549"/>
      <w:bookmarkStart w:id="224" w:name="_Toc312678015"/>
      <w:r>
        <w:rPr>
          <w:rFonts w:hint="eastAsia" w:ascii="宋体" w:hAnsi="宋体" w:cs="宋体"/>
          <w:sz w:val="24"/>
        </w:rPr>
        <w:t>.6 不</w:t>
      </w:r>
      <w:bookmarkEnd w:id="219"/>
      <w:bookmarkEnd w:id="220"/>
      <w:bookmarkEnd w:id="221"/>
      <w:bookmarkEnd w:id="222"/>
      <w:bookmarkEnd w:id="223"/>
      <w:bookmarkEnd w:id="224"/>
      <w:r>
        <w:rPr>
          <w:rFonts w:hint="eastAsia" w:ascii="宋体" w:hAnsi="宋体" w:cs="宋体"/>
          <w:sz w:val="24"/>
        </w:rPr>
        <w:t>利物质条件</w:t>
      </w:r>
    </w:p>
    <w:p>
      <w:pPr>
        <w:spacing w:line="360" w:lineRule="auto"/>
        <w:ind w:firstLine="480" w:firstLineChars="200"/>
        <w:jc w:val="left"/>
        <w:rPr>
          <w:rFonts w:ascii="宋体" w:hAnsi="宋体" w:cs="宋体"/>
          <w:sz w:val="24"/>
        </w:rPr>
      </w:pPr>
      <w:bookmarkStart w:id="225" w:name="_Toc300934972"/>
      <w:bookmarkStart w:id="226" w:name="_Toc303539129"/>
      <w:bookmarkStart w:id="227" w:name="_Toc297216179"/>
      <w:bookmarkStart w:id="228" w:name="_Toc312678016"/>
      <w:bookmarkStart w:id="229" w:name="_Toc297123520"/>
      <w:bookmarkStart w:id="230" w:name="_Toc318581172"/>
      <w:bookmarkStart w:id="231" w:name="_Toc304295550"/>
      <w:r>
        <w:rPr>
          <w:rFonts w:hint="eastAsia" w:ascii="宋体" w:hAnsi="宋体" w:cs="宋体"/>
          <w:sz w:val="24"/>
        </w:rPr>
        <w:t>不利物质条件的其他情形和有关约定：</w:t>
      </w:r>
      <w:r>
        <w:rPr>
          <w:rFonts w:hint="eastAsia" w:ascii="宋体" w:hAnsi="宋体" w:cs="宋体"/>
          <w:sz w:val="24"/>
          <w:u w:val="single"/>
        </w:rPr>
        <w:t xml:space="preserve">/  </w:t>
      </w:r>
      <w:r>
        <w:rPr>
          <w:rFonts w:hint="eastAsia" w:ascii="宋体" w:hAnsi="宋体" w:cs="宋体"/>
          <w:sz w:val="24"/>
        </w:rPr>
        <w:t>。</w:t>
      </w:r>
    </w:p>
    <w:bookmarkEnd w:id="225"/>
    <w:bookmarkEnd w:id="226"/>
    <w:bookmarkEnd w:id="227"/>
    <w:bookmarkEnd w:id="228"/>
    <w:bookmarkEnd w:id="229"/>
    <w:bookmarkEnd w:id="230"/>
    <w:bookmarkEnd w:id="231"/>
    <w:p>
      <w:pPr>
        <w:spacing w:after="120" w:line="360" w:lineRule="auto"/>
        <w:ind w:firstLine="480" w:firstLineChars="200"/>
        <w:rPr>
          <w:rFonts w:ascii="宋体" w:hAnsi="宋体" w:cs="宋体"/>
          <w:sz w:val="24"/>
        </w:rPr>
      </w:pPr>
      <w:r>
        <w:rPr>
          <w:rFonts w:hint="eastAsia" w:ascii="宋体" w:hAnsi="宋体" w:cs="宋体"/>
          <w:sz w:val="24"/>
        </w:rPr>
        <w:t>7</w:t>
      </w:r>
      <w:bookmarkStart w:id="232" w:name="_Toc312678017"/>
      <w:bookmarkStart w:id="233" w:name="_Toc303539130"/>
      <w:bookmarkStart w:id="234" w:name="_Toc300934973"/>
      <w:bookmarkStart w:id="235" w:name="_Toc297123521"/>
      <w:bookmarkStart w:id="236" w:name="_Toc304295551"/>
      <w:bookmarkStart w:id="237" w:name="_Toc297216180"/>
      <w:r>
        <w:rPr>
          <w:rFonts w:hint="eastAsia" w:ascii="宋体" w:hAnsi="宋体" w:cs="宋体"/>
          <w:sz w:val="24"/>
        </w:rPr>
        <w:t>.7异常恶劣的气候条件</w:t>
      </w:r>
    </w:p>
    <w:bookmarkEnd w:id="232"/>
    <w:bookmarkEnd w:id="233"/>
    <w:bookmarkEnd w:id="234"/>
    <w:bookmarkEnd w:id="235"/>
    <w:bookmarkEnd w:id="236"/>
    <w:bookmarkEnd w:id="237"/>
    <w:p>
      <w:pPr>
        <w:spacing w:line="360" w:lineRule="auto"/>
        <w:ind w:firstLine="480" w:firstLineChars="200"/>
        <w:jc w:val="left"/>
        <w:rPr>
          <w:rFonts w:ascii="宋体" w:hAnsi="宋体" w:cs="宋体"/>
          <w:sz w:val="24"/>
        </w:rPr>
      </w:pPr>
      <w:r>
        <w:rPr>
          <w:rFonts w:hint="eastAsia" w:ascii="宋体" w:hAnsi="宋体" w:cs="宋体"/>
          <w:sz w:val="24"/>
        </w:rPr>
        <w:t>发包人和承包人同意以下情形视为异常恶劣的气候条件：</w:t>
      </w:r>
    </w:p>
    <w:p>
      <w:pPr>
        <w:spacing w:line="58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 xml:space="preserve">  下雨、下雪、冰雹            </w:t>
      </w:r>
      <w:r>
        <w:rPr>
          <w:rFonts w:hint="eastAsia" w:ascii="宋体" w:hAnsi="宋体" w:cs="宋体"/>
          <w:sz w:val="24"/>
        </w:rPr>
        <w:t>；</w:t>
      </w:r>
    </w:p>
    <w:p>
      <w:pPr>
        <w:pStyle w:val="197"/>
        <w:spacing w:line="580" w:lineRule="exact"/>
        <w:ind w:left="0" w:right="26" w:firstLine="460" w:firstLineChars="192"/>
        <w:rPr>
          <w:rFonts w:ascii="宋体" w:hAnsi="宋体" w:cs="宋体"/>
          <w:szCs w:val="24"/>
        </w:rPr>
      </w:pPr>
      <w:r>
        <w:rPr>
          <w:rFonts w:hint="eastAsia" w:ascii="宋体" w:hAnsi="宋体" w:cs="宋体"/>
          <w:szCs w:val="24"/>
        </w:rPr>
        <w:t>（2）</w:t>
      </w:r>
      <w:r>
        <w:rPr>
          <w:rFonts w:hint="eastAsia" w:ascii="宋体" w:hAnsi="宋体" w:cs="宋体"/>
          <w:szCs w:val="24"/>
          <w:u w:val="single"/>
        </w:rPr>
        <w:t xml:space="preserve">   气温低于零下5度的连续降温   </w:t>
      </w:r>
      <w:r>
        <w:rPr>
          <w:rFonts w:hint="eastAsia" w:ascii="宋体" w:hAnsi="宋体" w:cs="宋体"/>
          <w:szCs w:val="24"/>
        </w:rPr>
        <w:t>；</w:t>
      </w:r>
    </w:p>
    <w:p>
      <w:pPr>
        <w:spacing w:line="58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u w:val="single"/>
        </w:rPr>
        <w:t xml:space="preserve">   6级以上大风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7.9 提前竣工的奖励</w:t>
      </w:r>
    </w:p>
    <w:p>
      <w:pPr>
        <w:spacing w:line="360" w:lineRule="auto"/>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无 </w:t>
      </w:r>
      <w:r>
        <w:rPr>
          <w:rFonts w:hint="eastAsia" w:ascii="宋体" w:hAnsi="宋体" w:cs="宋体"/>
          <w:sz w:val="24"/>
        </w:rPr>
        <w:t>。</w:t>
      </w:r>
    </w:p>
    <w:p>
      <w:pPr>
        <w:pStyle w:val="5"/>
        <w:spacing w:before="120" w:after="120" w:line="360" w:lineRule="auto"/>
        <w:rPr>
          <w:rFonts w:ascii="宋体" w:hAnsi="宋体" w:cs="宋体"/>
          <w:b w:val="0"/>
          <w:bCs w:val="0"/>
          <w:sz w:val="24"/>
          <w:szCs w:val="24"/>
        </w:rPr>
      </w:pPr>
      <w:bookmarkStart w:id="238" w:name="_Toc351203640"/>
      <w:bookmarkStart w:id="239" w:name="_Toc384892060"/>
      <w:bookmarkStart w:id="240" w:name="_Toc384891857"/>
      <w:r>
        <w:rPr>
          <w:rFonts w:hint="eastAsia" w:ascii="宋体" w:hAnsi="宋体" w:cs="宋体"/>
          <w:b w:val="0"/>
          <w:bCs w:val="0"/>
          <w:sz w:val="24"/>
          <w:szCs w:val="24"/>
        </w:rPr>
        <w:t>8. 材料与设备</w:t>
      </w:r>
      <w:bookmarkEnd w:id="238"/>
      <w:bookmarkEnd w:id="239"/>
      <w:bookmarkEnd w:id="240"/>
    </w:p>
    <w:bookmarkEnd w:id="182"/>
    <w:bookmarkEnd w:id="183"/>
    <w:bookmarkEnd w:id="184"/>
    <w:bookmarkEnd w:id="185"/>
    <w:bookmarkEnd w:id="186"/>
    <w:bookmarkEnd w:id="187"/>
    <w:bookmarkEnd w:id="188"/>
    <w:bookmarkEnd w:id="189"/>
    <w:bookmarkEnd w:id="190"/>
    <w:bookmarkEnd w:id="191"/>
    <w:p>
      <w:pPr>
        <w:spacing w:after="120" w:line="360" w:lineRule="auto"/>
        <w:ind w:firstLine="480" w:firstLineChars="200"/>
        <w:rPr>
          <w:rFonts w:ascii="宋体" w:hAnsi="宋体" w:cs="宋体"/>
          <w:sz w:val="24"/>
        </w:rPr>
      </w:pPr>
      <w:r>
        <w:rPr>
          <w:rFonts w:hint="eastAsia" w:ascii="宋体" w:hAnsi="宋体" w:cs="宋体"/>
          <w:sz w:val="24"/>
        </w:rPr>
        <w:t>8</w:t>
      </w:r>
      <w:bookmarkStart w:id="241" w:name="_Toc296347166"/>
      <w:bookmarkStart w:id="242" w:name="_Toc280868654"/>
      <w:bookmarkStart w:id="243" w:name="_Toc297120467"/>
      <w:bookmarkStart w:id="244" w:name="_Toc296346668"/>
      <w:bookmarkStart w:id="245" w:name="_Toc292559877"/>
      <w:bookmarkStart w:id="246" w:name="_Toc303539136"/>
      <w:bookmarkStart w:id="247" w:name="_Toc292559372"/>
      <w:bookmarkStart w:id="248" w:name="_Toc297216186"/>
      <w:bookmarkStart w:id="249" w:name="_Toc312678019"/>
      <w:bookmarkStart w:id="250" w:name="_Toc296891207"/>
      <w:bookmarkStart w:id="251" w:name="_Toc297048353"/>
      <w:bookmarkStart w:id="252" w:name="_Toc296944506"/>
      <w:bookmarkStart w:id="253" w:name="_Toc297123527"/>
      <w:bookmarkStart w:id="254" w:name="_Toc304295556"/>
      <w:bookmarkStart w:id="255" w:name="_Toc296890995"/>
      <w:bookmarkStart w:id="256" w:name="_Toc296503167"/>
      <w:bookmarkStart w:id="257" w:name="_Toc312677493"/>
      <w:bookmarkStart w:id="258" w:name="_Toc300934979"/>
      <w:bookmarkStart w:id="259" w:name="_Toc280868655"/>
      <w:bookmarkStart w:id="260" w:name="_Toc267251424"/>
      <w:bookmarkStart w:id="261" w:name="_Toc280868656"/>
      <w:r>
        <w:rPr>
          <w:rFonts w:hint="eastAsia" w:ascii="宋体" w:hAnsi="宋体" w:cs="宋体"/>
          <w:sz w:val="24"/>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Pr>
        <w:spacing w:line="360" w:lineRule="auto"/>
        <w:ind w:firstLine="480" w:firstLineChars="200"/>
        <w:jc w:val="left"/>
        <w:rPr>
          <w:rFonts w:ascii="宋体" w:hAnsi="宋体" w:cs="宋体"/>
          <w:sz w:val="24"/>
        </w:rPr>
      </w:pPr>
      <w:r>
        <w:rPr>
          <w:rFonts w:hint="eastAsia" w:ascii="宋体" w:hAnsi="宋体" w:cs="宋体"/>
          <w:sz w:val="24"/>
        </w:rPr>
        <w:t>8</w:t>
      </w:r>
      <w:bookmarkStart w:id="262" w:name="_Toc292559878"/>
      <w:bookmarkStart w:id="263" w:name="_Toc292559373"/>
      <w:bookmarkStart w:id="264" w:name="_Toc296346669"/>
      <w:bookmarkStart w:id="265" w:name="_Toc296503168"/>
      <w:bookmarkStart w:id="266" w:name="_Toc296944507"/>
      <w:bookmarkStart w:id="267" w:name="_Toc296891208"/>
      <w:bookmarkStart w:id="268" w:name="_Toc303539137"/>
      <w:bookmarkStart w:id="269" w:name="_Toc296347167"/>
      <w:bookmarkStart w:id="270" w:name="_Toc296890996"/>
      <w:bookmarkStart w:id="271" w:name="_Toc297123528"/>
      <w:bookmarkStart w:id="272" w:name="_Toc304295557"/>
      <w:bookmarkStart w:id="273" w:name="_Toc297048354"/>
      <w:bookmarkStart w:id="274" w:name="_Toc297120468"/>
      <w:bookmarkStart w:id="275" w:name="_Toc318581173"/>
      <w:bookmarkStart w:id="276" w:name="_Toc297216187"/>
      <w:bookmarkStart w:id="277" w:name="_Toc300934980"/>
      <w:bookmarkStart w:id="278" w:name="_Toc312678020"/>
      <w:bookmarkStart w:id="279" w:name="_Toc312677494"/>
      <w:r>
        <w:rPr>
          <w:rFonts w:hint="eastAsia" w:ascii="宋体" w:hAnsi="宋体" w:cs="宋体"/>
          <w:sz w:val="24"/>
        </w:rPr>
        <w:t>.4.1发包人供应的材料设备的保管费用的承担：</w:t>
      </w:r>
      <w:r>
        <w:rPr>
          <w:rFonts w:hint="eastAsia" w:ascii="宋体" w:hAnsi="宋体" w:cs="宋体"/>
          <w:sz w:val="24"/>
          <w:u w:val="single"/>
        </w:rPr>
        <w:t>由承包人承担</w:t>
      </w:r>
      <w:r>
        <w:rPr>
          <w:rFonts w:hint="eastAsia" w:ascii="宋体" w:hAnsi="宋体" w:cs="宋体"/>
          <w:sz w:val="24"/>
        </w:rPr>
        <w:t>。</w:t>
      </w:r>
      <w:bookmarkEnd w:id="262"/>
      <w:bookmarkEnd w:id="263"/>
    </w:p>
    <w:p>
      <w:pPr>
        <w:spacing w:after="120" w:line="360" w:lineRule="auto"/>
        <w:ind w:firstLine="480" w:firstLineChars="200"/>
        <w:rPr>
          <w:rFonts w:ascii="宋体" w:hAnsi="宋体" w:cs="宋体"/>
          <w:sz w:val="24"/>
        </w:rPr>
      </w:pPr>
      <w:r>
        <w:rPr>
          <w:rFonts w:hint="eastAsia" w:ascii="宋体" w:hAnsi="宋体" w:cs="宋体"/>
          <w:sz w:val="24"/>
        </w:rPr>
        <w:t>8.6 样品</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8.6.1</w:t>
      </w:r>
      <w:r>
        <w:rPr>
          <w:rFonts w:hint="eastAsia" w:ascii="宋体" w:hAnsi="宋体" w:cs="宋体"/>
          <w:kern w:val="0"/>
          <w:sz w:val="24"/>
        </w:rPr>
        <w:tab/>
      </w:r>
      <w:r>
        <w:rPr>
          <w:rFonts w:hint="eastAsia" w:ascii="宋体" w:hAnsi="宋体" w:cs="宋体"/>
          <w:kern w:val="0"/>
          <w:sz w:val="24"/>
        </w:rPr>
        <w:t>样品的报送与封存</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kern w:val="0"/>
          <w:sz w:val="24"/>
        </w:rPr>
        <w:t>需要承包人报送样品的材料或工程设备，样品的种类、名称、规格、数量要求：</w:t>
      </w:r>
      <w:r>
        <w:rPr>
          <w:rFonts w:hint="eastAsia" w:ascii="宋体" w:hAnsi="宋体" w:cs="宋体"/>
          <w:sz w:val="24"/>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8.8 施工设备和临时设施</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8.8.1 承包人提供的施工设备和临时设施</w:t>
      </w:r>
    </w:p>
    <w:p>
      <w:pPr>
        <w:autoSpaceDE w:val="0"/>
        <w:autoSpaceDN w:val="0"/>
        <w:adjustRightInd w:val="0"/>
        <w:spacing w:line="360" w:lineRule="auto"/>
        <w:jc w:val="left"/>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1）施工现场围墙内工程施工需要的临时宿舍、文化活动用房、仓库、办公室、主要道路、水、电、管线等临时设施的搭设、维护、拆除的费用由承包人承担，承包人按规定计取临时设施费用（2）施工围墙内、外道路及周围居民住房区域的安全防护搭设和高压线安全防护费用由发包人承担。</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Pr>
        <w:pStyle w:val="5"/>
        <w:spacing w:before="120" w:after="120" w:line="360" w:lineRule="auto"/>
        <w:rPr>
          <w:rFonts w:ascii="宋体" w:hAnsi="宋体" w:cs="宋体"/>
          <w:b w:val="0"/>
          <w:bCs w:val="0"/>
          <w:sz w:val="24"/>
          <w:szCs w:val="24"/>
        </w:rPr>
      </w:pPr>
      <w:bookmarkStart w:id="280" w:name="_Toc384891858"/>
      <w:bookmarkStart w:id="281" w:name="_Toc351203641"/>
      <w:bookmarkStart w:id="282" w:name="_Toc384892061"/>
      <w:r>
        <w:rPr>
          <w:rFonts w:hint="eastAsia" w:ascii="宋体" w:hAnsi="宋体" w:cs="宋体"/>
          <w:b w:val="0"/>
          <w:bCs w:val="0"/>
          <w:sz w:val="24"/>
          <w:szCs w:val="24"/>
        </w:rPr>
        <w:t>9</w:t>
      </w:r>
      <w:bookmarkEnd w:id="259"/>
      <w:bookmarkEnd w:id="260"/>
      <w:bookmarkEnd w:id="261"/>
      <w:bookmarkStart w:id="283" w:name="_Toc300934982"/>
      <w:bookmarkStart w:id="284" w:name="_Toc304295559"/>
      <w:bookmarkStart w:id="285" w:name="_Toc312678021"/>
      <w:bookmarkStart w:id="286" w:name="_Toc312677495"/>
      <w:bookmarkStart w:id="287" w:name="_Toc297216192"/>
      <w:bookmarkStart w:id="288" w:name="_Toc303539139"/>
      <w:bookmarkStart w:id="289" w:name="_Toc297123533"/>
      <w:bookmarkStart w:id="290" w:name="_Toc292559883"/>
      <w:bookmarkStart w:id="291" w:name="_Toc296347172"/>
      <w:bookmarkStart w:id="292" w:name="_Toc267251427"/>
      <w:bookmarkStart w:id="293" w:name="_Toc296891001"/>
      <w:bookmarkStart w:id="294" w:name="_Toc297120473"/>
      <w:bookmarkStart w:id="295" w:name="_Toc292559378"/>
      <w:bookmarkStart w:id="296" w:name="_Toc297048359"/>
      <w:bookmarkStart w:id="297" w:name="_Toc296891213"/>
      <w:bookmarkStart w:id="298" w:name="_Toc267251428"/>
      <w:bookmarkStart w:id="299" w:name="_Toc296944512"/>
      <w:bookmarkStart w:id="300" w:name="_Toc296346674"/>
      <w:bookmarkStart w:id="301" w:name="_Toc296503173"/>
      <w:r>
        <w:rPr>
          <w:rFonts w:hint="eastAsia" w:ascii="宋体" w:hAnsi="宋体" w:cs="宋体"/>
          <w:b w:val="0"/>
          <w:bCs w:val="0"/>
          <w:sz w:val="24"/>
          <w:szCs w:val="24"/>
        </w:rPr>
        <w:t>. 试验与检验</w:t>
      </w:r>
      <w:bookmarkEnd w:id="280"/>
      <w:bookmarkEnd w:id="281"/>
      <w:bookmarkEnd w:id="282"/>
    </w:p>
    <w:bookmarkEnd w:id="283"/>
    <w:bookmarkEnd w:id="284"/>
    <w:bookmarkEnd w:id="285"/>
    <w:bookmarkEnd w:id="286"/>
    <w:bookmarkEnd w:id="287"/>
    <w:bookmarkEnd w:id="288"/>
    <w:bookmarkEnd w:id="289"/>
    <w:p>
      <w:pPr>
        <w:spacing w:after="120" w:line="360" w:lineRule="auto"/>
        <w:ind w:firstLine="480" w:firstLineChars="200"/>
        <w:rPr>
          <w:rFonts w:ascii="宋体" w:hAnsi="宋体" w:cs="宋体"/>
          <w:sz w:val="24"/>
        </w:rPr>
      </w:pPr>
      <w:r>
        <w:rPr>
          <w:rFonts w:hint="eastAsia" w:ascii="宋体" w:hAnsi="宋体" w:cs="宋体"/>
          <w:sz w:val="24"/>
        </w:rPr>
        <w:t>9</w:t>
      </w:r>
      <w:bookmarkStart w:id="302" w:name="_Toc300934983"/>
      <w:bookmarkStart w:id="303" w:name="_Toc297216193"/>
      <w:bookmarkStart w:id="304" w:name="_Toc312678022"/>
      <w:bookmarkStart w:id="305" w:name="_Toc312677496"/>
      <w:bookmarkStart w:id="306" w:name="_Toc297123534"/>
      <w:bookmarkStart w:id="307" w:name="_Toc304295560"/>
      <w:bookmarkStart w:id="308" w:name="_Toc303539140"/>
      <w:r>
        <w:rPr>
          <w:rFonts w:hint="eastAsia" w:ascii="宋体" w:hAnsi="宋体" w:cs="宋体"/>
          <w:sz w:val="24"/>
        </w:rPr>
        <w:t>.1试验设备与试验人员</w:t>
      </w:r>
    </w:p>
    <w:bookmarkEnd w:id="302"/>
    <w:bookmarkEnd w:id="303"/>
    <w:bookmarkEnd w:id="304"/>
    <w:bookmarkEnd w:id="305"/>
    <w:bookmarkEnd w:id="306"/>
    <w:bookmarkEnd w:id="307"/>
    <w:bookmarkEnd w:id="308"/>
    <w:p>
      <w:pPr>
        <w:spacing w:line="360" w:lineRule="auto"/>
        <w:ind w:firstLine="480" w:firstLineChars="200"/>
        <w:jc w:val="left"/>
        <w:rPr>
          <w:rFonts w:ascii="宋体" w:hAnsi="宋体" w:cs="宋体"/>
          <w:sz w:val="24"/>
        </w:rPr>
      </w:pPr>
      <w:r>
        <w:rPr>
          <w:rFonts w:hint="eastAsia" w:ascii="宋体" w:hAnsi="宋体" w:cs="宋体"/>
          <w:sz w:val="24"/>
        </w:rPr>
        <w:t>9</w:t>
      </w:r>
      <w:bookmarkStart w:id="309" w:name="_Toc303539141"/>
      <w:bookmarkStart w:id="310" w:name="_Toc312677497"/>
      <w:bookmarkStart w:id="311" w:name="_Toc304295561"/>
      <w:bookmarkStart w:id="312" w:name="_Toc297123535"/>
      <w:bookmarkStart w:id="313" w:name="_Toc300934984"/>
      <w:bookmarkStart w:id="314" w:name="_Toc312678023"/>
      <w:bookmarkStart w:id="315" w:name="_Toc297216194"/>
      <w:bookmarkStart w:id="316" w:name="_Toc318581174"/>
      <w:r>
        <w:rPr>
          <w:rFonts w:hint="eastAsia" w:ascii="宋体" w:hAnsi="宋体" w:cs="宋体"/>
          <w:sz w:val="24"/>
        </w:rPr>
        <w:t>.1.2 试验设备</w:t>
      </w:r>
    </w:p>
    <w:p>
      <w:pPr>
        <w:spacing w:line="360" w:lineRule="auto"/>
        <w:ind w:firstLine="480" w:firstLineChars="200"/>
        <w:jc w:val="left"/>
        <w:rPr>
          <w:rFonts w:ascii="宋体" w:hAnsi="宋体" w:cs="宋体"/>
          <w:sz w:val="24"/>
        </w:rPr>
      </w:pPr>
      <w:r>
        <w:rPr>
          <w:rFonts w:hint="eastAsia" w:ascii="宋体" w:hAnsi="宋体" w:cs="宋体"/>
          <w:sz w:val="24"/>
        </w:rPr>
        <w:t>施工现场需要配置的试验场所：</w:t>
      </w:r>
      <w:bookmarkEnd w:id="309"/>
      <w:bookmarkEnd w:id="310"/>
      <w:bookmarkEnd w:id="311"/>
      <w:bookmarkEnd w:id="312"/>
      <w:bookmarkEnd w:id="313"/>
      <w:bookmarkEnd w:id="314"/>
      <w:bookmarkEnd w:id="315"/>
      <w:bookmarkStart w:id="317" w:name="_Toc312678024"/>
      <w:bookmarkStart w:id="318" w:name="_Toc304295562"/>
      <w:bookmarkStart w:id="319" w:name="_Toc297123536"/>
      <w:bookmarkStart w:id="320" w:name="_Toc303539142"/>
      <w:bookmarkStart w:id="321" w:name="_Toc297216195"/>
      <w:bookmarkStart w:id="322" w:name="_Toc300934985"/>
      <w:bookmarkStart w:id="323" w:name="_Toc312677498"/>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无约定</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 xml:space="preserve">9.4 现场工艺试验 </w:t>
      </w:r>
    </w:p>
    <w:p>
      <w:pPr>
        <w:spacing w:line="360" w:lineRule="auto"/>
        <w:ind w:firstLine="480" w:firstLineChars="200"/>
        <w:jc w:val="left"/>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sz w:val="24"/>
        </w:rPr>
        <w:t>。</w:t>
      </w:r>
    </w:p>
    <w:bookmarkEnd w:id="316"/>
    <w:bookmarkEnd w:id="317"/>
    <w:bookmarkEnd w:id="318"/>
    <w:bookmarkEnd w:id="319"/>
    <w:bookmarkEnd w:id="320"/>
    <w:bookmarkEnd w:id="321"/>
    <w:bookmarkEnd w:id="322"/>
    <w:bookmarkEnd w:id="323"/>
    <w:p>
      <w:pPr>
        <w:pStyle w:val="5"/>
        <w:spacing w:before="120" w:after="120" w:line="360" w:lineRule="auto"/>
        <w:rPr>
          <w:rFonts w:ascii="宋体" w:hAnsi="宋体" w:cs="宋体"/>
          <w:b w:val="0"/>
          <w:bCs w:val="0"/>
          <w:sz w:val="24"/>
          <w:szCs w:val="24"/>
        </w:rPr>
      </w:pPr>
      <w:bookmarkStart w:id="324" w:name="_Toc351203642"/>
      <w:bookmarkStart w:id="325" w:name="_Toc384891859"/>
      <w:bookmarkStart w:id="326" w:name="_Toc384892062"/>
      <w:r>
        <w:rPr>
          <w:rFonts w:hint="eastAsia" w:ascii="宋体" w:hAnsi="宋体" w:cs="宋体"/>
          <w:b w:val="0"/>
          <w:bCs w:val="0"/>
          <w:sz w:val="24"/>
          <w:szCs w:val="24"/>
        </w:rPr>
        <w:t>1</w:t>
      </w:r>
      <w:bookmarkEnd w:id="290"/>
      <w:bookmarkEnd w:id="291"/>
      <w:bookmarkEnd w:id="292"/>
      <w:bookmarkEnd w:id="293"/>
      <w:bookmarkEnd w:id="294"/>
      <w:bookmarkEnd w:id="295"/>
      <w:bookmarkEnd w:id="296"/>
      <w:bookmarkEnd w:id="297"/>
      <w:bookmarkEnd w:id="298"/>
      <w:bookmarkEnd w:id="299"/>
      <w:bookmarkEnd w:id="300"/>
      <w:bookmarkEnd w:id="301"/>
      <w:bookmarkStart w:id="327" w:name="_Toc303539146"/>
      <w:bookmarkStart w:id="328" w:name="_Toc300934989"/>
      <w:bookmarkStart w:id="329" w:name="_Toc292559398"/>
      <w:bookmarkStart w:id="330" w:name="_Toc297048379"/>
      <w:bookmarkStart w:id="331" w:name="_Toc296503193"/>
      <w:bookmarkStart w:id="332" w:name="_Toc296347192"/>
      <w:bookmarkStart w:id="333" w:name="_Toc297123540"/>
      <w:bookmarkStart w:id="334" w:name="_Toc297216199"/>
      <w:bookmarkStart w:id="335" w:name="_Toc296944532"/>
      <w:bookmarkStart w:id="336" w:name="_Toc296891233"/>
      <w:bookmarkStart w:id="337" w:name="_Toc297120493"/>
      <w:bookmarkStart w:id="338" w:name="_Toc304295566"/>
      <w:bookmarkStart w:id="339" w:name="_Toc296891021"/>
      <w:bookmarkStart w:id="340" w:name="_Toc296346694"/>
      <w:bookmarkStart w:id="341" w:name="_Toc292559903"/>
      <w:bookmarkStart w:id="342" w:name="_Toc312678025"/>
      <w:bookmarkStart w:id="343" w:name="_Toc312677499"/>
      <w:bookmarkStart w:id="344" w:name="_Toc267251435"/>
      <w:bookmarkStart w:id="345" w:name="_Toc267251437"/>
      <w:bookmarkStart w:id="346" w:name="_Toc267251441"/>
      <w:bookmarkStart w:id="347" w:name="_Toc267251433"/>
      <w:bookmarkStart w:id="348" w:name="_Toc267251439"/>
      <w:bookmarkStart w:id="349" w:name="_Toc267251440"/>
      <w:bookmarkStart w:id="350" w:name="_Toc267251442"/>
      <w:r>
        <w:rPr>
          <w:rFonts w:hint="eastAsia" w:ascii="宋体" w:hAnsi="宋体" w:cs="宋体"/>
          <w:b w:val="0"/>
          <w:bCs w:val="0"/>
          <w:sz w:val="24"/>
          <w:szCs w:val="24"/>
        </w:rPr>
        <w:t>0. 变更</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bookmarkEnd w:id="342"/>
    <w:bookmarkEnd w:id="343"/>
    <w:p>
      <w:pPr>
        <w:spacing w:after="120" w:line="360" w:lineRule="auto"/>
        <w:ind w:firstLine="480" w:firstLineChars="200"/>
        <w:rPr>
          <w:rFonts w:ascii="宋体" w:hAnsi="宋体" w:cs="宋体"/>
          <w:sz w:val="24"/>
        </w:rPr>
      </w:pPr>
      <w:r>
        <w:rPr>
          <w:rFonts w:hint="eastAsia" w:ascii="宋体" w:hAnsi="宋体" w:cs="宋体"/>
          <w:sz w:val="24"/>
        </w:rPr>
        <w:t>1</w:t>
      </w:r>
      <w:bookmarkStart w:id="351" w:name="_Toc296891234"/>
      <w:bookmarkStart w:id="352" w:name="_Toc312677500"/>
      <w:bookmarkStart w:id="353" w:name="_Toc297120494"/>
      <w:bookmarkStart w:id="354" w:name="_Toc300934990"/>
      <w:bookmarkStart w:id="355" w:name="_Toc296944533"/>
      <w:bookmarkStart w:id="356" w:name="_Toc292559904"/>
      <w:bookmarkStart w:id="357" w:name="_Toc296347193"/>
      <w:bookmarkStart w:id="358" w:name="_Toc296346695"/>
      <w:bookmarkStart w:id="359" w:name="_Toc304295567"/>
      <w:bookmarkStart w:id="360" w:name="_Toc296891022"/>
      <w:bookmarkStart w:id="361" w:name="_Toc297048380"/>
      <w:bookmarkStart w:id="362" w:name="_Toc297216200"/>
      <w:bookmarkStart w:id="363" w:name="_Toc297123541"/>
      <w:bookmarkStart w:id="364" w:name="_Toc296503194"/>
      <w:bookmarkStart w:id="365" w:name="_Toc292559399"/>
      <w:bookmarkStart w:id="366" w:name="_Toc303539147"/>
      <w:bookmarkStart w:id="367" w:name="_Toc312678026"/>
      <w:r>
        <w:rPr>
          <w:rFonts w:hint="eastAsia" w:ascii="宋体" w:hAnsi="宋体" w:cs="宋体"/>
          <w:sz w:val="24"/>
        </w:rPr>
        <w:t>0.1变更的范围</w:t>
      </w:r>
    </w:p>
    <w:p>
      <w:pPr>
        <w:spacing w:line="360" w:lineRule="auto"/>
        <w:ind w:firstLine="480" w:firstLineChars="200"/>
        <w:rPr>
          <w:rFonts w:ascii="宋体" w:hAnsi="宋体" w:cs="宋体"/>
          <w:sz w:val="24"/>
        </w:rPr>
      </w:pPr>
      <w:r>
        <w:rPr>
          <w:rFonts w:hint="eastAsia" w:ascii="宋体" w:hAnsi="宋体" w:cs="宋体"/>
          <w:sz w:val="24"/>
          <w:u w:val="single"/>
        </w:rPr>
        <w:t>（1）</w:t>
      </w:r>
      <w:r>
        <w:rPr>
          <w:rFonts w:hint="eastAsia" w:ascii="宋体" w:hAnsi="宋体" w:cs="宋体"/>
          <w:sz w:val="24"/>
        </w:rPr>
        <w:t>关于变更的范围的约定：</w:t>
      </w:r>
      <w:r>
        <w:rPr>
          <w:rFonts w:hint="eastAsia" w:ascii="宋体" w:hAnsi="宋体" w:cs="宋体"/>
          <w:sz w:val="24"/>
          <w:u w:val="single"/>
        </w:rPr>
        <w:t>由于设计变更引起工程项目、工程数量出现变化的，变更部分工程量价款按如下方式确定：</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①、原成交工程量清单中有相同项目的按承包人投标时的成交综合单价进行结算。</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②、如无相同项目，但成交工程量清单中有类似项目的参考类似项目成交单价结算。</w:t>
      </w:r>
    </w:p>
    <w:p>
      <w:pPr>
        <w:spacing w:line="400" w:lineRule="exact"/>
        <w:ind w:firstLine="472" w:firstLineChars="200"/>
        <w:rPr>
          <w:rFonts w:ascii="宋体" w:hAnsi="宋体" w:cs="宋体"/>
          <w:spacing w:val="-2"/>
          <w:kern w:val="0"/>
          <w:sz w:val="24"/>
          <w:u w:val="single"/>
        </w:rPr>
      </w:pPr>
      <w:r>
        <w:rPr>
          <w:rFonts w:hint="eastAsia" w:ascii="宋体" w:hAnsi="宋体" w:cs="宋体"/>
          <w:spacing w:val="-2"/>
          <w:kern w:val="0"/>
          <w:sz w:val="24"/>
          <w:u w:val="single"/>
        </w:rPr>
        <w:t>③、无类似细目的新增项目有定额的套定额计算后乘以成交下浮系数进行结算（成交下浮系数=成交价/招标控制价），定额套用及计算如下：</w:t>
      </w:r>
    </w:p>
    <w:p>
      <w:pPr>
        <w:spacing w:line="400" w:lineRule="exact"/>
        <w:ind w:firstLine="480" w:firstLineChars="200"/>
        <w:rPr>
          <w:rFonts w:hint="eastAsia" w:ascii="宋体" w:hAnsi="宋体" w:cs="宋体"/>
          <w:color w:val="FF0000"/>
          <w:sz w:val="24"/>
        </w:rPr>
      </w:pPr>
      <w:r>
        <w:rPr>
          <w:rFonts w:hint="eastAsia" w:ascii="宋体" w:hAnsi="宋体" w:cs="宋体"/>
          <w:sz w:val="24"/>
        </w:rPr>
        <w:t>1.1、</w:t>
      </w:r>
      <w:r>
        <w:rPr>
          <w:rFonts w:hint="eastAsia" w:ascii="宋体" w:hAnsi="宋体" w:cs="宋体"/>
          <w:color w:val="FF0000"/>
          <w:sz w:val="24"/>
        </w:rPr>
        <w:t>(</w:t>
      </w:r>
      <w:r>
        <w:rPr>
          <w:rFonts w:hint="eastAsia" w:ascii="宋体" w:hAnsi="宋体" w:cs="宋体"/>
          <w:color w:val="FF0000"/>
          <w:sz w:val="24"/>
          <w:lang w:val="en-US" w:eastAsia="zh-CN"/>
        </w:rPr>
        <w:t>1</w:t>
      </w:r>
      <w:r>
        <w:rPr>
          <w:rFonts w:hint="eastAsia" w:ascii="宋体" w:hAnsi="宋体" w:cs="宋体"/>
          <w:color w:val="FF0000"/>
          <w:sz w:val="24"/>
        </w:rPr>
        <w:t>)施工设计图及相关的标准、规范、技术资料；</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)《建设工程工程量清单计价规范》（GB50500-2013）、《建设工程工程量清单计算规范》（GB 50584~50862-2013）；</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3</w:t>
      </w:r>
      <w:r>
        <w:rPr>
          <w:rFonts w:hint="eastAsia" w:ascii="宋体" w:hAnsi="宋体" w:cs="宋体"/>
          <w:color w:val="FF0000"/>
          <w:sz w:val="24"/>
        </w:rPr>
        <w:t>)《建设工程工程量清单计价规范》（GB50500-2013）广西壮族自治区实施细则、《建设工程工程量清单计算规范》（GB 50584~50862-2013）广西壮族自治区实施细则（修订本）；</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4</w:t>
      </w:r>
      <w:r>
        <w:rPr>
          <w:rFonts w:hint="eastAsia" w:ascii="宋体" w:hAnsi="宋体" w:cs="宋体"/>
          <w:color w:val="FF0000"/>
          <w:sz w:val="24"/>
        </w:rPr>
        <w:t>)2015年《广西壮族自治区安装工程消耗量定额》、2014年《广西壮族自治区市政工程消耗量定额》、2013年《广西壮族自治区园林绿化工程消耗量定额》及2013年《广西壮族自治区安装拆除工程消耗量定额》配套使用的费用定额；</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5</w:t>
      </w:r>
      <w:r>
        <w:rPr>
          <w:rFonts w:hint="eastAsia" w:ascii="宋体" w:hAnsi="宋体" w:cs="宋体"/>
          <w:color w:val="FF0000"/>
          <w:sz w:val="24"/>
        </w:rPr>
        <w:t>)《广西壮族自治区住房城乡建设厅关于调整建设工程定额人工费及有关费率的通知》桂建标[2023]7号；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6</w:t>
      </w:r>
      <w:r>
        <w:rPr>
          <w:rFonts w:hint="eastAsia" w:ascii="宋体" w:hAnsi="宋体" w:cs="宋体"/>
          <w:color w:val="FF0000"/>
          <w:sz w:val="24"/>
        </w:rPr>
        <w:t>)桂建标[2016]17号文《关于建筑业实施营业税改征增值税后广西壮族自治区建设工程计价依据调整的通知》；</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7</w:t>
      </w:r>
      <w:r>
        <w:rPr>
          <w:rFonts w:hint="eastAsia" w:ascii="宋体" w:hAnsi="宋体" w:cs="宋体"/>
          <w:color w:val="FF0000"/>
          <w:sz w:val="24"/>
        </w:rPr>
        <w:t>)广西住建厅《关于调整建设工程计价增值税税率的通知》桂建标（2019）12号；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8</w:t>
      </w:r>
      <w:r>
        <w:rPr>
          <w:rFonts w:hint="eastAsia" w:ascii="宋体" w:hAnsi="宋体" w:cs="宋体"/>
          <w:color w:val="FF0000"/>
          <w:sz w:val="24"/>
        </w:rPr>
        <w:t>)材料单价按照《百色市建设工程造价信息》2023年第11期百色市信息公布价价格，无价格公布的参照同期邻近县信息价及市场询价；</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④、新增项目无定额可套的，由发包人、承包人、监理单位三方根据市场价格协商签证，以审计部门审计结果为准；新增项目的单价必须经财政、审计部门审定。</w:t>
      </w:r>
    </w:p>
    <w:p>
      <w:pPr>
        <w:spacing w:line="360" w:lineRule="auto"/>
        <w:ind w:firstLine="480" w:firstLineChars="200"/>
        <w:rPr>
          <w:rFonts w:ascii="宋体" w:hAnsi="宋体" w:cs="宋体"/>
          <w:spacing w:val="-2"/>
          <w:kern w:val="0"/>
          <w:sz w:val="24"/>
          <w:u w:val="single"/>
        </w:rPr>
      </w:pPr>
      <w:r>
        <w:rPr>
          <w:rFonts w:hint="eastAsia" w:ascii="宋体" w:hAnsi="宋体" w:cs="宋体"/>
          <w:sz w:val="24"/>
          <w:u w:val="single"/>
        </w:rPr>
        <w:t>（2）国家和自治区政策性调整有关费用标准的，按文件规定执行。</w:t>
      </w:r>
    </w:p>
    <w:p>
      <w:pPr>
        <w:spacing w:line="360" w:lineRule="auto"/>
        <w:ind w:firstLine="480" w:firstLineChars="200"/>
        <w:rPr>
          <w:rFonts w:ascii="宋体" w:hAnsi="宋体" w:cs="宋体"/>
          <w:spacing w:val="-2"/>
          <w:kern w:val="0"/>
          <w:sz w:val="24"/>
          <w:u w:val="single"/>
        </w:rPr>
      </w:pPr>
      <w:r>
        <w:rPr>
          <w:rFonts w:hint="eastAsia" w:ascii="宋体" w:hAnsi="宋体" w:cs="宋体"/>
          <w:sz w:val="24"/>
          <w:u w:val="single"/>
        </w:rPr>
        <w:t>（3）本工程最终结算以审计部门审定为准。</w:t>
      </w:r>
    </w:p>
    <w:p>
      <w:pPr>
        <w:spacing w:after="120" w:line="360" w:lineRule="auto"/>
        <w:ind w:firstLine="480" w:firstLineChars="200"/>
        <w:rPr>
          <w:rFonts w:ascii="宋体" w:hAnsi="宋体" w:cs="宋体"/>
          <w:sz w:val="24"/>
        </w:rPr>
      </w:pPr>
      <w:r>
        <w:rPr>
          <w:rFonts w:hint="eastAsia" w:ascii="宋体" w:hAnsi="宋体" w:cs="宋体"/>
          <w:sz w:val="24"/>
        </w:rPr>
        <w:t>10.4 变更估价</w:t>
      </w:r>
    </w:p>
    <w:p>
      <w:pPr>
        <w:spacing w:line="360" w:lineRule="auto"/>
        <w:ind w:firstLine="480" w:firstLineChars="200"/>
        <w:jc w:val="left"/>
        <w:rPr>
          <w:rFonts w:ascii="宋体" w:hAnsi="宋体" w:cs="宋体"/>
          <w:sz w:val="24"/>
        </w:rPr>
      </w:pPr>
      <w:r>
        <w:rPr>
          <w:rFonts w:hint="eastAsia" w:ascii="宋体" w:hAnsi="宋体" w:cs="宋体"/>
          <w:sz w:val="24"/>
        </w:rPr>
        <w:t>10.4.1 变更估价原则</w:t>
      </w:r>
    </w:p>
    <w:p>
      <w:pPr>
        <w:spacing w:line="360" w:lineRule="auto"/>
        <w:ind w:firstLine="480" w:firstLineChars="200"/>
        <w:rPr>
          <w:rFonts w:ascii="宋体" w:hAnsi="宋体" w:cs="宋体"/>
          <w:spacing w:val="-2"/>
          <w:kern w:val="0"/>
          <w:sz w:val="24"/>
          <w:u w:val="single"/>
        </w:rPr>
      </w:pPr>
      <w:r>
        <w:rPr>
          <w:rFonts w:hint="eastAsia" w:ascii="宋体" w:hAnsi="宋体" w:cs="宋体"/>
          <w:sz w:val="24"/>
        </w:rPr>
        <w:t xml:space="preserve">关于变更估价的约定: </w:t>
      </w:r>
      <w:r>
        <w:rPr>
          <w:rFonts w:hint="eastAsia" w:ascii="宋体" w:hAnsi="宋体" w:cs="宋体"/>
          <w:kern w:val="0"/>
          <w:sz w:val="24"/>
          <w:u w:val="single"/>
        </w:rPr>
        <w:t>/</w:t>
      </w:r>
    </w:p>
    <w:p>
      <w:pPr>
        <w:spacing w:after="120" w:line="360" w:lineRule="auto"/>
        <w:ind w:firstLine="480" w:firstLineChars="200"/>
        <w:rPr>
          <w:rFonts w:ascii="宋体" w:hAnsi="宋体" w:cs="宋体"/>
          <w:sz w:val="24"/>
        </w:rPr>
      </w:pPr>
      <w:r>
        <w:rPr>
          <w:rFonts w:hint="eastAsia" w:ascii="宋体" w:hAnsi="宋体" w:cs="宋体"/>
          <w:sz w:val="24"/>
        </w:rPr>
        <w:t>1</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68" w:name="_Toc296503197"/>
      <w:bookmarkStart w:id="369" w:name="_Toc297048383"/>
      <w:bookmarkStart w:id="370" w:name="_Toc297120497"/>
      <w:bookmarkStart w:id="371" w:name="_Toc292559402"/>
      <w:bookmarkStart w:id="372" w:name="_Toc303539150"/>
      <w:bookmarkStart w:id="373" w:name="_Toc296944536"/>
      <w:bookmarkStart w:id="374" w:name="_Toc296891025"/>
      <w:bookmarkStart w:id="375" w:name="_Toc292559907"/>
      <w:bookmarkStart w:id="376" w:name="_Toc300934993"/>
      <w:bookmarkStart w:id="377" w:name="_Toc297216203"/>
      <w:bookmarkStart w:id="378" w:name="_Toc296891237"/>
      <w:bookmarkStart w:id="379" w:name="_Toc296346698"/>
      <w:bookmarkStart w:id="380" w:name="_Toc296347196"/>
      <w:bookmarkStart w:id="381" w:name="_Toc297123544"/>
      <w:bookmarkStart w:id="382" w:name="_Toc312677503"/>
      <w:bookmarkStart w:id="383" w:name="_Toc304295570"/>
      <w:bookmarkStart w:id="384" w:name="_Toc312678029"/>
      <w:r>
        <w:rPr>
          <w:rFonts w:hint="eastAsia" w:ascii="宋体" w:hAnsi="宋体" w:cs="宋体"/>
          <w:sz w:val="24"/>
        </w:rPr>
        <w:t>0.5承</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Start w:id="385" w:name="_Toc297123545"/>
      <w:bookmarkStart w:id="386" w:name="_Toc297120503"/>
      <w:bookmarkStart w:id="387" w:name="_Toc296944542"/>
      <w:bookmarkStart w:id="388" w:name="_Toc296891031"/>
      <w:bookmarkStart w:id="389" w:name="_Toc297048389"/>
      <w:bookmarkStart w:id="390" w:name="_Toc296503203"/>
      <w:bookmarkStart w:id="391" w:name="_Toc297216204"/>
      <w:bookmarkStart w:id="392" w:name="_Toc292559913"/>
      <w:bookmarkStart w:id="393" w:name="_Toc303539151"/>
      <w:bookmarkStart w:id="394" w:name="_Toc292559408"/>
      <w:bookmarkStart w:id="395" w:name="_Toc296891243"/>
      <w:bookmarkStart w:id="396" w:name="_Toc296346704"/>
      <w:bookmarkStart w:id="397" w:name="_Toc300934994"/>
      <w:bookmarkStart w:id="398" w:name="_Toc296347202"/>
      <w:r>
        <w:rPr>
          <w:rFonts w:hint="eastAsia" w:ascii="宋体" w:hAnsi="宋体" w:cs="宋体"/>
          <w:sz w:val="24"/>
        </w:rPr>
        <w:t>包人的合理化建议</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二个有效工作日</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399" w:name="_Toc296891244"/>
      <w:bookmarkStart w:id="400" w:name="_Toc297123546"/>
      <w:bookmarkStart w:id="401" w:name="_Toc296346705"/>
      <w:bookmarkStart w:id="402" w:name="_Toc304295571"/>
      <w:bookmarkStart w:id="403" w:name="_Toc296944543"/>
      <w:bookmarkStart w:id="404" w:name="_Toc292559409"/>
      <w:bookmarkStart w:id="405" w:name="_Toc312678030"/>
      <w:bookmarkStart w:id="406" w:name="_Toc303539152"/>
      <w:bookmarkStart w:id="407" w:name="_Toc296891032"/>
      <w:bookmarkStart w:id="408" w:name="_Toc292559914"/>
      <w:bookmarkStart w:id="409" w:name="_Toc296347203"/>
      <w:bookmarkStart w:id="410" w:name="_Toc297048390"/>
      <w:bookmarkStart w:id="411" w:name="_Toc318581175"/>
      <w:bookmarkStart w:id="412" w:name="_Toc297216205"/>
      <w:bookmarkStart w:id="413" w:name="_Toc312677504"/>
      <w:bookmarkStart w:id="414" w:name="_Toc300934995"/>
      <w:bookmarkStart w:id="415" w:name="_Toc296503204"/>
      <w:bookmarkStart w:id="416" w:name="_Toc297120504"/>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无奖励</w:t>
      </w:r>
      <w:r>
        <w:rPr>
          <w:rFonts w:hint="eastAsia" w:ascii="宋体" w:hAnsi="宋体" w:cs="宋体"/>
          <w:sz w:val="24"/>
        </w:rPr>
        <w:t>。</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after="120" w:line="360" w:lineRule="auto"/>
        <w:ind w:firstLine="480" w:firstLineChars="200"/>
        <w:rPr>
          <w:rFonts w:ascii="宋体" w:hAnsi="宋体" w:cs="宋体"/>
          <w:sz w:val="24"/>
        </w:rPr>
      </w:pPr>
      <w:r>
        <w:rPr>
          <w:rFonts w:hint="eastAsia" w:ascii="宋体" w:hAnsi="宋体" w:cs="宋体"/>
          <w:sz w:val="24"/>
        </w:rPr>
        <w:t>1</w:t>
      </w:r>
      <w:bookmarkStart w:id="417" w:name="_Toc292559404"/>
      <w:bookmarkStart w:id="418" w:name="_Toc312677507"/>
      <w:bookmarkStart w:id="419" w:name="_Toc297120499"/>
      <w:bookmarkStart w:id="420" w:name="_Toc312678033"/>
      <w:bookmarkStart w:id="421" w:name="_Toc304295574"/>
      <w:bookmarkStart w:id="422" w:name="_Toc296503199"/>
      <w:bookmarkStart w:id="423" w:name="_Toc296944538"/>
      <w:bookmarkStart w:id="424" w:name="_Toc296347198"/>
      <w:bookmarkStart w:id="425" w:name="_Toc292559909"/>
      <w:bookmarkStart w:id="426" w:name="_Toc297216207"/>
      <w:bookmarkStart w:id="427" w:name="_Toc296346700"/>
      <w:bookmarkStart w:id="428" w:name="_Toc297123548"/>
      <w:bookmarkStart w:id="429" w:name="_Toc303539154"/>
      <w:bookmarkStart w:id="430" w:name="_Toc300934997"/>
      <w:bookmarkStart w:id="431" w:name="_Toc297048385"/>
      <w:bookmarkStart w:id="432" w:name="_Toc296891239"/>
      <w:bookmarkStart w:id="433" w:name="_Toc296891027"/>
      <w:r>
        <w:rPr>
          <w:rFonts w:hint="eastAsia" w:ascii="宋体" w:hAnsi="宋体" w:cs="宋体"/>
          <w:sz w:val="24"/>
        </w:rPr>
        <w:t>0.7 暂估价</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Pr>
        <w:spacing w:line="360" w:lineRule="auto"/>
        <w:ind w:firstLine="480" w:firstLineChars="200"/>
        <w:jc w:val="left"/>
        <w:rPr>
          <w:rFonts w:ascii="宋体" w:hAnsi="宋体" w:cs="宋体"/>
          <w:sz w:val="24"/>
        </w:rPr>
      </w:pPr>
      <w:r>
        <w:rPr>
          <w:rFonts w:hint="eastAsia" w:ascii="宋体" w:hAnsi="宋体" w:cs="宋体"/>
          <w:kern w:val="0"/>
          <w:sz w:val="24"/>
        </w:rPr>
        <w:t>暂</w:t>
      </w:r>
      <w:bookmarkStart w:id="434" w:name="_Toc312678034"/>
      <w:bookmarkStart w:id="435" w:name="_Toc318581176"/>
      <w:bookmarkStart w:id="436" w:name="_Toc312677508"/>
      <w:r>
        <w:rPr>
          <w:rFonts w:hint="eastAsia" w:ascii="宋体" w:hAnsi="宋体" w:cs="宋体"/>
          <w:kern w:val="0"/>
          <w:sz w:val="24"/>
        </w:rPr>
        <w:t>估价材料和工程设备的明细详见附件11：《</w:t>
      </w:r>
      <w:r>
        <w:rPr>
          <w:rFonts w:hint="eastAsia" w:ascii="宋体" w:hAnsi="宋体" w:cs="宋体"/>
          <w:sz w:val="24"/>
        </w:rPr>
        <w:t>暂估价一览表》</w:t>
      </w:r>
      <w:r>
        <w:rPr>
          <w:rFonts w:hint="eastAsia" w:ascii="宋体" w:hAnsi="宋体" w:cs="宋体"/>
          <w:kern w:val="0"/>
          <w:sz w:val="24"/>
        </w:rPr>
        <w:t>。</w:t>
      </w:r>
    </w:p>
    <w:bookmarkEnd w:id="434"/>
    <w:bookmarkEnd w:id="435"/>
    <w:bookmarkEnd w:id="436"/>
    <w:p>
      <w:pPr>
        <w:spacing w:line="360" w:lineRule="auto"/>
        <w:ind w:firstLine="480" w:firstLineChars="200"/>
        <w:jc w:val="left"/>
        <w:rPr>
          <w:rFonts w:ascii="宋体" w:hAnsi="宋体" w:cs="宋体"/>
          <w:sz w:val="24"/>
        </w:rPr>
      </w:pPr>
      <w:r>
        <w:rPr>
          <w:rFonts w:hint="eastAsia" w:ascii="宋体" w:hAnsi="宋体" w:cs="宋体"/>
          <w:sz w:val="24"/>
        </w:rPr>
        <w:t>1</w:t>
      </w:r>
      <w:bookmarkStart w:id="437" w:name="_Toc312678035"/>
      <w:bookmarkStart w:id="438" w:name="_Toc312677509"/>
      <w:bookmarkStart w:id="439" w:name="_Toc318581177"/>
      <w:r>
        <w:rPr>
          <w:rFonts w:hint="eastAsia" w:ascii="宋体" w:hAnsi="宋体" w:cs="宋体"/>
          <w:sz w:val="24"/>
        </w:rPr>
        <w:t>0.7.1 依法必须招标的暂估价项目</w:t>
      </w:r>
    </w:p>
    <w:bookmarkEnd w:id="437"/>
    <w:bookmarkEnd w:id="438"/>
    <w:bookmarkEnd w:id="439"/>
    <w:p>
      <w:pPr>
        <w:spacing w:line="360" w:lineRule="auto"/>
        <w:ind w:firstLine="480" w:firstLineChars="200"/>
        <w:jc w:val="left"/>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1 </w:t>
      </w:r>
      <w:r>
        <w:rPr>
          <w:rFonts w:hint="eastAsia" w:ascii="宋体" w:hAnsi="宋体" w:cs="宋体"/>
          <w:sz w:val="24"/>
        </w:rPr>
        <w:t>种方式确定。</w:t>
      </w:r>
    </w:p>
    <w:p>
      <w:pPr>
        <w:spacing w:line="360" w:lineRule="auto"/>
        <w:ind w:firstLine="480" w:firstLineChars="200"/>
        <w:jc w:val="left"/>
        <w:rPr>
          <w:rFonts w:ascii="宋体" w:hAnsi="宋体" w:cs="宋体"/>
          <w:sz w:val="24"/>
        </w:rPr>
      </w:pPr>
      <w:r>
        <w:rPr>
          <w:rFonts w:hint="eastAsia" w:ascii="宋体" w:hAnsi="宋体" w:cs="宋体"/>
          <w:sz w:val="24"/>
        </w:rPr>
        <w:t>10.7.2 不属于依法必须招标的暂估价项目</w:t>
      </w:r>
    </w:p>
    <w:p>
      <w:pPr>
        <w:spacing w:line="360" w:lineRule="auto"/>
        <w:ind w:firstLine="480" w:firstLineChars="200"/>
        <w:jc w:val="left"/>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1 </w:t>
      </w:r>
      <w:r>
        <w:rPr>
          <w:rFonts w:hint="eastAsia" w:ascii="宋体" w:hAnsi="宋体" w:cs="宋体"/>
          <w:sz w:val="24"/>
        </w:rPr>
        <w:t xml:space="preserve"> 种方式确定。</w:t>
      </w:r>
    </w:p>
    <w:p>
      <w:pPr>
        <w:spacing w:line="360" w:lineRule="auto"/>
        <w:ind w:firstLine="480" w:firstLineChars="200"/>
        <w:jc w:val="left"/>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pPr>
        <w:spacing w:line="360" w:lineRule="auto"/>
        <w:ind w:firstLine="480" w:firstLineChars="200"/>
        <w:jc w:val="left"/>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无约定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10.8 暂列金额</w:t>
      </w:r>
    </w:p>
    <w:p>
      <w:pPr>
        <w:autoSpaceDE w:val="0"/>
        <w:autoSpaceDN w:val="0"/>
        <w:adjustRightInd w:val="0"/>
        <w:spacing w:line="580" w:lineRule="exact"/>
        <w:ind w:firstLine="480" w:firstLineChars="200"/>
        <w:jc w:val="left"/>
        <w:rPr>
          <w:rFonts w:ascii="宋体" w:hAnsi="宋体" w:cs="宋体"/>
          <w:kern w:val="0"/>
          <w:sz w:val="24"/>
        </w:rPr>
      </w:pPr>
      <w:r>
        <w:rPr>
          <w:rFonts w:hint="eastAsia" w:ascii="宋体" w:hAnsi="宋体" w:cs="宋体"/>
          <w:kern w:val="0"/>
          <w:sz w:val="24"/>
        </w:rPr>
        <w:t>合同当事人关于暂列金额使用的约定：</w:t>
      </w:r>
      <w:r>
        <w:rPr>
          <w:rFonts w:hint="eastAsia" w:ascii="宋体" w:hAnsi="宋体" w:cs="宋体"/>
          <w:sz w:val="24"/>
          <w:u w:val="single"/>
        </w:rPr>
        <w:t>暂列金是指发包人为可能发生工程变更而暂列的金额，包括因发包人提供的工程量清单漏项、清单有误引起的工程数量增加和施工过程中设计变更引起新的清单项目或工程数量增加等需要增加的金额，建设单位委托具有建设行政主管部门颁发资质的造价咨询机构审定后，按照审定造价支付暂列金。暂列金是建设单位自行确定设立的，承包商无权使用此笔费用。此费用按实际发生经发包人签证后确定全部使用、部分使用或不使用。暂列金不计入工程款付款的基数</w:t>
      </w:r>
      <w:r>
        <w:rPr>
          <w:rFonts w:hint="eastAsia" w:ascii="宋体" w:hAnsi="宋体" w:cs="宋体"/>
          <w:kern w:val="0"/>
          <w:sz w:val="24"/>
        </w:rPr>
        <w:t>。</w:t>
      </w:r>
    </w:p>
    <w:p>
      <w:pPr>
        <w:pStyle w:val="5"/>
        <w:spacing w:before="120" w:after="120" w:line="360" w:lineRule="auto"/>
        <w:rPr>
          <w:rFonts w:ascii="宋体" w:hAnsi="宋体" w:cs="宋体"/>
          <w:b w:val="0"/>
          <w:bCs w:val="0"/>
          <w:sz w:val="24"/>
          <w:szCs w:val="24"/>
        </w:rPr>
      </w:pPr>
      <w:bookmarkStart w:id="440" w:name="_Toc351203643"/>
      <w:bookmarkStart w:id="441" w:name="_Toc384892063"/>
      <w:bookmarkStart w:id="442" w:name="_Toc384891860"/>
      <w:r>
        <w:rPr>
          <w:rFonts w:hint="eastAsia" w:ascii="宋体" w:hAnsi="宋体" w:cs="宋体"/>
          <w:b w:val="0"/>
          <w:bCs w:val="0"/>
          <w:sz w:val="24"/>
          <w:szCs w:val="24"/>
        </w:rPr>
        <w:t>11. 价格调整</w:t>
      </w:r>
      <w:bookmarkEnd w:id="440"/>
      <w:bookmarkEnd w:id="441"/>
      <w:bookmarkEnd w:id="442"/>
    </w:p>
    <w:p>
      <w:pPr>
        <w:spacing w:after="120" w:line="360" w:lineRule="auto"/>
        <w:ind w:firstLine="480" w:firstLineChars="200"/>
        <w:rPr>
          <w:rFonts w:ascii="宋体" w:hAnsi="宋体" w:cs="宋体"/>
          <w:sz w:val="24"/>
        </w:rPr>
      </w:pPr>
      <w:bookmarkStart w:id="443" w:name="_Toc292559406"/>
      <w:bookmarkStart w:id="444" w:name="_Toc304295577"/>
      <w:bookmarkStart w:id="445" w:name="_Toc296347200"/>
      <w:bookmarkStart w:id="446" w:name="_Toc296944540"/>
      <w:bookmarkStart w:id="447" w:name="_Toc296346702"/>
      <w:bookmarkStart w:id="448" w:name="_Toc296891241"/>
      <w:bookmarkStart w:id="449" w:name="_Toc296891029"/>
      <w:bookmarkStart w:id="450" w:name="_Toc297120501"/>
      <w:bookmarkStart w:id="451" w:name="_Toc297216209"/>
      <w:bookmarkStart w:id="452" w:name="_Toc292559911"/>
      <w:bookmarkStart w:id="453" w:name="_Toc300935000"/>
      <w:bookmarkStart w:id="454" w:name="_Toc297048387"/>
      <w:bookmarkStart w:id="455" w:name="_Toc296503201"/>
      <w:bookmarkStart w:id="456" w:name="_Toc303539157"/>
      <w:bookmarkStart w:id="457" w:name="_Toc297123550"/>
      <w:bookmarkStart w:id="458" w:name="_Toc312678039"/>
      <w:r>
        <w:rPr>
          <w:rFonts w:hint="eastAsia" w:ascii="宋体" w:hAnsi="宋体" w:cs="宋体"/>
          <w:sz w:val="24"/>
        </w:rPr>
        <w:t>11.1 市场价格波动引起的调整</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Pr>
        <w:spacing w:line="360" w:lineRule="auto"/>
        <w:ind w:firstLine="480" w:firstLineChars="200"/>
        <w:jc w:val="left"/>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sz w:val="24"/>
          <w:u w:val="single"/>
        </w:rPr>
        <w:t xml:space="preserve">可调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sz w:val="24"/>
          <w:u w:val="single"/>
        </w:rPr>
        <w:t xml:space="preserve"> 3 </w:t>
      </w:r>
      <w:r>
        <w:rPr>
          <w:rFonts w:hint="eastAsia" w:ascii="宋体" w:hAnsi="宋体" w:cs="宋体"/>
          <w:sz w:val="24"/>
        </w:rPr>
        <w:t>种方式对合同价格进行调整：</w:t>
      </w:r>
    </w:p>
    <w:p>
      <w:pPr>
        <w:spacing w:line="360" w:lineRule="auto"/>
        <w:ind w:firstLine="480" w:firstLineChars="200"/>
        <w:jc w:val="left"/>
        <w:rPr>
          <w:rFonts w:ascii="宋体" w:hAnsi="宋体" w:cs="宋体"/>
          <w:sz w:val="24"/>
        </w:rPr>
      </w:pPr>
      <w:r>
        <w:rPr>
          <w:rFonts w:hint="eastAsia" w:ascii="宋体" w:hAnsi="宋体" w:cs="宋体"/>
          <w:sz w:val="24"/>
        </w:rPr>
        <w:t>第1种方式：采用价格指数进行价格调整。</w:t>
      </w:r>
    </w:p>
    <w:p>
      <w:pPr>
        <w:spacing w:line="360" w:lineRule="auto"/>
        <w:ind w:firstLine="480" w:firstLineChars="200"/>
        <w:jc w:val="left"/>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第2种方式：采用造价信息进行价格调整。</w:t>
      </w:r>
    </w:p>
    <w:p>
      <w:pPr>
        <w:spacing w:line="360" w:lineRule="auto"/>
        <w:ind w:firstLine="480" w:firstLineChars="200"/>
        <w:jc w:val="left"/>
        <w:rPr>
          <w:rFonts w:ascii="宋体" w:hAnsi="宋体" w:cs="宋体"/>
          <w:sz w:val="24"/>
        </w:rPr>
      </w:pPr>
      <w:r>
        <w:rPr>
          <w:rFonts w:hint="eastAsia" w:ascii="宋体" w:hAnsi="宋体" w:cs="宋体"/>
          <w:sz w:val="24"/>
        </w:rPr>
        <w:t>（2）关于基准价格的约定：</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专用合同条款①承包人在已标价工程量清单或预算书中载明的主材（仅限钢筋、水泥、砼砌块三类）单价低于基准价格的：专用合同条款合同履行期间材料单价涨幅以基准价格为基础超过</w:t>
      </w:r>
      <w:r>
        <w:rPr>
          <w:rFonts w:hint="eastAsia" w:ascii="宋体" w:hAnsi="宋体" w:cs="宋体"/>
          <w:sz w:val="24"/>
          <w:u w:val="single"/>
        </w:rPr>
        <w:t xml:space="preserve"> 5</w:t>
      </w:r>
      <w:r>
        <w:rPr>
          <w:rFonts w:hint="eastAsia" w:ascii="宋体" w:hAnsi="宋体" w:cs="宋体"/>
          <w:sz w:val="24"/>
        </w:rPr>
        <w:t>%时，或材料单价跌幅以已标价工程量清单或预算书中载明材料单价为基础超过</w:t>
      </w:r>
      <w:r>
        <w:rPr>
          <w:rFonts w:hint="eastAsia" w:ascii="宋体" w:hAnsi="宋体" w:cs="宋体"/>
          <w:sz w:val="24"/>
          <w:u w:val="single"/>
        </w:rPr>
        <w:t xml:space="preserve"> 5</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②承包人在已标价工程量清单或预算书中载明的主材（仅限钢筋、水泥、砼砌块三类）单价高于基准价格的：专用合同条款合同履行期间材料单价跌幅以基准价格为基础超过</w:t>
      </w:r>
      <w:r>
        <w:rPr>
          <w:rFonts w:hint="eastAsia" w:ascii="宋体" w:hAnsi="宋体" w:cs="宋体"/>
          <w:sz w:val="24"/>
          <w:u w:val="single"/>
        </w:rPr>
        <w:t xml:space="preserve"> 5 </w:t>
      </w:r>
      <w:r>
        <w:rPr>
          <w:rFonts w:hint="eastAsia" w:ascii="宋体" w:hAnsi="宋体" w:cs="宋体"/>
          <w:sz w:val="24"/>
        </w:rPr>
        <w:t>%时，材料单价涨幅以已标价工程量清单或预算书中载明材料单价为基础超过</w:t>
      </w:r>
      <w:r>
        <w:rPr>
          <w:rFonts w:hint="eastAsia" w:ascii="宋体" w:hAnsi="宋体" w:cs="宋体"/>
          <w:sz w:val="24"/>
          <w:u w:val="single"/>
        </w:rPr>
        <w:t xml:space="preserve"> 5</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③承包人在已标价工程量清单或预算书中载明的主材（仅限钢筋、水泥、砼砌块三类）单价等于基准单价的：专用合同条款合同履行期间材料单价涨跌幅以基准单价为基础超过±</w:t>
      </w:r>
      <w:r>
        <w:rPr>
          <w:rFonts w:hint="eastAsia" w:ascii="宋体" w:hAnsi="宋体" w:cs="宋体"/>
          <w:sz w:val="24"/>
          <w:u w:val="single"/>
        </w:rPr>
        <w:t xml:space="preserve"> 5 </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第3种方式：其他价格调整方式：</w:t>
      </w:r>
      <w:r>
        <w:rPr>
          <w:rFonts w:hint="eastAsia" w:ascii="宋体" w:hAnsi="宋体" w:cs="宋体"/>
          <w:sz w:val="24"/>
          <w:u w:val="single"/>
        </w:rPr>
        <w:t xml:space="preserve">/  </w:t>
      </w:r>
    </w:p>
    <w:bookmarkEnd w:id="344"/>
    <w:bookmarkEnd w:id="345"/>
    <w:bookmarkEnd w:id="346"/>
    <w:bookmarkEnd w:id="347"/>
    <w:bookmarkEnd w:id="348"/>
    <w:bookmarkEnd w:id="349"/>
    <w:p>
      <w:pPr>
        <w:pStyle w:val="5"/>
        <w:spacing w:before="120" w:after="120" w:line="360" w:lineRule="auto"/>
        <w:rPr>
          <w:rFonts w:ascii="宋体" w:hAnsi="宋体" w:cs="宋体"/>
          <w:b w:val="0"/>
          <w:bCs w:val="0"/>
          <w:sz w:val="24"/>
          <w:szCs w:val="24"/>
        </w:rPr>
      </w:pPr>
      <w:bookmarkStart w:id="459" w:name="_Toc297048391"/>
      <w:bookmarkStart w:id="460" w:name="_Toc296944544"/>
      <w:bookmarkStart w:id="461" w:name="_Toc296891245"/>
      <w:bookmarkStart w:id="462" w:name="_Toc296503205"/>
      <w:bookmarkStart w:id="463" w:name="_Toc292559410"/>
      <w:bookmarkStart w:id="464" w:name="_Toc296891033"/>
      <w:bookmarkStart w:id="465" w:name="_Toc297120505"/>
      <w:bookmarkStart w:id="466" w:name="_Toc296346706"/>
      <w:bookmarkStart w:id="467" w:name="_Toc292559915"/>
      <w:bookmarkStart w:id="468" w:name="_Toc296347204"/>
      <w:bookmarkStart w:id="469" w:name="_Toc384891861"/>
      <w:bookmarkStart w:id="470" w:name="_Toc384892064"/>
      <w:bookmarkStart w:id="471" w:name="_Toc351203644"/>
      <w:bookmarkStart w:id="472" w:name="_Toc297123552"/>
      <w:bookmarkStart w:id="473" w:name="_Toc300935002"/>
      <w:bookmarkStart w:id="474" w:name="_Toc303539159"/>
      <w:bookmarkStart w:id="475" w:name="_Toc297216211"/>
      <w:bookmarkStart w:id="476" w:name="_Toc304295579"/>
      <w:bookmarkStart w:id="477" w:name="_Toc312678040"/>
      <w:r>
        <w:rPr>
          <w:rFonts w:hint="eastAsia" w:ascii="宋体" w:hAnsi="宋体" w:cs="宋体"/>
          <w:b w:val="0"/>
          <w:bCs w:val="0"/>
          <w:sz w:val="24"/>
          <w:szCs w:val="24"/>
        </w:rPr>
        <w:t xml:space="preserve">12. </w:t>
      </w:r>
      <w:bookmarkEnd w:id="459"/>
      <w:bookmarkEnd w:id="460"/>
      <w:bookmarkEnd w:id="461"/>
      <w:bookmarkEnd w:id="462"/>
      <w:bookmarkEnd w:id="463"/>
      <w:bookmarkEnd w:id="464"/>
      <w:bookmarkEnd w:id="465"/>
      <w:bookmarkEnd w:id="466"/>
      <w:bookmarkEnd w:id="467"/>
      <w:bookmarkEnd w:id="468"/>
      <w:r>
        <w:rPr>
          <w:rFonts w:hint="eastAsia" w:ascii="宋体" w:hAnsi="宋体" w:cs="宋体"/>
          <w:b w:val="0"/>
          <w:bCs w:val="0"/>
          <w:sz w:val="24"/>
          <w:szCs w:val="24"/>
        </w:rPr>
        <w:t>合同价格、计量与支付</w:t>
      </w:r>
      <w:bookmarkEnd w:id="469"/>
      <w:bookmarkEnd w:id="470"/>
      <w:bookmarkEnd w:id="471"/>
    </w:p>
    <w:bookmarkEnd w:id="472"/>
    <w:bookmarkEnd w:id="473"/>
    <w:bookmarkEnd w:id="474"/>
    <w:bookmarkEnd w:id="475"/>
    <w:bookmarkEnd w:id="476"/>
    <w:bookmarkEnd w:id="477"/>
    <w:p>
      <w:pPr>
        <w:spacing w:after="120" w:line="360" w:lineRule="auto"/>
        <w:ind w:firstLine="480" w:firstLineChars="200"/>
        <w:rPr>
          <w:rFonts w:ascii="宋体" w:hAnsi="宋体" w:cs="宋体"/>
          <w:sz w:val="24"/>
        </w:rPr>
      </w:pPr>
      <w:bookmarkStart w:id="478" w:name="_Toc267251461"/>
      <w:bookmarkStart w:id="479" w:name="_Toc292559916"/>
      <w:bookmarkStart w:id="480" w:name="_Toc292559411"/>
      <w:bookmarkStart w:id="481" w:name="_Toc296503206"/>
      <w:bookmarkStart w:id="482" w:name="_Toc297120506"/>
      <w:bookmarkStart w:id="483" w:name="_Toc296346707"/>
      <w:bookmarkStart w:id="484" w:name="_Toc296891246"/>
      <w:bookmarkStart w:id="485" w:name="_Toc296891034"/>
      <w:bookmarkStart w:id="486" w:name="_Toc296347205"/>
      <w:bookmarkStart w:id="487" w:name="_Toc297048392"/>
      <w:bookmarkStart w:id="488" w:name="_Toc296944545"/>
      <w:bookmarkStart w:id="489" w:name="_Toc304295580"/>
      <w:bookmarkStart w:id="490" w:name="_Toc297216212"/>
      <w:bookmarkStart w:id="491" w:name="_Toc303539160"/>
      <w:bookmarkStart w:id="492" w:name="_Toc297123553"/>
      <w:bookmarkStart w:id="493" w:name="_Toc300935003"/>
      <w:bookmarkStart w:id="494" w:name="_Toc312678041"/>
      <w:r>
        <w:rPr>
          <w:rFonts w:hint="eastAsia" w:ascii="宋体" w:hAnsi="宋体" w:cs="宋体"/>
          <w:sz w:val="24"/>
        </w:rPr>
        <w:t>12.1 合</w:t>
      </w:r>
      <w:bookmarkEnd w:id="478"/>
      <w:bookmarkEnd w:id="479"/>
      <w:bookmarkEnd w:id="480"/>
      <w:r>
        <w:rPr>
          <w:rFonts w:hint="eastAsia" w:ascii="宋体" w:hAnsi="宋体" w:cs="宋体"/>
          <w:sz w:val="24"/>
        </w:rPr>
        <w:t>同价</w:t>
      </w:r>
      <w:bookmarkEnd w:id="481"/>
      <w:bookmarkEnd w:id="482"/>
      <w:bookmarkEnd w:id="483"/>
      <w:bookmarkEnd w:id="484"/>
      <w:bookmarkEnd w:id="485"/>
      <w:bookmarkEnd w:id="486"/>
      <w:bookmarkEnd w:id="487"/>
      <w:bookmarkEnd w:id="488"/>
      <w:r>
        <w:rPr>
          <w:rFonts w:hint="eastAsia" w:ascii="宋体" w:hAnsi="宋体" w:cs="宋体"/>
          <w:sz w:val="24"/>
        </w:rPr>
        <w:t>格形式</w:t>
      </w:r>
    </w:p>
    <w:bookmarkEnd w:id="489"/>
    <w:bookmarkEnd w:id="490"/>
    <w:bookmarkEnd w:id="491"/>
    <w:bookmarkEnd w:id="492"/>
    <w:bookmarkEnd w:id="493"/>
    <w:bookmarkEnd w:id="494"/>
    <w:p>
      <w:pPr>
        <w:spacing w:line="360" w:lineRule="auto"/>
        <w:ind w:firstLine="480" w:firstLineChars="200"/>
        <w:jc w:val="left"/>
        <w:rPr>
          <w:rFonts w:ascii="宋体" w:hAnsi="宋体" w:cs="宋体"/>
          <w:sz w:val="24"/>
        </w:rPr>
      </w:pPr>
      <w:r>
        <w:rPr>
          <w:rFonts w:hint="eastAsia" w:ascii="宋体" w:hAnsi="宋体" w:cs="宋体"/>
          <w:sz w:val="24"/>
        </w:rPr>
        <w:t>1、单价合同。</w:t>
      </w:r>
    </w:p>
    <w:p>
      <w:pPr>
        <w:spacing w:line="360" w:lineRule="auto"/>
        <w:ind w:firstLine="480" w:firstLineChars="200"/>
        <w:jc w:val="left"/>
        <w:rPr>
          <w:rFonts w:ascii="宋体" w:hAnsi="宋体" w:cs="宋体"/>
          <w:sz w:val="24"/>
        </w:rPr>
      </w:pPr>
      <w:r>
        <w:rPr>
          <w:rFonts w:hint="eastAsia" w:ascii="宋体" w:hAnsi="宋体" w:cs="宋体"/>
          <w:sz w:val="24"/>
        </w:rPr>
        <w:t>综合单价包含的风险范围：</w:t>
      </w:r>
      <w:r>
        <w:rPr>
          <w:rFonts w:hint="eastAsia" w:ascii="宋体" w:hAnsi="宋体" w:cs="宋体"/>
          <w:sz w:val="24"/>
          <w:u w:val="single"/>
        </w:rPr>
        <w:t>除项目变更、基础超深、政策性调整及主材涨幅超过±5%外的</w:t>
      </w:r>
      <w:r>
        <w:rPr>
          <w:rFonts w:hint="eastAsia" w:ascii="宋体" w:hAnsi="宋体" w:cs="宋体"/>
          <w:kern w:val="0"/>
          <w:sz w:val="24"/>
          <w:u w:val="single"/>
        </w:rPr>
        <w:t>材料价格变动。</w:t>
      </w:r>
    </w:p>
    <w:p>
      <w:pPr>
        <w:spacing w:line="360" w:lineRule="auto"/>
        <w:ind w:firstLine="480" w:firstLineChars="200"/>
        <w:jc w:val="left"/>
        <w:rPr>
          <w:rFonts w:ascii="宋体" w:hAnsi="宋体" w:cs="宋体"/>
          <w:sz w:val="24"/>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风险范围以外合同价格的调整方法：（1）</w:t>
      </w:r>
      <w:r>
        <w:rPr>
          <w:rFonts w:hint="eastAsia" w:ascii="宋体" w:hAnsi="宋体" w:cs="宋体"/>
          <w:sz w:val="24"/>
          <w:u w:val="single"/>
        </w:rPr>
        <w:t>由于设计变更引起工程项目、工程数量出现变化的，变更部分工程量价款按如下方式确定：</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①、原成交工程量清单中有相同项目的按承包人投标时的成交综合单价进行结算。</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②、如无相同项目，但成交工程量清单中有类似项目的参考类似项目成交单价结算。</w:t>
      </w:r>
    </w:p>
    <w:p>
      <w:pPr>
        <w:spacing w:line="400" w:lineRule="exact"/>
        <w:ind w:firstLine="472" w:firstLineChars="200"/>
        <w:rPr>
          <w:rFonts w:ascii="宋体" w:hAnsi="宋体" w:cs="宋体"/>
          <w:spacing w:val="-2"/>
          <w:kern w:val="0"/>
          <w:sz w:val="24"/>
          <w:u w:val="single"/>
        </w:rPr>
      </w:pPr>
      <w:r>
        <w:rPr>
          <w:rFonts w:hint="eastAsia" w:ascii="宋体" w:hAnsi="宋体" w:cs="宋体"/>
          <w:spacing w:val="-2"/>
          <w:kern w:val="0"/>
          <w:sz w:val="24"/>
          <w:u w:val="single"/>
        </w:rPr>
        <w:t>③、无类似细目的新增项目有定额的套定额计算后乘以成交下浮系数进行结算（成交下浮系数=成交价/招标控制价），定额套用及计算如下：</w:t>
      </w:r>
    </w:p>
    <w:p>
      <w:pPr>
        <w:spacing w:line="400" w:lineRule="exact"/>
        <w:ind w:firstLine="480" w:firstLineChars="200"/>
        <w:rPr>
          <w:rFonts w:hint="eastAsia" w:ascii="宋体" w:hAnsi="宋体" w:cs="宋体"/>
          <w:color w:val="FF0000"/>
          <w:sz w:val="24"/>
        </w:rPr>
      </w:pPr>
      <w:r>
        <w:rPr>
          <w:rFonts w:hint="eastAsia" w:ascii="宋体" w:hAnsi="宋体" w:cs="宋体"/>
          <w:sz w:val="24"/>
        </w:rPr>
        <w:t>1.1、</w:t>
      </w:r>
      <w:r>
        <w:rPr>
          <w:rFonts w:hint="eastAsia" w:ascii="宋体" w:hAnsi="宋体" w:cs="宋体"/>
          <w:color w:val="FF0000"/>
          <w:sz w:val="24"/>
        </w:rPr>
        <w:t>(</w:t>
      </w:r>
      <w:r>
        <w:rPr>
          <w:rFonts w:hint="eastAsia" w:ascii="宋体" w:hAnsi="宋体" w:cs="宋体"/>
          <w:color w:val="FF0000"/>
          <w:sz w:val="24"/>
          <w:lang w:val="en-US" w:eastAsia="zh-CN"/>
        </w:rPr>
        <w:t>1</w:t>
      </w:r>
      <w:r>
        <w:rPr>
          <w:rFonts w:hint="eastAsia" w:ascii="宋体" w:hAnsi="宋体" w:cs="宋体"/>
          <w:color w:val="FF0000"/>
          <w:sz w:val="24"/>
        </w:rPr>
        <w:t>)施工设计图及相关的标准、规范、技术资料；</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)《建设工程工程量清单计价规范》（GB50500-2013）、《建设工程工程量清单计算规范》（GB 50584~50862-2013）；</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3</w:t>
      </w:r>
      <w:r>
        <w:rPr>
          <w:rFonts w:hint="eastAsia" w:ascii="宋体" w:hAnsi="宋体" w:cs="宋体"/>
          <w:color w:val="FF0000"/>
          <w:sz w:val="24"/>
        </w:rPr>
        <w:t>)《建设工程工程量清单计价规范》（GB50500-2013）广西壮族自治区实施细则、《建设工程工程量清单计算规范》（GB 50584~50862-2013）广西壮族自治区实施细则（修订本）；</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4</w:t>
      </w:r>
      <w:r>
        <w:rPr>
          <w:rFonts w:hint="eastAsia" w:ascii="宋体" w:hAnsi="宋体" w:cs="宋体"/>
          <w:color w:val="FF0000"/>
          <w:sz w:val="24"/>
        </w:rPr>
        <w:t>)2015年《广西壮族自治区安装工程消耗量定额》、2014年《广西壮族自治区市政工程消耗量定额》、2013年《广西壮族自治区园林绿化工程消耗量定额》及2013年《广西壮族自治区安装拆除工程消耗量定额》配套使用的费用定额；</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5</w:t>
      </w:r>
      <w:r>
        <w:rPr>
          <w:rFonts w:hint="eastAsia" w:ascii="宋体" w:hAnsi="宋体" w:cs="宋体"/>
          <w:color w:val="FF0000"/>
          <w:sz w:val="24"/>
        </w:rPr>
        <w:t>)《广西壮族自治区住房城乡建设厅关于调整建设工程定额人工费及有关费率的通知》桂建标[2023]7号；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6</w:t>
      </w:r>
      <w:r>
        <w:rPr>
          <w:rFonts w:hint="eastAsia" w:ascii="宋体" w:hAnsi="宋体" w:cs="宋体"/>
          <w:color w:val="FF0000"/>
          <w:sz w:val="24"/>
        </w:rPr>
        <w:t>)桂建标[2016]17号文《关于建筑业实施营业税改征增值税后广西壮族自治区建设工程计价依据调整的通知》；</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7</w:t>
      </w:r>
      <w:r>
        <w:rPr>
          <w:rFonts w:hint="eastAsia" w:ascii="宋体" w:hAnsi="宋体" w:cs="宋体"/>
          <w:color w:val="FF0000"/>
          <w:sz w:val="24"/>
        </w:rPr>
        <w:t>)广西住建厅《关于调整建设工程计价增值税税率的通知》桂建标（2019）12号；</w:t>
      </w:r>
    </w:p>
    <w:p>
      <w:pPr>
        <w:spacing w:line="400" w:lineRule="exact"/>
        <w:ind w:firstLine="480" w:firstLineChars="200"/>
        <w:rPr>
          <w:rFonts w:ascii="宋体" w:hAnsi="宋体" w:cs="宋体"/>
          <w:sz w:val="24"/>
          <w:u w:val="single"/>
        </w:rPr>
      </w:pPr>
      <w:r>
        <w:rPr>
          <w:rFonts w:hint="eastAsia" w:ascii="宋体" w:hAnsi="宋体" w:cs="宋体"/>
          <w:color w:val="FF0000"/>
          <w:sz w:val="24"/>
        </w:rPr>
        <w:t>(</w:t>
      </w:r>
      <w:r>
        <w:rPr>
          <w:rFonts w:hint="eastAsia" w:ascii="宋体" w:hAnsi="宋体" w:cs="宋体"/>
          <w:color w:val="FF0000"/>
          <w:sz w:val="24"/>
          <w:lang w:val="en-US" w:eastAsia="zh-CN"/>
        </w:rPr>
        <w:t>8</w:t>
      </w:r>
      <w:r>
        <w:rPr>
          <w:rFonts w:hint="eastAsia" w:ascii="宋体" w:hAnsi="宋体" w:cs="宋体"/>
          <w:color w:val="FF0000"/>
          <w:sz w:val="24"/>
        </w:rPr>
        <w:t>)材料单价按照《百色市建设工程造价信息》2023年第11期百色市信息公布价价格，无价格公布的参照同期邻近县信息价及市场询价；</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④、新增项目无定额可套的，由发包人、承包人、监理单位三方根据市场价格协商签证，以审计部门审计结果为准；新增项目的单价必须经财政、审计部门审定。</w:t>
      </w:r>
    </w:p>
    <w:p>
      <w:pPr>
        <w:spacing w:line="360" w:lineRule="auto"/>
        <w:ind w:left="420" w:leftChars="200"/>
        <w:rPr>
          <w:rFonts w:ascii="宋体" w:hAnsi="宋体" w:cs="宋体"/>
          <w:spacing w:val="-2"/>
          <w:kern w:val="0"/>
          <w:sz w:val="24"/>
          <w:u w:val="single"/>
        </w:rPr>
      </w:pPr>
      <w:r>
        <w:rPr>
          <w:rFonts w:hint="eastAsia" w:ascii="宋体" w:hAnsi="宋体" w:cs="宋体"/>
          <w:sz w:val="24"/>
          <w:u w:val="single"/>
        </w:rPr>
        <w:t>（2）国家和自治区政策性调整有关费用标准的，按文件规定执行。</w:t>
      </w:r>
    </w:p>
    <w:p>
      <w:pPr>
        <w:spacing w:line="360" w:lineRule="auto"/>
        <w:ind w:left="420" w:leftChars="200"/>
        <w:rPr>
          <w:rFonts w:ascii="宋体" w:hAnsi="宋体" w:cs="宋体"/>
          <w:spacing w:val="-2"/>
          <w:kern w:val="0"/>
          <w:sz w:val="24"/>
          <w:u w:val="single"/>
        </w:rPr>
      </w:pPr>
      <w:r>
        <w:rPr>
          <w:rFonts w:hint="eastAsia" w:ascii="宋体" w:hAnsi="宋体" w:cs="宋体"/>
          <w:sz w:val="24"/>
          <w:u w:val="single"/>
        </w:rPr>
        <w:t>（3）本工程最终结算以审计部门审定为准。</w:t>
      </w:r>
    </w:p>
    <w:p>
      <w:pPr>
        <w:spacing w:line="360" w:lineRule="auto"/>
        <w:ind w:firstLine="480" w:firstLineChars="200"/>
        <w:jc w:val="left"/>
        <w:rPr>
          <w:rFonts w:ascii="宋体" w:hAnsi="宋体" w:cs="宋体"/>
          <w:sz w:val="24"/>
        </w:rPr>
      </w:pPr>
      <w:r>
        <w:rPr>
          <w:rFonts w:hint="eastAsia" w:ascii="宋体" w:hAnsi="宋体" w:cs="宋体"/>
          <w:sz w:val="24"/>
        </w:rPr>
        <w:t>2、总价合同。</w:t>
      </w:r>
    </w:p>
    <w:p>
      <w:pPr>
        <w:spacing w:line="360" w:lineRule="auto"/>
        <w:ind w:firstLine="480" w:firstLineChars="200"/>
        <w:jc w:val="left"/>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风险费用的计算方法：</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bookmarkStart w:id="495" w:name="_Toc300935004"/>
      <w:bookmarkStart w:id="496" w:name="_Toc312678042"/>
      <w:bookmarkStart w:id="497" w:name="_Toc303539161"/>
      <w:bookmarkStart w:id="498" w:name="_Toc297216213"/>
      <w:bookmarkStart w:id="499" w:name="_Toc304295581"/>
      <w:bookmarkStart w:id="500" w:name="_Toc297123554"/>
      <w:bookmarkStart w:id="501" w:name="_Toc297048393"/>
      <w:bookmarkStart w:id="502" w:name="_Toc292559917"/>
      <w:bookmarkStart w:id="503" w:name="_Toc296503207"/>
      <w:bookmarkStart w:id="504" w:name="_Toc297120507"/>
      <w:bookmarkStart w:id="505" w:name="_Toc296346708"/>
      <w:bookmarkStart w:id="506" w:name="_Toc296891247"/>
      <w:bookmarkStart w:id="507" w:name="_Toc296944546"/>
      <w:bookmarkStart w:id="508" w:name="_Toc296891035"/>
      <w:bookmarkStart w:id="509" w:name="_Toc292559412"/>
      <w:bookmarkStart w:id="510" w:name="_Toc296347206"/>
      <w:r>
        <w:rPr>
          <w:rFonts w:hint="eastAsia" w:ascii="宋体" w:hAnsi="宋体" w:cs="宋体"/>
          <w:sz w:val="24"/>
        </w:rPr>
        <w:t>12.2 预付款</w:t>
      </w:r>
    </w:p>
    <w:bookmarkEnd w:id="495"/>
    <w:bookmarkEnd w:id="496"/>
    <w:bookmarkEnd w:id="497"/>
    <w:bookmarkEnd w:id="498"/>
    <w:bookmarkEnd w:id="499"/>
    <w:bookmarkEnd w:id="500"/>
    <w:p>
      <w:pPr>
        <w:spacing w:line="360" w:lineRule="auto"/>
        <w:ind w:firstLine="480" w:firstLineChars="200"/>
        <w:jc w:val="left"/>
        <w:rPr>
          <w:rFonts w:ascii="宋体" w:hAnsi="宋体" w:cs="宋体"/>
          <w:sz w:val="24"/>
        </w:rPr>
      </w:pPr>
      <w:r>
        <w:rPr>
          <w:rFonts w:hint="eastAsia" w:ascii="宋体" w:hAnsi="宋体" w:cs="宋体"/>
          <w:sz w:val="24"/>
        </w:rPr>
        <w:t>12.2.1 预付款的支付</w:t>
      </w:r>
    </w:p>
    <w:p>
      <w:pPr>
        <w:spacing w:line="360" w:lineRule="auto"/>
        <w:ind w:firstLine="480" w:firstLineChars="200"/>
        <w:jc w:val="left"/>
        <w:rPr>
          <w:rFonts w:ascii="宋体" w:hAnsi="宋体" w:cs="宋体"/>
          <w:color w:val="FF0000"/>
          <w:sz w:val="24"/>
        </w:rPr>
      </w:pPr>
      <w:r>
        <w:rPr>
          <w:rFonts w:hint="eastAsia" w:ascii="宋体" w:hAnsi="宋体" w:cs="宋体"/>
          <w:sz w:val="24"/>
        </w:rPr>
        <w:t>预付款支付比例或金额：</w:t>
      </w:r>
      <w:r>
        <w:rPr>
          <w:rFonts w:hint="eastAsia" w:ascii="宋体" w:hAnsi="宋体" w:cs="宋体"/>
          <w:color w:val="FF0000"/>
          <w:sz w:val="24"/>
          <w:u w:val="single"/>
        </w:rPr>
        <w:t>合同总价的</w:t>
      </w:r>
      <w:r>
        <w:rPr>
          <w:rFonts w:hint="eastAsia" w:ascii="宋体" w:hAnsi="宋体" w:cs="宋体"/>
          <w:color w:val="FF0000"/>
          <w:sz w:val="24"/>
          <w:u w:val="single"/>
          <w:lang w:val="en-US" w:eastAsia="zh-CN"/>
        </w:rPr>
        <w:t>3</w:t>
      </w:r>
      <w:r>
        <w:rPr>
          <w:rFonts w:hint="eastAsia" w:ascii="宋体" w:hAnsi="宋体" w:cs="宋体"/>
          <w:color w:val="FF0000"/>
          <w:sz w:val="24"/>
          <w:u w:val="single"/>
        </w:rPr>
        <w:t>0%</w:t>
      </w:r>
      <w:r>
        <w:rPr>
          <w:rFonts w:hint="eastAsia" w:ascii="宋体" w:hAnsi="宋体" w:cs="宋体"/>
          <w:color w:val="FF0000"/>
          <w:sz w:val="24"/>
        </w:rPr>
        <w:t>。</w:t>
      </w:r>
    </w:p>
    <w:p>
      <w:pPr>
        <w:spacing w:line="360" w:lineRule="auto"/>
        <w:ind w:firstLine="480" w:firstLineChars="200"/>
        <w:jc w:val="left"/>
        <w:rPr>
          <w:rFonts w:ascii="宋体" w:hAnsi="宋体" w:cs="宋体"/>
          <w:sz w:val="24"/>
        </w:rPr>
      </w:pPr>
      <w:r>
        <w:rPr>
          <w:rFonts w:hint="eastAsia" w:ascii="宋体" w:hAnsi="宋体" w:cs="宋体"/>
          <w:color w:val="FF0000"/>
          <w:sz w:val="24"/>
        </w:rPr>
        <w:t>预付款支付期限：</w:t>
      </w:r>
      <w:r>
        <w:rPr>
          <w:rFonts w:hint="eastAsia" w:ascii="宋体" w:hAnsi="宋体" w:cs="宋体"/>
          <w:color w:val="FF0000"/>
          <w:sz w:val="24"/>
          <w:u w:val="single"/>
          <w:lang w:val="en-US" w:eastAsia="zh-CN"/>
        </w:rPr>
        <w:t xml:space="preserve"> /  </w:t>
      </w:r>
      <w:r>
        <w:rPr>
          <w:rFonts w:hint="eastAsia" w:ascii="宋体" w:hAnsi="宋体" w:cs="宋体"/>
          <w:color w:val="FF0000"/>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预付款扣回的方式：</w:t>
      </w:r>
      <w:r>
        <w:rPr>
          <w:rFonts w:hint="eastAsia" w:ascii="宋体" w:hAnsi="宋体" w:cs="宋体"/>
          <w:sz w:val="24"/>
          <w:u w:val="single"/>
          <w:lang w:val="en-US" w:eastAsia="zh-CN"/>
        </w:rPr>
        <w:t xml:space="preserve"> / </w:t>
      </w:r>
      <w:r>
        <w:rPr>
          <w:rFonts w:hint="eastAsia" w:ascii="宋体" w:hAnsi="宋体" w:cs="宋体"/>
          <w:sz w:val="24"/>
          <w:lang w:val="en-US" w:eastAsia="zh-CN"/>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12.2.2 预付款担保</w:t>
      </w:r>
    </w:p>
    <w:p>
      <w:pPr>
        <w:spacing w:line="360" w:lineRule="auto"/>
        <w:ind w:firstLine="480" w:firstLineChars="200"/>
        <w:jc w:val="left"/>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lang w:val="en-US" w:eastAsia="zh-CN"/>
        </w:rPr>
        <w:t xml:space="preserve">   /  </w:t>
      </w:r>
      <w:r>
        <w:rPr>
          <w:rFonts w:hint="eastAsia" w:ascii="宋体" w:hAnsi="宋体" w:cs="宋体"/>
          <w:sz w:val="24"/>
          <w:lang w:val="en-US" w:eastAsia="zh-CN"/>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lang w:val="en-US" w:eastAsia="zh-CN"/>
        </w:rPr>
        <w:t xml:space="preserve">  /  </w:t>
      </w:r>
      <w:r>
        <w:rPr>
          <w:rFonts w:hint="eastAsia" w:ascii="宋体" w:hAnsi="宋体" w:cs="宋体"/>
          <w:sz w:val="24"/>
        </w:rPr>
        <w:t>。</w:t>
      </w:r>
    </w:p>
    <w:bookmarkEnd w:id="501"/>
    <w:bookmarkEnd w:id="502"/>
    <w:bookmarkEnd w:id="503"/>
    <w:bookmarkEnd w:id="504"/>
    <w:bookmarkEnd w:id="505"/>
    <w:bookmarkEnd w:id="506"/>
    <w:bookmarkEnd w:id="507"/>
    <w:bookmarkEnd w:id="508"/>
    <w:bookmarkEnd w:id="509"/>
    <w:bookmarkEnd w:id="510"/>
    <w:p>
      <w:pPr>
        <w:spacing w:after="120" w:line="360" w:lineRule="auto"/>
        <w:ind w:firstLine="480" w:firstLineChars="200"/>
        <w:rPr>
          <w:rFonts w:ascii="宋体" w:hAnsi="宋体" w:cs="宋体"/>
          <w:sz w:val="24"/>
        </w:rPr>
      </w:pPr>
      <w:r>
        <w:rPr>
          <w:rFonts w:hint="eastAsia" w:ascii="宋体" w:hAnsi="宋体" w:cs="宋体"/>
          <w:sz w:val="24"/>
        </w:rPr>
        <w:t>12.3 计量</w:t>
      </w:r>
    </w:p>
    <w:p>
      <w:pPr>
        <w:spacing w:line="360" w:lineRule="auto"/>
        <w:ind w:firstLine="480" w:firstLineChars="200"/>
        <w:jc w:val="left"/>
        <w:rPr>
          <w:rFonts w:ascii="宋体" w:hAnsi="宋体" w:cs="宋体"/>
          <w:sz w:val="24"/>
        </w:rPr>
      </w:pPr>
      <w:r>
        <w:rPr>
          <w:rFonts w:hint="eastAsia" w:ascii="宋体" w:hAnsi="宋体" w:cs="宋体"/>
          <w:sz w:val="24"/>
        </w:rPr>
        <w:t>12.3.1 计量原则</w:t>
      </w:r>
    </w:p>
    <w:p>
      <w:pPr>
        <w:spacing w:line="360" w:lineRule="auto"/>
        <w:ind w:firstLine="480" w:firstLineChars="200"/>
        <w:jc w:val="left"/>
        <w:rPr>
          <w:rFonts w:ascii="宋体" w:hAnsi="宋体" w:cs="宋体"/>
          <w:sz w:val="24"/>
        </w:rPr>
      </w:pPr>
      <w:r>
        <w:rPr>
          <w:rFonts w:hint="eastAsia" w:ascii="宋体" w:hAnsi="宋体" w:cs="宋体"/>
          <w:sz w:val="24"/>
        </w:rPr>
        <w:t>工程量计算规则：</w:t>
      </w:r>
      <w:r>
        <w:rPr>
          <w:rFonts w:hint="eastAsia" w:ascii="宋体" w:hAnsi="宋体" w:cs="宋体"/>
          <w:kern w:val="0"/>
          <w:sz w:val="24"/>
          <w:u w:val="single"/>
        </w:rPr>
        <w:t>依据图纸、批准的施工组织设计、签证及变更等，</w:t>
      </w:r>
      <w:r>
        <w:rPr>
          <w:rFonts w:hint="eastAsia" w:ascii="宋体" w:hAnsi="宋体" w:cs="宋体"/>
          <w:sz w:val="24"/>
          <w:u w:val="single"/>
        </w:rPr>
        <w:t xml:space="preserve">按照现行清单计价规范和广西壮族自治区消耗量定额的规定计算。 </w:t>
      </w:r>
    </w:p>
    <w:p>
      <w:pPr>
        <w:spacing w:line="360" w:lineRule="auto"/>
        <w:ind w:firstLine="480" w:firstLineChars="200"/>
        <w:jc w:val="left"/>
        <w:rPr>
          <w:rFonts w:ascii="宋体" w:hAnsi="宋体" w:cs="宋体"/>
          <w:sz w:val="24"/>
        </w:rPr>
      </w:pPr>
      <w:r>
        <w:rPr>
          <w:rFonts w:hint="eastAsia" w:ascii="宋体" w:hAnsi="宋体" w:cs="宋体"/>
          <w:sz w:val="24"/>
        </w:rPr>
        <w:t>12.3.2 计量周期</w:t>
      </w:r>
    </w:p>
    <w:p>
      <w:pPr>
        <w:spacing w:line="360" w:lineRule="auto"/>
        <w:ind w:firstLine="480" w:firstLineChars="200"/>
        <w:jc w:val="left"/>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按月进行计量</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12.3.3 单价合同的计量</w:t>
      </w:r>
    </w:p>
    <w:p>
      <w:pPr>
        <w:spacing w:line="360" w:lineRule="auto"/>
        <w:ind w:firstLine="480" w:firstLineChars="200"/>
        <w:jc w:val="left"/>
        <w:rPr>
          <w:rFonts w:ascii="宋体" w:hAnsi="宋体" w:cs="宋体"/>
          <w:sz w:val="24"/>
        </w:rPr>
      </w:pPr>
      <w:r>
        <w:rPr>
          <w:rFonts w:hint="eastAsia" w:ascii="宋体" w:hAnsi="宋体" w:cs="宋体"/>
          <w:sz w:val="24"/>
        </w:rPr>
        <w:t>关于单价合同计量的约定：</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12.3.4 总价合同的计量</w:t>
      </w:r>
    </w:p>
    <w:p>
      <w:pPr>
        <w:spacing w:line="360" w:lineRule="auto"/>
        <w:ind w:firstLine="480" w:firstLineChars="200"/>
        <w:jc w:val="left"/>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12.3.6 其他价格形式合同的计量</w:t>
      </w:r>
    </w:p>
    <w:p>
      <w:pPr>
        <w:spacing w:line="360" w:lineRule="auto"/>
        <w:ind w:firstLine="480" w:firstLineChars="200"/>
        <w:jc w:val="left"/>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协商解决</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12.4 工程进度款支付</w:t>
      </w:r>
    </w:p>
    <w:p>
      <w:pPr>
        <w:spacing w:line="360" w:lineRule="auto"/>
        <w:ind w:firstLine="480" w:firstLineChars="200"/>
        <w:jc w:val="left"/>
        <w:rPr>
          <w:rFonts w:ascii="宋体" w:hAnsi="宋体" w:cs="宋体"/>
          <w:sz w:val="24"/>
        </w:rPr>
      </w:pPr>
      <w:bookmarkStart w:id="511" w:name="_Toc300935006"/>
      <w:bookmarkStart w:id="512" w:name="_Toc296347210"/>
      <w:bookmarkStart w:id="513" w:name="_Toc297216215"/>
      <w:bookmarkStart w:id="514" w:name="_Toc297123556"/>
      <w:bookmarkStart w:id="515" w:name="_Toc303539163"/>
      <w:bookmarkStart w:id="516" w:name="_Toc296346712"/>
      <w:bookmarkStart w:id="517" w:name="_Toc296503211"/>
      <w:bookmarkStart w:id="518" w:name="_Toc297120511"/>
      <w:bookmarkStart w:id="519" w:name="_Toc297048397"/>
      <w:bookmarkStart w:id="520" w:name="_Toc292559921"/>
      <w:bookmarkStart w:id="521" w:name="_Toc292559416"/>
      <w:bookmarkStart w:id="522" w:name="_Toc296891251"/>
      <w:bookmarkStart w:id="523" w:name="_Toc296891039"/>
      <w:bookmarkStart w:id="524" w:name="_Toc296944550"/>
      <w:r>
        <w:rPr>
          <w:rFonts w:hint="eastAsia" w:ascii="宋体" w:hAnsi="宋体" w:cs="宋体"/>
          <w:sz w:val="24"/>
        </w:rPr>
        <w:t>12.4.1 付款周期</w:t>
      </w:r>
    </w:p>
    <w:p>
      <w:pPr>
        <w:spacing w:line="360" w:lineRule="auto"/>
        <w:ind w:firstLine="480" w:firstLineChars="200"/>
        <w:jc w:val="left"/>
        <w:rPr>
          <w:rFonts w:ascii="宋体" w:hAnsi="宋体" w:cs="宋体"/>
          <w:sz w:val="24"/>
        </w:rPr>
      </w:pPr>
      <w:r>
        <w:rPr>
          <w:rFonts w:hint="eastAsia" w:ascii="宋体" w:hAnsi="宋体" w:cs="宋体"/>
          <w:sz w:val="24"/>
        </w:rPr>
        <w:t>关于付款周期的约定：</w:t>
      </w:r>
      <w:r>
        <w:rPr>
          <w:rFonts w:hint="eastAsia" w:ascii="宋体" w:hAnsi="宋体" w:cs="宋体"/>
          <w:sz w:val="24"/>
          <w:u w:val="single"/>
        </w:rPr>
        <w:t xml:space="preserve"> 按通用合同执行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12.4.2 进度付款申请单的编制</w:t>
      </w:r>
    </w:p>
    <w:p>
      <w:pPr>
        <w:spacing w:line="360" w:lineRule="auto"/>
        <w:jc w:val="left"/>
        <w:rPr>
          <w:rFonts w:ascii="宋体" w:hAnsi="宋体" w:cs="宋体"/>
          <w:sz w:val="24"/>
        </w:rPr>
      </w:pPr>
      <w:r>
        <w:rPr>
          <w:rFonts w:hint="eastAsia" w:ascii="宋体" w:hAnsi="宋体" w:cs="宋体"/>
          <w:sz w:val="24"/>
        </w:rPr>
        <w:t>关于进度付款申请单编制的约定：</w:t>
      </w:r>
      <w:r>
        <w:rPr>
          <w:rFonts w:hint="eastAsia" w:ascii="宋体" w:hAnsi="宋体" w:cs="宋体"/>
          <w:sz w:val="24"/>
          <w:u w:val="single"/>
        </w:rPr>
        <w:t>按照专用条款12.4.2条</w:t>
      </w:r>
      <w:r>
        <w:rPr>
          <w:rFonts w:hint="eastAsia" w:ascii="宋体" w:hAnsi="宋体" w:cs="宋体"/>
          <w:sz w:val="24"/>
        </w:rPr>
        <w:t>。</w:t>
      </w:r>
    </w:p>
    <w:p>
      <w:pPr>
        <w:spacing w:line="400" w:lineRule="exact"/>
        <w:ind w:firstLine="480" w:firstLineChars="200"/>
        <w:jc w:val="left"/>
        <w:rPr>
          <w:rFonts w:ascii="宋体" w:hAnsi="宋体" w:cs="宋体"/>
          <w:sz w:val="24"/>
        </w:rPr>
      </w:pPr>
      <w:r>
        <w:rPr>
          <w:rFonts w:hint="eastAsia" w:ascii="宋体" w:hAnsi="宋体" w:cs="宋体"/>
          <w:sz w:val="24"/>
        </w:rPr>
        <w:t>1</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hint="eastAsia" w:ascii="宋体" w:hAnsi="宋体" w:cs="宋体"/>
          <w:sz w:val="24"/>
        </w:rPr>
        <w:t>2.4.3 进度付款申请单的提交</w:t>
      </w:r>
    </w:p>
    <w:p>
      <w:pPr>
        <w:spacing w:line="400" w:lineRule="exact"/>
        <w:ind w:firstLine="480" w:firstLineChars="200"/>
        <w:jc w:val="left"/>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按月提交</w:t>
      </w:r>
      <w:r>
        <w:rPr>
          <w:rFonts w:hint="eastAsia" w:ascii="宋体" w:hAnsi="宋体" w:cs="宋体"/>
          <w:sz w:val="24"/>
        </w:rPr>
        <w:t>。</w:t>
      </w:r>
    </w:p>
    <w:p>
      <w:pPr>
        <w:spacing w:line="400" w:lineRule="exact"/>
        <w:ind w:firstLine="480" w:firstLineChars="200"/>
        <w:jc w:val="left"/>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w:t>
      </w:r>
      <w:r>
        <w:rPr>
          <w:rFonts w:hint="eastAsia" w:ascii="宋体" w:hAnsi="宋体" w:cs="宋体"/>
          <w:sz w:val="24"/>
        </w:rPr>
        <w:t>。</w:t>
      </w:r>
    </w:p>
    <w:p>
      <w:pPr>
        <w:spacing w:line="400" w:lineRule="exact"/>
        <w:ind w:firstLine="480" w:firstLineChars="200"/>
        <w:jc w:val="left"/>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每月完成的工程量计量报表在月底的最后一天报给发包人。  </w:t>
      </w:r>
    </w:p>
    <w:p>
      <w:pPr>
        <w:spacing w:line="400" w:lineRule="exact"/>
        <w:ind w:firstLine="480" w:firstLineChars="200"/>
        <w:jc w:val="left"/>
        <w:rPr>
          <w:rFonts w:ascii="宋体" w:hAnsi="宋体" w:cs="宋体"/>
          <w:sz w:val="24"/>
        </w:rPr>
      </w:pPr>
      <w:r>
        <w:rPr>
          <w:rFonts w:hint="eastAsia" w:ascii="宋体" w:hAnsi="宋体" w:cs="宋体"/>
          <w:sz w:val="24"/>
        </w:rPr>
        <w:t>12.4.4 进度款审核和支付</w:t>
      </w:r>
    </w:p>
    <w:p>
      <w:pPr>
        <w:spacing w:line="400" w:lineRule="exact"/>
        <w:ind w:firstLine="480" w:firstLineChars="200"/>
        <w:jc w:val="left"/>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 xml:space="preserve">/  </w:t>
      </w:r>
      <w:r>
        <w:rPr>
          <w:rFonts w:hint="eastAsia" w:ascii="宋体" w:hAnsi="宋体" w:cs="宋体"/>
          <w:sz w:val="24"/>
        </w:rPr>
        <w:t>。</w:t>
      </w:r>
    </w:p>
    <w:p>
      <w:pPr>
        <w:spacing w:line="400" w:lineRule="exact"/>
        <w:ind w:firstLine="720" w:firstLineChars="300"/>
        <w:jc w:val="left"/>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lang w:val="en-US" w:eastAsia="zh-CN"/>
        </w:rPr>
        <w:t>七</w:t>
      </w:r>
      <w:r>
        <w:rPr>
          <w:rFonts w:hint="eastAsia" w:ascii="宋体" w:hAnsi="宋体" w:cs="宋体"/>
          <w:sz w:val="24"/>
          <w:u w:val="single"/>
        </w:rPr>
        <w:t>个有效工作日内，逾期视为认可。</w:t>
      </w:r>
      <w:r>
        <w:rPr>
          <w:rFonts w:hint="eastAsia" w:ascii="宋体" w:hAnsi="宋体" w:cs="宋体"/>
          <w:sz w:val="24"/>
        </w:rPr>
        <w:t>。</w:t>
      </w:r>
    </w:p>
    <w:p>
      <w:pPr>
        <w:pStyle w:val="23"/>
        <w:spacing w:line="400" w:lineRule="exact"/>
        <w:ind w:firstLine="470" w:firstLineChars="196"/>
        <w:rPr>
          <w:rFonts w:hAnsi="宋体" w:cs="宋体"/>
          <w:b w:val="0"/>
          <w:bCs/>
          <w:color w:val="FF0000"/>
          <w:sz w:val="24"/>
        </w:rPr>
      </w:pPr>
      <w:r>
        <w:rPr>
          <w:rFonts w:hint="eastAsia" w:hAnsi="宋体" w:cs="宋体"/>
          <w:color w:val="FF0000"/>
          <w:sz w:val="24"/>
        </w:rPr>
        <w:t>（2）发包人支付进度款的期限：</w:t>
      </w:r>
      <w:r>
        <w:rPr>
          <w:rFonts w:hint="eastAsia" w:ascii="宋体" w:hAnsi="宋体"/>
          <w:b w:val="0"/>
          <w:bCs/>
          <w:color w:val="FF0000"/>
          <w:sz w:val="24"/>
          <w:szCs w:val="24"/>
          <w:u w:val="single"/>
        </w:rPr>
        <w:t>甲乙双方签订合同且乙方进场</w:t>
      </w:r>
      <w:r>
        <w:rPr>
          <w:rFonts w:hint="eastAsia" w:hAnsi="宋体"/>
          <w:b w:val="0"/>
          <w:bCs/>
          <w:color w:val="FF0000"/>
          <w:sz w:val="24"/>
          <w:szCs w:val="24"/>
          <w:u w:val="single"/>
          <w:lang w:val="en-US" w:eastAsia="zh-CN"/>
        </w:rPr>
        <w:t>后</w:t>
      </w:r>
      <w:r>
        <w:rPr>
          <w:rFonts w:hint="eastAsia" w:ascii="宋体" w:hAnsi="宋体"/>
          <w:b w:val="0"/>
          <w:bCs/>
          <w:color w:val="FF0000"/>
          <w:sz w:val="24"/>
          <w:szCs w:val="24"/>
          <w:u w:val="single"/>
        </w:rPr>
        <w:t>支付 30％工程预付款给乙方。合同进度款支付</w:t>
      </w:r>
      <w:bookmarkStart w:id="776" w:name="_GoBack"/>
      <w:bookmarkEnd w:id="776"/>
      <w:r>
        <w:rPr>
          <w:rFonts w:hint="eastAsia" w:ascii="宋体" w:hAnsi="宋体"/>
          <w:b w:val="0"/>
          <w:bCs/>
          <w:color w:val="FF0000"/>
          <w:sz w:val="24"/>
          <w:szCs w:val="24"/>
          <w:u w:val="single"/>
        </w:rPr>
        <w:t>按已完成工程量的</w:t>
      </w:r>
      <w:r>
        <w:rPr>
          <w:rFonts w:hint="eastAsia" w:ascii="宋体" w:hAnsi="宋体"/>
          <w:b w:val="0"/>
          <w:bCs/>
          <w:color w:val="FF0000"/>
          <w:sz w:val="24"/>
          <w:szCs w:val="24"/>
          <w:highlight w:val="none"/>
          <w:u w:val="single"/>
        </w:rPr>
        <w:t>80％</w:t>
      </w:r>
      <w:r>
        <w:rPr>
          <w:rFonts w:hint="eastAsia" w:ascii="宋体" w:hAnsi="宋体"/>
          <w:b w:val="0"/>
          <w:bCs/>
          <w:color w:val="FF0000"/>
          <w:sz w:val="24"/>
          <w:szCs w:val="24"/>
          <w:u w:val="single"/>
        </w:rPr>
        <w:t>支付（包含预付款）；工程完工验收合格，经</w:t>
      </w:r>
      <w:r>
        <w:rPr>
          <w:rFonts w:hint="eastAsia" w:ascii="宋体" w:hAnsi="宋体"/>
          <w:b w:val="0"/>
          <w:bCs/>
          <w:color w:val="FF0000"/>
          <w:sz w:val="24"/>
          <w:szCs w:val="24"/>
          <w:u w:val="single"/>
          <w:lang w:val="en-US" w:eastAsia="zh-CN"/>
        </w:rPr>
        <w:t>第三方</w:t>
      </w:r>
      <w:r>
        <w:rPr>
          <w:rFonts w:hint="eastAsia" w:ascii="宋体" w:hAnsi="宋体"/>
          <w:b w:val="0"/>
          <w:bCs/>
          <w:color w:val="FF0000"/>
          <w:sz w:val="24"/>
          <w:szCs w:val="24"/>
          <w:u w:val="single"/>
        </w:rPr>
        <w:t>审计等有关部门审定后，工程款支付至结算总价的97％；余3%待质保期满1年后1个月内付清，付款前乙方开具等额完税发票给甲方</w:t>
      </w:r>
      <w:r>
        <w:rPr>
          <w:rFonts w:hint="eastAsia" w:hAnsi="宋体" w:cs="宋体"/>
          <w:b w:val="0"/>
          <w:bCs/>
          <w:color w:val="FF0000"/>
          <w:sz w:val="24"/>
          <w:u w:val="none"/>
        </w:rPr>
        <w:t>。</w:t>
      </w:r>
    </w:p>
    <w:p>
      <w:pPr>
        <w:spacing w:line="400" w:lineRule="exact"/>
        <w:ind w:firstLine="600" w:firstLineChars="250"/>
        <w:jc w:val="left"/>
        <w:rPr>
          <w:rFonts w:ascii="宋体" w:hAnsi="宋体" w:cs="宋体"/>
          <w:sz w:val="24"/>
        </w:rPr>
      </w:pPr>
      <w:r>
        <w:rPr>
          <w:rFonts w:hint="eastAsia" w:ascii="宋体" w:hAnsi="宋体" w:cs="宋体"/>
          <w:sz w:val="24"/>
        </w:rPr>
        <w:t>12.4.6 支付分解表的编制</w:t>
      </w:r>
    </w:p>
    <w:p>
      <w:pPr>
        <w:spacing w:line="400" w:lineRule="exact"/>
        <w:ind w:firstLine="480" w:firstLineChars="200"/>
        <w:jc w:val="left"/>
        <w:rPr>
          <w:rFonts w:ascii="宋体" w:hAnsi="宋体" w:cs="宋体"/>
          <w:sz w:val="24"/>
        </w:rPr>
      </w:pPr>
      <w:r>
        <w:rPr>
          <w:rFonts w:hint="eastAsia" w:ascii="宋体" w:hAnsi="宋体" w:cs="宋体"/>
          <w:sz w:val="24"/>
        </w:rPr>
        <w:t>2、总价合同支付分解表的编制与审批：</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3、单价合同的总价项目支付分解表的编制与审批：</w:t>
      </w:r>
      <w:r>
        <w:rPr>
          <w:rFonts w:hint="eastAsia" w:ascii="宋体" w:hAnsi="宋体" w:cs="宋体"/>
          <w:sz w:val="24"/>
          <w:u w:val="single"/>
        </w:rPr>
        <w:t>/</w:t>
      </w:r>
      <w:r>
        <w:rPr>
          <w:rFonts w:hint="eastAsia" w:ascii="宋体" w:hAnsi="宋体" w:cs="宋体"/>
          <w:sz w:val="24"/>
        </w:rPr>
        <w:t>。</w:t>
      </w:r>
    </w:p>
    <w:bookmarkEnd w:id="350"/>
    <w:p>
      <w:pPr>
        <w:pStyle w:val="5"/>
        <w:spacing w:before="120" w:after="120" w:line="360" w:lineRule="auto"/>
        <w:rPr>
          <w:rFonts w:ascii="宋体" w:hAnsi="宋体" w:cs="宋体"/>
          <w:b w:val="0"/>
          <w:bCs w:val="0"/>
          <w:sz w:val="24"/>
          <w:szCs w:val="24"/>
        </w:rPr>
      </w:pPr>
      <w:bookmarkStart w:id="525" w:name="_Toc351203645"/>
      <w:bookmarkStart w:id="526" w:name="_Toc384892065"/>
      <w:bookmarkStart w:id="527" w:name="_Toc384891862"/>
      <w:bookmarkStart w:id="528" w:name="_Toc312678053"/>
      <w:bookmarkStart w:id="529" w:name="_Toc296944558"/>
      <w:bookmarkStart w:id="530" w:name="_Toc297048405"/>
      <w:bookmarkStart w:id="531" w:name="_Toc296891047"/>
      <w:bookmarkStart w:id="532" w:name="_Toc296503219"/>
      <w:bookmarkStart w:id="533" w:name="_Toc297120519"/>
      <w:bookmarkStart w:id="534" w:name="_Toc292559929"/>
      <w:bookmarkStart w:id="535" w:name="_Toc297123564"/>
      <w:bookmarkStart w:id="536" w:name="_Toc297216223"/>
      <w:bookmarkStart w:id="537" w:name="_Toc300935015"/>
      <w:bookmarkStart w:id="538" w:name="_Toc296891259"/>
      <w:bookmarkStart w:id="539" w:name="_Toc303539172"/>
      <w:bookmarkStart w:id="540" w:name="_Toc292559424"/>
      <w:bookmarkStart w:id="541" w:name="_Toc304295593"/>
      <w:bookmarkStart w:id="542" w:name="_Toc296346720"/>
      <w:bookmarkStart w:id="543" w:name="_Toc296347218"/>
      <w:r>
        <w:rPr>
          <w:rFonts w:hint="eastAsia" w:ascii="宋体" w:hAnsi="宋体" w:cs="宋体"/>
          <w:b w:val="0"/>
          <w:bCs w:val="0"/>
          <w:sz w:val="24"/>
          <w:szCs w:val="24"/>
        </w:rPr>
        <w:t>13. 验收和工程试车</w:t>
      </w:r>
      <w:bookmarkEnd w:id="525"/>
      <w:bookmarkEnd w:id="526"/>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spacing w:after="120" w:line="360" w:lineRule="auto"/>
        <w:ind w:firstLine="480" w:firstLineChars="200"/>
        <w:rPr>
          <w:rFonts w:ascii="宋体" w:hAnsi="宋体" w:cs="宋体"/>
          <w:sz w:val="24"/>
        </w:rPr>
      </w:pPr>
      <w:r>
        <w:rPr>
          <w:rFonts w:hint="eastAsia" w:ascii="宋体" w:hAnsi="宋体" w:cs="宋体"/>
          <w:sz w:val="24"/>
        </w:rPr>
        <w:t>13.1 分部分项工程验收</w:t>
      </w:r>
    </w:p>
    <w:p>
      <w:pPr>
        <w:spacing w:line="360" w:lineRule="auto"/>
        <w:ind w:firstLine="480" w:firstLineChars="200"/>
        <w:jc w:val="left"/>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pPr>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spacing w:after="120" w:line="360" w:lineRule="auto"/>
        <w:ind w:firstLine="480" w:firstLineChars="200"/>
        <w:rPr>
          <w:rFonts w:ascii="宋体" w:hAnsi="宋体" w:cs="宋体"/>
          <w:sz w:val="24"/>
        </w:rPr>
      </w:pPr>
      <w:bookmarkStart w:id="544" w:name="_Toc312678056"/>
      <w:bookmarkStart w:id="545" w:name="_Toc297120523"/>
      <w:bookmarkStart w:id="546" w:name="_Toc303539173"/>
      <w:bookmarkStart w:id="547" w:name="_Toc296944562"/>
      <w:bookmarkStart w:id="548" w:name="_Toc296891051"/>
      <w:bookmarkStart w:id="549" w:name="_Toc304295596"/>
      <w:bookmarkStart w:id="550" w:name="_Toc297216224"/>
      <w:bookmarkStart w:id="551" w:name="_Toc297048409"/>
      <w:bookmarkStart w:id="552" w:name="_Toc292559933"/>
      <w:bookmarkStart w:id="553" w:name="_Toc296891263"/>
      <w:bookmarkStart w:id="554" w:name="_Toc297123565"/>
      <w:bookmarkStart w:id="555" w:name="_Toc300935016"/>
      <w:bookmarkStart w:id="556" w:name="_Toc296346724"/>
      <w:bookmarkStart w:id="557" w:name="_Toc292559428"/>
      <w:bookmarkStart w:id="558" w:name="_Toc296503223"/>
      <w:bookmarkStart w:id="559" w:name="_Toc296347222"/>
      <w:bookmarkStart w:id="560" w:name="_Toc267251471"/>
      <w:bookmarkStart w:id="561" w:name="_Toc267251475"/>
      <w:bookmarkStart w:id="562" w:name="_Toc267251474"/>
      <w:bookmarkStart w:id="563" w:name="_Toc267251473"/>
      <w:bookmarkStart w:id="564" w:name="_Toc267251476"/>
      <w:bookmarkStart w:id="565" w:name="_Toc267251470"/>
      <w:bookmarkStart w:id="566" w:name="_Toc267251472"/>
      <w:r>
        <w:rPr>
          <w:rFonts w:hint="eastAsia" w:ascii="宋体" w:hAnsi="宋体" w:cs="宋体"/>
          <w:sz w:val="24"/>
        </w:rPr>
        <w:t>13.2 竣工验收</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Pr>
        <w:spacing w:line="360" w:lineRule="auto"/>
        <w:ind w:firstLine="480" w:firstLineChars="200"/>
        <w:jc w:val="left"/>
        <w:rPr>
          <w:rFonts w:ascii="宋体" w:hAnsi="宋体" w:cs="宋体"/>
          <w:sz w:val="24"/>
        </w:rPr>
      </w:pPr>
      <w:bookmarkStart w:id="567" w:name="_Toc280868704"/>
      <w:bookmarkStart w:id="568" w:name="_Toc280868705"/>
      <w:bookmarkStart w:id="569" w:name="_Toc280868706"/>
      <w:bookmarkStart w:id="570" w:name="_Toc280868707"/>
      <w:bookmarkStart w:id="571" w:name="_Toc280868708"/>
      <w:bookmarkStart w:id="572" w:name="_Toc280868709"/>
      <w:r>
        <w:rPr>
          <w:rFonts w:hint="eastAsia" w:ascii="宋体" w:hAnsi="宋体" w:cs="宋体"/>
          <w:sz w:val="24"/>
        </w:rPr>
        <w:t>13.2.2竣工验收程序</w:t>
      </w:r>
    </w:p>
    <w:bookmarkEnd w:id="567"/>
    <w:p>
      <w:pPr>
        <w:spacing w:line="360" w:lineRule="auto"/>
        <w:ind w:firstLine="480" w:firstLineChars="200"/>
        <w:jc w:val="left"/>
        <w:rPr>
          <w:rFonts w:ascii="宋体" w:hAnsi="宋体" w:cs="宋体"/>
          <w:kern w:val="0"/>
          <w:sz w:val="24"/>
        </w:rPr>
      </w:pPr>
      <w:r>
        <w:rPr>
          <w:rFonts w:hint="eastAsia" w:ascii="宋体" w:hAnsi="宋体" w:cs="宋体"/>
          <w:kern w:val="0"/>
          <w:sz w:val="24"/>
        </w:rPr>
        <w:t>关于竣工验收程序的约定：</w:t>
      </w:r>
      <w:r>
        <w:rPr>
          <w:rFonts w:hint="eastAsia" w:ascii="宋体" w:hAnsi="宋体" w:cs="宋体"/>
          <w:sz w:val="24"/>
          <w:u w:val="single"/>
        </w:rPr>
        <w:t xml:space="preserve">/  </w:t>
      </w:r>
      <w:r>
        <w:rPr>
          <w:rFonts w:hint="eastAsia" w:ascii="宋体" w:hAnsi="宋体" w:cs="宋体"/>
          <w:kern w:val="0"/>
          <w:sz w:val="24"/>
          <w:u w:val="single"/>
        </w:rPr>
        <w:t>。</w:t>
      </w:r>
    </w:p>
    <w:p>
      <w:pPr>
        <w:spacing w:line="360" w:lineRule="auto"/>
        <w:ind w:firstLine="480" w:firstLineChars="200"/>
        <w:jc w:val="left"/>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每逾期一天，应以签约合同价为基数，按照中国人民银行发布的同期同类贷款基准利率支付违约金。</w:t>
      </w:r>
      <w:r>
        <w:rPr>
          <w:rFonts w:hint="eastAsia" w:ascii="宋体" w:hAnsi="宋体" w:cs="宋体"/>
          <w:sz w:val="24"/>
        </w:rPr>
        <w:t>。</w:t>
      </w:r>
    </w:p>
    <w:bookmarkEnd w:id="568"/>
    <w:p>
      <w:pPr>
        <w:spacing w:line="360" w:lineRule="auto"/>
        <w:ind w:firstLine="480" w:firstLineChars="200"/>
        <w:jc w:val="left"/>
        <w:rPr>
          <w:rFonts w:ascii="宋体" w:hAnsi="宋体" w:cs="宋体"/>
          <w:sz w:val="24"/>
        </w:rPr>
      </w:pPr>
      <w:r>
        <w:rPr>
          <w:rFonts w:hint="eastAsia" w:ascii="宋体" w:hAnsi="宋体" w:cs="宋体"/>
          <w:sz w:val="24"/>
        </w:rPr>
        <w:t>13.2.5移交、接收全部与部分工程</w:t>
      </w:r>
    </w:p>
    <w:bookmarkEnd w:id="569"/>
    <w:p>
      <w:pPr>
        <w:spacing w:line="360" w:lineRule="auto"/>
        <w:ind w:firstLine="480" w:firstLineChars="200"/>
        <w:jc w:val="left"/>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kern w:val="0"/>
          <w:sz w:val="24"/>
          <w:u w:val="single"/>
        </w:rPr>
        <w:t>在颁发工程接收证书后15个有效工作日内完成工程的移交</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kern w:val="0"/>
          <w:sz w:val="24"/>
          <w:u w:val="single"/>
        </w:rPr>
        <w:t>每逾期接受一天，应以签约合同价为基数，按照中国人民银行发布的同期同类贷款基准利率支付违约金</w:t>
      </w:r>
      <w:r>
        <w:rPr>
          <w:rFonts w:hint="eastAsia" w:ascii="宋体" w:hAnsi="宋体" w:cs="宋体"/>
          <w:sz w:val="24"/>
        </w:rPr>
        <w:t>。</w:t>
      </w:r>
    </w:p>
    <w:bookmarkEnd w:id="570"/>
    <w:p>
      <w:pPr>
        <w:spacing w:line="360" w:lineRule="auto"/>
        <w:ind w:firstLine="480" w:firstLineChars="200"/>
        <w:jc w:val="left"/>
        <w:rPr>
          <w:rFonts w:ascii="宋体" w:hAnsi="宋体" w:cs="宋体"/>
          <w:sz w:val="24"/>
        </w:rPr>
      </w:pPr>
      <w:r>
        <w:rPr>
          <w:rFonts w:hint="eastAsia" w:ascii="宋体" w:hAnsi="宋体" w:cs="宋体"/>
          <w:sz w:val="24"/>
        </w:rPr>
        <w:t>承包人未按时移交工程的，违约金的计算方法为：</w:t>
      </w:r>
      <w:r>
        <w:rPr>
          <w:rFonts w:hint="eastAsia" w:ascii="宋体" w:hAnsi="宋体" w:cs="宋体"/>
          <w:kern w:val="0"/>
          <w:sz w:val="24"/>
          <w:u w:val="single"/>
        </w:rPr>
        <w:t>每逾期移交一天，应以签约合同价为基数，按照中国人民银行发布的同期同类贷款基准利率支付违约金</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13.3 工程试车</w:t>
      </w:r>
    </w:p>
    <w:bookmarkEnd w:id="571"/>
    <w:p>
      <w:pPr>
        <w:spacing w:line="360" w:lineRule="auto"/>
        <w:ind w:firstLine="480" w:firstLineChars="200"/>
        <w:jc w:val="left"/>
        <w:rPr>
          <w:rFonts w:ascii="宋体" w:hAnsi="宋体" w:cs="宋体"/>
          <w:kern w:val="0"/>
          <w:sz w:val="24"/>
        </w:rPr>
      </w:pPr>
      <w:r>
        <w:rPr>
          <w:rFonts w:hint="eastAsia" w:ascii="宋体" w:hAnsi="宋体" w:cs="宋体"/>
          <w:kern w:val="0"/>
          <w:sz w:val="24"/>
        </w:rPr>
        <w:t>13.3.1 试车程序</w:t>
      </w:r>
    </w:p>
    <w:p>
      <w:pPr>
        <w:spacing w:line="360" w:lineRule="auto"/>
        <w:ind w:firstLine="480" w:firstLineChars="200"/>
        <w:jc w:val="left"/>
        <w:rPr>
          <w:rFonts w:ascii="宋体" w:hAnsi="宋体" w:cs="宋体"/>
          <w:kern w:val="0"/>
          <w:sz w:val="24"/>
        </w:rPr>
      </w:pPr>
      <w:r>
        <w:rPr>
          <w:rFonts w:hint="eastAsia" w:ascii="宋体" w:hAnsi="宋体" w:cs="宋体"/>
          <w:kern w:val="0"/>
          <w:sz w:val="24"/>
        </w:rPr>
        <w:t>工程试车内容：</w:t>
      </w:r>
      <w:r>
        <w:rPr>
          <w:rFonts w:hint="eastAsia" w:ascii="宋体" w:hAnsi="宋体" w:cs="宋体"/>
          <w:sz w:val="24"/>
          <w:u w:val="single"/>
        </w:rPr>
        <w:t>无</w:t>
      </w:r>
      <w:r>
        <w:rPr>
          <w:rFonts w:hint="eastAsia" w:ascii="宋体" w:hAnsi="宋体" w:cs="宋体"/>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无</w:t>
      </w:r>
      <w:r>
        <w:rPr>
          <w:rFonts w:hint="eastAsia" w:ascii="宋体" w:hAnsi="宋体" w:cs="宋体"/>
          <w:kern w:val="0"/>
          <w:sz w:val="24"/>
        </w:rPr>
        <w:t>承担；</w:t>
      </w:r>
    </w:p>
    <w:p>
      <w:pPr>
        <w:spacing w:line="360" w:lineRule="auto"/>
        <w:ind w:firstLine="480" w:firstLineChars="200"/>
        <w:jc w:val="left"/>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无  </w:t>
      </w:r>
      <w:r>
        <w:rPr>
          <w:rFonts w:hint="eastAsia" w:ascii="宋体" w:hAnsi="宋体" w:cs="宋体"/>
          <w:kern w:val="0"/>
          <w:sz w:val="24"/>
        </w:rPr>
        <w:t>承担。</w:t>
      </w:r>
    </w:p>
    <w:p>
      <w:pPr>
        <w:spacing w:line="360" w:lineRule="auto"/>
        <w:ind w:firstLine="480" w:firstLineChars="200"/>
        <w:jc w:val="left"/>
        <w:rPr>
          <w:rFonts w:ascii="宋体" w:hAnsi="宋体" w:cs="宋体"/>
          <w:kern w:val="0"/>
          <w:sz w:val="24"/>
        </w:rPr>
      </w:pPr>
      <w:r>
        <w:rPr>
          <w:rFonts w:hint="eastAsia" w:ascii="宋体" w:hAnsi="宋体" w:cs="宋体"/>
          <w:kern w:val="0"/>
          <w:sz w:val="24"/>
        </w:rPr>
        <w:t>13.3.3 投料试车</w:t>
      </w:r>
    </w:p>
    <w:p>
      <w:pPr>
        <w:spacing w:line="360" w:lineRule="auto"/>
        <w:ind w:firstLine="480" w:firstLineChars="200"/>
        <w:jc w:val="left"/>
        <w:rPr>
          <w:rFonts w:ascii="宋体" w:hAnsi="宋体" w:cs="宋体"/>
          <w:kern w:val="0"/>
          <w:sz w:val="24"/>
        </w:rPr>
      </w:pPr>
      <w:r>
        <w:rPr>
          <w:rFonts w:hint="eastAsia" w:ascii="宋体" w:hAnsi="宋体" w:cs="宋体"/>
          <w:kern w:val="0"/>
          <w:sz w:val="24"/>
        </w:rPr>
        <w:t>关于投料试车相关事项的约定：</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13.6 竣工退场</w:t>
      </w:r>
    </w:p>
    <w:p>
      <w:pPr>
        <w:spacing w:line="360" w:lineRule="auto"/>
        <w:ind w:firstLine="480" w:firstLineChars="200"/>
        <w:jc w:val="left"/>
        <w:rPr>
          <w:rFonts w:ascii="宋体" w:hAnsi="宋体" w:cs="宋体"/>
          <w:kern w:val="0"/>
          <w:sz w:val="24"/>
        </w:rPr>
      </w:pPr>
      <w:r>
        <w:rPr>
          <w:rFonts w:hint="eastAsia" w:ascii="宋体" w:hAnsi="宋体" w:cs="宋体"/>
          <w:kern w:val="0"/>
          <w:sz w:val="24"/>
        </w:rPr>
        <w:t>13.6.1 竣工退场</w:t>
      </w:r>
    </w:p>
    <w:p>
      <w:pPr>
        <w:spacing w:line="360" w:lineRule="auto"/>
        <w:ind w:firstLine="480" w:firstLineChars="200"/>
        <w:jc w:val="left"/>
        <w:rPr>
          <w:rFonts w:ascii="宋体" w:hAnsi="宋体" w:cs="宋体"/>
          <w:kern w:val="0"/>
          <w:sz w:val="24"/>
        </w:rPr>
      </w:pPr>
      <w:r>
        <w:rPr>
          <w:rFonts w:hint="eastAsia" w:ascii="宋体" w:hAnsi="宋体" w:cs="宋体"/>
          <w:kern w:val="0"/>
          <w:sz w:val="24"/>
        </w:rPr>
        <w:t>承包人完成竣工退场的期限：</w:t>
      </w:r>
      <w:r>
        <w:rPr>
          <w:rFonts w:hint="eastAsia" w:ascii="宋体" w:hAnsi="宋体" w:cs="宋体"/>
          <w:sz w:val="24"/>
          <w:u w:val="single"/>
        </w:rPr>
        <w:t xml:space="preserve">/   </w:t>
      </w:r>
      <w:r>
        <w:rPr>
          <w:rFonts w:hint="eastAsia" w:ascii="宋体" w:hAnsi="宋体" w:cs="宋体"/>
          <w:kern w:val="0"/>
          <w:sz w:val="24"/>
        </w:rPr>
        <w:t>。</w:t>
      </w:r>
    </w:p>
    <w:p>
      <w:pPr>
        <w:pStyle w:val="5"/>
        <w:spacing w:before="120" w:after="120" w:line="360" w:lineRule="auto"/>
        <w:rPr>
          <w:rFonts w:ascii="宋体" w:hAnsi="宋体" w:cs="宋体"/>
          <w:b w:val="0"/>
          <w:bCs w:val="0"/>
          <w:sz w:val="24"/>
          <w:szCs w:val="24"/>
        </w:rPr>
      </w:pPr>
      <w:bookmarkStart w:id="573" w:name="_Toc351203646"/>
      <w:bookmarkStart w:id="574" w:name="_Toc384892066"/>
      <w:bookmarkStart w:id="575" w:name="_Toc384891863"/>
      <w:r>
        <w:rPr>
          <w:rFonts w:hint="eastAsia" w:ascii="宋体" w:hAnsi="宋体" w:cs="宋体"/>
          <w:b w:val="0"/>
          <w:bCs w:val="0"/>
          <w:sz w:val="24"/>
          <w:szCs w:val="24"/>
        </w:rPr>
        <w:t>14. 竣工结算</w:t>
      </w:r>
      <w:bookmarkEnd w:id="573"/>
      <w:bookmarkEnd w:id="574"/>
      <w:bookmarkEnd w:id="575"/>
    </w:p>
    <w:p>
      <w:pPr>
        <w:spacing w:after="120" w:line="360" w:lineRule="auto"/>
        <w:ind w:firstLine="480" w:firstLineChars="200"/>
        <w:rPr>
          <w:rFonts w:ascii="宋体" w:hAnsi="宋体" w:cs="宋体"/>
          <w:sz w:val="24"/>
        </w:rPr>
      </w:pPr>
      <w:r>
        <w:rPr>
          <w:rFonts w:hint="eastAsia" w:ascii="宋体" w:hAnsi="宋体" w:cs="宋体"/>
          <w:sz w:val="24"/>
        </w:rPr>
        <w:t>14.1 竣工付款申请</w:t>
      </w:r>
    </w:p>
    <w:p>
      <w:pPr>
        <w:spacing w:line="360" w:lineRule="auto"/>
        <w:ind w:firstLine="480" w:firstLineChars="200"/>
        <w:jc w:val="left"/>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承包人应在工程竣工验收合格后7天内</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竣工付款申请单应包括的内容：</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14.2 竣工结算审核</w:t>
      </w:r>
    </w:p>
    <w:p>
      <w:pPr>
        <w:spacing w:line="360" w:lineRule="auto"/>
        <w:ind w:firstLine="480" w:firstLineChars="200"/>
        <w:jc w:val="left"/>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工程竣工验收合格后，从发包人收到承包人提交的结算报告之日起，应在28天内给予审定完毕工程结算造价，逾期视为认可。</w:t>
      </w:r>
    </w:p>
    <w:p>
      <w:pPr>
        <w:spacing w:line="360" w:lineRule="auto"/>
        <w:ind w:firstLine="480" w:firstLineChars="200"/>
        <w:jc w:val="left"/>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从工程结算审定确认之日起28天内</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由承包人派造价人员和发包人委托的造价审计单位进行核对确认。</w:t>
      </w:r>
    </w:p>
    <w:p>
      <w:pPr>
        <w:spacing w:after="120" w:line="360" w:lineRule="auto"/>
        <w:ind w:firstLine="480" w:firstLineChars="200"/>
        <w:rPr>
          <w:rFonts w:ascii="宋体" w:hAnsi="宋体" w:cs="宋体"/>
          <w:sz w:val="24"/>
        </w:rPr>
      </w:pPr>
      <w:r>
        <w:rPr>
          <w:rFonts w:hint="eastAsia" w:ascii="宋体" w:hAnsi="宋体" w:cs="宋体"/>
          <w:sz w:val="24"/>
        </w:rPr>
        <w:t>14.4 最终结清</w:t>
      </w:r>
    </w:p>
    <w:p>
      <w:pPr>
        <w:spacing w:line="360" w:lineRule="auto"/>
        <w:ind w:firstLine="480" w:firstLineChars="200"/>
        <w:jc w:val="left"/>
        <w:rPr>
          <w:rFonts w:ascii="宋体" w:hAnsi="宋体" w:cs="宋体"/>
          <w:kern w:val="0"/>
          <w:sz w:val="24"/>
        </w:rPr>
      </w:pPr>
      <w:r>
        <w:rPr>
          <w:rFonts w:hint="eastAsia" w:ascii="宋体" w:hAnsi="宋体" w:cs="宋体"/>
          <w:kern w:val="0"/>
          <w:sz w:val="24"/>
        </w:rPr>
        <w:t>14.4.1 最终结清申请单</w:t>
      </w:r>
    </w:p>
    <w:p>
      <w:pPr>
        <w:spacing w:line="360" w:lineRule="auto"/>
        <w:ind w:firstLine="480" w:firstLineChars="200"/>
        <w:jc w:val="left"/>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sz w:val="24"/>
          <w:u w:val="single"/>
        </w:rPr>
        <w:t>二份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14.4.2 最终结清证书和支付</w:t>
      </w:r>
    </w:p>
    <w:p>
      <w:pPr>
        <w:spacing w:line="360" w:lineRule="auto"/>
        <w:ind w:firstLine="480" w:firstLineChars="200"/>
        <w:jc w:val="left"/>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w:t>
      </w:r>
    </w:p>
    <w:bookmarkEnd w:id="560"/>
    <w:bookmarkEnd w:id="561"/>
    <w:bookmarkEnd w:id="562"/>
    <w:bookmarkEnd w:id="563"/>
    <w:bookmarkEnd w:id="564"/>
    <w:bookmarkEnd w:id="565"/>
    <w:bookmarkEnd w:id="566"/>
    <w:bookmarkEnd w:id="572"/>
    <w:p>
      <w:pPr>
        <w:pStyle w:val="5"/>
        <w:spacing w:before="120" w:after="120" w:line="360" w:lineRule="auto"/>
        <w:rPr>
          <w:rFonts w:ascii="宋体" w:hAnsi="宋体" w:cs="宋体"/>
          <w:b w:val="0"/>
          <w:bCs w:val="0"/>
          <w:sz w:val="24"/>
          <w:szCs w:val="24"/>
        </w:rPr>
      </w:pPr>
      <w:bookmarkStart w:id="576" w:name="_Toc384891864"/>
      <w:bookmarkStart w:id="577" w:name="_Toc351203647"/>
      <w:bookmarkStart w:id="578" w:name="_Toc384892067"/>
      <w:bookmarkStart w:id="579" w:name="_Toc267251483"/>
      <w:bookmarkStart w:id="580" w:name="_Toc267251482"/>
      <w:bookmarkStart w:id="581" w:name="_Toc267251484"/>
      <w:bookmarkStart w:id="582" w:name="_Toc267251485"/>
      <w:bookmarkStart w:id="583" w:name="_Toc267251486"/>
      <w:bookmarkStart w:id="584" w:name="_Toc267251488"/>
      <w:bookmarkStart w:id="585" w:name="_Toc267251489"/>
      <w:bookmarkStart w:id="586" w:name="_Toc267251490"/>
      <w:bookmarkStart w:id="587" w:name="_Toc267251497"/>
      <w:bookmarkStart w:id="588" w:name="_Toc267251494"/>
      <w:bookmarkStart w:id="589" w:name="_Toc267251499"/>
      <w:bookmarkStart w:id="590" w:name="_Toc267251502"/>
      <w:bookmarkStart w:id="591" w:name="_Toc267251496"/>
      <w:bookmarkStart w:id="592" w:name="_Toc267251493"/>
      <w:bookmarkStart w:id="593" w:name="_Toc267251492"/>
      <w:bookmarkStart w:id="594" w:name="_Toc267251498"/>
      <w:bookmarkStart w:id="595" w:name="_Toc267251491"/>
      <w:bookmarkStart w:id="596" w:name="_Toc267251503"/>
      <w:bookmarkStart w:id="597" w:name="_Toc267251501"/>
      <w:bookmarkStart w:id="598" w:name="_Toc267251495"/>
      <w:bookmarkStart w:id="599" w:name="_Toc267251506"/>
      <w:bookmarkStart w:id="600" w:name="_Toc267251504"/>
      <w:bookmarkStart w:id="601" w:name="_Toc267251507"/>
      <w:bookmarkStart w:id="602" w:name="_Toc267251508"/>
      <w:bookmarkStart w:id="603" w:name="_Toc267251515"/>
      <w:bookmarkStart w:id="604" w:name="_Toc267251510"/>
      <w:bookmarkStart w:id="605" w:name="_Toc267251511"/>
      <w:bookmarkStart w:id="606" w:name="_Toc267251509"/>
      <w:bookmarkStart w:id="607" w:name="_Toc267251513"/>
      <w:bookmarkStart w:id="608" w:name="_Toc267251514"/>
      <w:r>
        <w:rPr>
          <w:rFonts w:hint="eastAsia" w:ascii="宋体" w:hAnsi="宋体" w:cs="宋体"/>
          <w:b w:val="0"/>
          <w:bCs w:val="0"/>
          <w:sz w:val="24"/>
          <w:szCs w:val="24"/>
        </w:rPr>
        <w:t>15. 缺陷责任期与保修</w:t>
      </w:r>
      <w:bookmarkEnd w:id="576"/>
      <w:bookmarkEnd w:id="577"/>
      <w:bookmarkEnd w:id="578"/>
    </w:p>
    <w:p>
      <w:pPr>
        <w:spacing w:after="120" w:line="360" w:lineRule="auto"/>
        <w:ind w:firstLine="480" w:firstLineChars="200"/>
        <w:rPr>
          <w:rFonts w:ascii="宋体" w:hAnsi="宋体" w:cs="宋体"/>
          <w:sz w:val="24"/>
        </w:rPr>
      </w:pPr>
      <w:r>
        <w:rPr>
          <w:rFonts w:hint="eastAsia" w:ascii="宋体" w:hAnsi="宋体" w:cs="宋体"/>
          <w:sz w:val="24"/>
        </w:rPr>
        <w:t>15.2缺陷责任期</w:t>
      </w:r>
      <w:bookmarkEnd w:id="579"/>
    </w:p>
    <w:p>
      <w:pPr>
        <w:spacing w:line="360" w:lineRule="auto"/>
        <w:ind w:firstLine="480" w:firstLineChars="200"/>
        <w:jc w:val="left"/>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24个月</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15.3 质量保证金</w:t>
      </w:r>
    </w:p>
    <w:p>
      <w:pPr>
        <w:spacing w:line="360" w:lineRule="auto"/>
        <w:ind w:firstLine="480" w:firstLineChars="200"/>
        <w:jc w:val="left"/>
        <w:rPr>
          <w:rFonts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rPr>
        <w:t>是</w:t>
      </w:r>
      <w:r>
        <w:rPr>
          <w:rFonts w:hint="eastAsia" w:ascii="宋体" w:hAnsi="宋体" w:cs="宋体"/>
          <w:sz w:val="24"/>
        </w:rPr>
        <w:t>。</w:t>
      </w:r>
      <w:r>
        <w:rPr>
          <w:rFonts w:hint="eastAsia" w:ascii="宋体" w:hAnsi="宋体" w:cs="宋体"/>
          <w:kern w:val="0"/>
          <w:sz w:val="24"/>
          <w:u w:val="single"/>
        </w:rPr>
        <w:t>在工程项目竣工前，承包人按专用合同条款第3.7条提供履约担保的，发包人不得同时预留工程质量保证金。</w:t>
      </w:r>
    </w:p>
    <w:p>
      <w:pPr>
        <w:spacing w:line="360" w:lineRule="auto"/>
        <w:ind w:firstLine="480" w:firstLineChars="200"/>
        <w:jc w:val="left"/>
        <w:rPr>
          <w:rFonts w:ascii="宋体" w:hAnsi="宋体" w:cs="宋体"/>
          <w:sz w:val="24"/>
        </w:rPr>
      </w:pPr>
      <w:r>
        <w:rPr>
          <w:rFonts w:hint="eastAsia" w:ascii="宋体" w:hAnsi="宋体" w:cs="宋体"/>
          <w:sz w:val="24"/>
        </w:rPr>
        <w:t>15.3.1 承包人提供质量保证金的方式</w:t>
      </w:r>
    </w:p>
    <w:p>
      <w:pPr>
        <w:spacing w:line="360" w:lineRule="auto"/>
        <w:ind w:firstLine="480" w:firstLineChars="200"/>
        <w:jc w:val="left"/>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2</w:t>
      </w:r>
      <w:r>
        <w:rPr>
          <w:rFonts w:hint="eastAsia" w:ascii="宋体" w:hAnsi="宋体" w:cs="宋体"/>
          <w:sz w:val="24"/>
        </w:rPr>
        <w:t>种方式：</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（1）质量保证金保函，保证金额为：</w:t>
      </w:r>
      <w:r>
        <w:rPr>
          <w:rFonts w:hint="eastAsia" w:ascii="宋体" w:hAnsi="宋体" w:cs="宋体"/>
          <w:kern w:val="0"/>
          <w:sz w:val="24"/>
          <w:u w:val="single"/>
        </w:rPr>
        <w:t>/</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3</w:t>
      </w:r>
      <w:r>
        <w:rPr>
          <w:rFonts w:hint="eastAsia" w:ascii="宋体" w:hAnsi="宋体" w:cs="宋体"/>
          <w:kern w:val="0"/>
          <w:sz w:val="24"/>
        </w:rPr>
        <w:t>%的工程款；</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jc w:val="left"/>
        <w:rPr>
          <w:rFonts w:ascii="宋体" w:hAnsi="宋体" w:cs="宋体"/>
          <w:sz w:val="24"/>
        </w:rPr>
      </w:pPr>
      <w:r>
        <w:rPr>
          <w:rFonts w:hint="eastAsia" w:ascii="宋体" w:hAnsi="宋体" w:cs="宋体"/>
          <w:sz w:val="24"/>
        </w:rPr>
        <w:t xml:space="preserve">15.3.2 质量保证金的扣留 </w:t>
      </w:r>
    </w:p>
    <w:p>
      <w:pPr>
        <w:spacing w:line="360" w:lineRule="auto"/>
        <w:ind w:firstLine="480" w:firstLineChars="200"/>
        <w:jc w:val="left"/>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 2</w:t>
      </w:r>
      <w:r>
        <w:rPr>
          <w:rFonts w:hint="eastAsia" w:ascii="宋体" w:hAnsi="宋体" w:cs="宋体"/>
          <w:sz w:val="24"/>
        </w:rPr>
        <w:t>种方式：</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（2）工程竣工结算时一次性扣留质量保证金；</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（3）其他扣留方式:</w:t>
      </w:r>
      <w:r>
        <w:rPr>
          <w:rFonts w:hint="eastAsia" w:ascii="宋体" w:hAnsi="宋体" w:cs="宋体"/>
          <w:kern w:val="0"/>
          <w:sz w:val="24"/>
          <w:u w:val="single"/>
        </w:rPr>
        <w:t xml:space="preserve">                                     </w:t>
      </w:r>
      <w:r>
        <w:rPr>
          <w:rFonts w:hint="eastAsia" w:ascii="宋体" w:hAnsi="宋体" w:cs="宋体"/>
          <w:kern w:val="0"/>
          <w:sz w:val="24"/>
        </w:rPr>
        <w:t>。</w:t>
      </w:r>
    </w:p>
    <w:bookmarkEnd w:id="580"/>
    <w:bookmarkEnd w:id="581"/>
    <w:p>
      <w:pPr>
        <w:spacing w:after="120" w:line="360" w:lineRule="auto"/>
        <w:ind w:firstLine="480" w:firstLineChars="200"/>
        <w:rPr>
          <w:rFonts w:ascii="宋体" w:hAnsi="宋体" w:cs="宋体"/>
          <w:sz w:val="24"/>
        </w:rPr>
      </w:pPr>
      <w:r>
        <w:rPr>
          <w:rFonts w:hint="eastAsia" w:ascii="宋体" w:hAnsi="宋体" w:cs="宋体"/>
          <w:sz w:val="24"/>
        </w:rPr>
        <w:t>15.4保修</w:t>
      </w:r>
    </w:p>
    <w:bookmarkEnd w:id="582"/>
    <w:p>
      <w:pPr>
        <w:spacing w:line="360" w:lineRule="auto"/>
        <w:ind w:firstLine="468" w:firstLineChars="195"/>
        <w:jc w:val="left"/>
        <w:rPr>
          <w:rFonts w:ascii="宋体" w:hAnsi="宋体" w:cs="宋体"/>
          <w:sz w:val="24"/>
        </w:rPr>
      </w:pPr>
      <w:r>
        <w:rPr>
          <w:rFonts w:hint="eastAsia" w:ascii="宋体" w:hAnsi="宋体" w:cs="宋体"/>
          <w:sz w:val="24"/>
        </w:rPr>
        <w:t>15.4.1 保修责任</w:t>
      </w:r>
    </w:p>
    <w:p>
      <w:pPr>
        <w:spacing w:line="360" w:lineRule="auto"/>
        <w:ind w:firstLine="480" w:firstLineChars="200"/>
        <w:jc w:val="left"/>
        <w:rPr>
          <w:rFonts w:ascii="宋体" w:hAnsi="宋体" w:cs="宋体"/>
          <w:kern w:val="0"/>
          <w:sz w:val="24"/>
        </w:rPr>
      </w:pPr>
      <w:r>
        <w:rPr>
          <w:rFonts w:hint="eastAsia" w:ascii="宋体" w:hAnsi="宋体" w:cs="宋体"/>
          <w:sz w:val="24"/>
        </w:rPr>
        <w:t>工程保修期为：</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68" w:firstLineChars="195"/>
        <w:jc w:val="left"/>
        <w:rPr>
          <w:rFonts w:ascii="宋体" w:hAnsi="宋体" w:cs="宋体"/>
          <w:sz w:val="24"/>
        </w:rPr>
      </w:pPr>
      <w:r>
        <w:rPr>
          <w:rFonts w:hint="eastAsia" w:ascii="宋体" w:hAnsi="宋体" w:cs="宋体"/>
          <w:sz w:val="24"/>
        </w:rPr>
        <w:t>15.4.3 修复通知</w:t>
      </w:r>
    </w:p>
    <w:p>
      <w:pPr>
        <w:spacing w:line="360" w:lineRule="auto"/>
        <w:ind w:firstLine="480" w:firstLineChars="200"/>
        <w:jc w:val="left"/>
        <w:rPr>
          <w:rFonts w:ascii="宋体" w:hAnsi="宋体" w:cs="宋体"/>
          <w:kern w:val="0"/>
          <w:sz w:val="24"/>
        </w:rPr>
      </w:pPr>
      <w:r>
        <w:rPr>
          <w:rFonts w:hint="eastAsia" w:ascii="宋体" w:hAnsi="宋体" w:cs="宋体"/>
          <w:kern w:val="0"/>
          <w:sz w:val="24"/>
        </w:rPr>
        <w:t>承包人收到保修通知并到达工程现场的合理时间：</w:t>
      </w:r>
      <w:r>
        <w:rPr>
          <w:rFonts w:hint="eastAsia" w:ascii="宋体" w:hAnsi="宋体" w:cs="宋体"/>
          <w:kern w:val="0"/>
          <w:sz w:val="24"/>
          <w:u w:val="single"/>
        </w:rPr>
        <w:t xml:space="preserve"> 2天  </w:t>
      </w:r>
      <w:r>
        <w:rPr>
          <w:rFonts w:hint="eastAsia" w:ascii="宋体" w:hAnsi="宋体" w:cs="宋体"/>
          <w:kern w:val="0"/>
          <w:sz w:val="24"/>
        </w:rPr>
        <w:t>。</w:t>
      </w:r>
    </w:p>
    <w:bookmarkEnd w:id="583"/>
    <w:bookmarkEnd w:id="584"/>
    <w:bookmarkEnd w:id="585"/>
    <w:bookmarkEnd w:id="586"/>
    <w:p>
      <w:pPr>
        <w:pStyle w:val="5"/>
        <w:spacing w:before="120" w:after="120" w:line="360" w:lineRule="auto"/>
        <w:rPr>
          <w:rFonts w:ascii="宋体" w:hAnsi="宋体" w:cs="宋体"/>
          <w:b w:val="0"/>
          <w:bCs w:val="0"/>
          <w:sz w:val="24"/>
          <w:szCs w:val="24"/>
        </w:rPr>
      </w:pPr>
      <w:bookmarkStart w:id="609" w:name="_Toc384892068"/>
      <w:bookmarkStart w:id="610" w:name="_Toc351203648"/>
      <w:bookmarkStart w:id="611" w:name="_Toc384891865"/>
      <w:bookmarkStart w:id="612" w:name="_Toc280868717"/>
      <w:bookmarkStart w:id="613" w:name="_Toc280868718"/>
      <w:r>
        <w:rPr>
          <w:rFonts w:hint="eastAsia" w:ascii="宋体" w:hAnsi="宋体" w:cs="宋体"/>
          <w:b w:val="0"/>
          <w:bCs w:val="0"/>
          <w:sz w:val="24"/>
          <w:szCs w:val="24"/>
        </w:rPr>
        <w:t>16. 违约</w:t>
      </w:r>
      <w:bookmarkEnd w:id="609"/>
      <w:bookmarkEnd w:id="610"/>
      <w:bookmarkEnd w:id="611"/>
    </w:p>
    <w:p>
      <w:pPr>
        <w:spacing w:after="120" w:line="360" w:lineRule="auto"/>
        <w:ind w:firstLine="480" w:firstLineChars="200"/>
        <w:rPr>
          <w:rFonts w:ascii="宋体" w:hAnsi="宋体" w:cs="宋体"/>
          <w:sz w:val="24"/>
        </w:rPr>
      </w:pPr>
      <w:r>
        <w:rPr>
          <w:rFonts w:hint="eastAsia" w:ascii="宋体" w:hAnsi="宋体" w:cs="宋体"/>
          <w:sz w:val="24"/>
        </w:rPr>
        <w:t>16.1 发包人违约</w:t>
      </w:r>
    </w:p>
    <w:p>
      <w:pPr>
        <w:spacing w:line="360" w:lineRule="auto"/>
        <w:ind w:firstLine="480" w:firstLineChars="200"/>
        <w:jc w:val="left"/>
        <w:rPr>
          <w:rFonts w:ascii="宋体" w:hAnsi="宋体" w:cs="宋体"/>
          <w:sz w:val="24"/>
        </w:rPr>
      </w:pPr>
      <w:r>
        <w:rPr>
          <w:rFonts w:hint="eastAsia" w:ascii="宋体" w:hAnsi="宋体" w:cs="宋体"/>
          <w:sz w:val="24"/>
        </w:rPr>
        <w:t>16.1.1发包人违约的情形</w:t>
      </w:r>
    </w:p>
    <w:p>
      <w:pPr>
        <w:spacing w:line="360" w:lineRule="auto"/>
        <w:ind w:firstLine="480" w:firstLineChars="200"/>
        <w:jc w:val="left"/>
        <w:rPr>
          <w:rFonts w:ascii="宋体" w:hAnsi="宋体" w:cs="宋体"/>
          <w:kern w:val="0"/>
          <w:sz w:val="24"/>
        </w:rPr>
      </w:pPr>
      <w:r>
        <w:rPr>
          <w:rFonts w:hint="eastAsia" w:ascii="宋体" w:hAnsi="宋体" w:cs="宋体"/>
          <w:kern w:val="0"/>
          <w:sz w:val="24"/>
        </w:rPr>
        <w:t>发包人违约的其他情形：</w:t>
      </w:r>
      <w:r>
        <w:rPr>
          <w:rFonts w:hint="eastAsia" w:ascii="宋体" w:hAnsi="宋体" w:cs="宋体"/>
          <w:kern w:val="0"/>
          <w:sz w:val="24"/>
          <w:u w:val="single"/>
        </w:rPr>
        <w:t>假如发生发包人供应的材料设备延误、监理单位的错误指挥等原因，使工程无法继续往下施工，导致承包人工期延误和经济损失的，双方现场核实后由发包人承担。</w:t>
      </w:r>
    </w:p>
    <w:p>
      <w:pPr>
        <w:spacing w:line="360" w:lineRule="auto"/>
        <w:ind w:left="1200" w:hanging="1200" w:hangingChars="500"/>
        <w:jc w:val="left"/>
        <w:rPr>
          <w:rFonts w:ascii="宋体" w:hAnsi="宋体" w:cs="宋体"/>
          <w:kern w:val="0"/>
          <w:sz w:val="24"/>
        </w:rPr>
      </w:pPr>
      <w:r>
        <w:rPr>
          <w:rFonts w:hint="eastAsia" w:ascii="宋体" w:hAnsi="宋体" w:cs="宋体"/>
          <w:kern w:val="0"/>
          <w:sz w:val="24"/>
        </w:rPr>
        <w:t xml:space="preserve">    16.1.2 发包人违约的责任</w:t>
      </w:r>
    </w:p>
    <w:p>
      <w:pPr>
        <w:spacing w:line="360" w:lineRule="auto"/>
        <w:ind w:firstLine="480" w:firstLineChars="200"/>
        <w:jc w:val="left"/>
        <w:rPr>
          <w:rFonts w:ascii="宋体" w:hAnsi="宋体" w:cs="宋体"/>
          <w:kern w:val="0"/>
          <w:sz w:val="24"/>
        </w:rPr>
      </w:pPr>
      <w:r>
        <w:rPr>
          <w:rFonts w:hint="eastAsia" w:ascii="宋体" w:hAnsi="宋体" w:cs="宋体"/>
          <w:kern w:val="0"/>
          <w:sz w:val="24"/>
        </w:rPr>
        <w:t>发包人违约责任的承担方式和计算方法：</w:t>
      </w:r>
    </w:p>
    <w:p>
      <w:pPr>
        <w:spacing w:line="360" w:lineRule="auto"/>
        <w:ind w:firstLine="480" w:firstLineChars="200"/>
        <w:jc w:val="left"/>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工期应顺延</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（2）发包人违反第10.1款〔变更的范围〕第（2）项约定，自行实施被取消的工作或转由他人实施的违约责任：</w:t>
      </w:r>
      <w:r>
        <w:rPr>
          <w:rFonts w:hint="eastAsia" w:ascii="宋体" w:hAnsi="宋体" w:cs="宋体"/>
          <w:sz w:val="24"/>
          <w:u w:val="single"/>
        </w:rPr>
        <w:t xml:space="preserve">支付签约合同价10﹪的违约金 </w:t>
      </w:r>
      <w:r>
        <w:rPr>
          <w:rFonts w:hint="eastAsia" w:ascii="宋体" w:hAnsi="宋体" w:cs="宋体"/>
          <w:kern w:val="0"/>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（3）发包人提供的材料、工程设备的规格、数量或质量不符合合同约定，或因发包人原因导致交货日期延误或交货地点变更等情况的违约责任：</w:t>
      </w:r>
      <w:r>
        <w:rPr>
          <w:rFonts w:hint="eastAsia" w:ascii="宋体" w:hAnsi="宋体" w:cs="宋体"/>
          <w:kern w:val="0"/>
          <w:sz w:val="24"/>
          <w:u w:val="single"/>
        </w:rPr>
        <w:t>导致承包人无法正常施工的，延误工期顺延。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（4）发包人无正当理由没有在约定期限内发出复工指示，导致承包人无法复工的违约责任：</w:t>
      </w:r>
      <w:r>
        <w:rPr>
          <w:rFonts w:hint="eastAsia" w:ascii="宋体" w:hAnsi="宋体" w:cs="宋体"/>
          <w:kern w:val="0"/>
          <w:sz w:val="24"/>
          <w:u w:val="single"/>
        </w:rPr>
        <w:t>承包人可向发包人发出通知，要求发包人采取有效措施纠正违约行为，同时 承包人有权暂停相应部位工程施工，并通知监理人。</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（5）其他：</w:t>
      </w:r>
      <w:r>
        <w:rPr>
          <w:rFonts w:hint="eastAsia" w:ascii="宋体" w:hAnsi="宋体" w:cs="宋体"/>
          <w:kern w:val="0"/>
          <w:sz w:val="24"/>
          <w:u w:val="single"/>
        </w:rPr>
        <w:t>无</w:t>
      </w:r>
      <w:r>
        <w:rPr>
          <w:rFonts w:hint="eastAsia" w:ascii="宋体" w:hAnsi="宋体" w:cs="宋体"/>
          <w:kern w:val="0"/>
          <w:sz w:val="24"/>
        </w:rPr>
        <w:t>。</w:t>
      </w:r>
    </w:p>
    <w:p>
      <w:pPr>
        <w:spacing w:line="360" w:lineRule="auto"/>
        <w:ind w:firstLine="480" w:firstLineChars="200"/>
        <w:jc w:val="left"/>
        <w:rPr>
          <w:rFonts w:ascii="宋体" w:hAnsi="宋体" w:cs="宋体"/>
          <w:sz w:val="24"/>
        </w:rPr>
      </w:pPr>
      <w:r>
        <w:rPr>
          <w:rFonts w:hint="eastAsia" w:ascii="宋体" w:hAnsi="宋体" w:cs="宋体"/>
          <w:sz w:val="24"/>
        </w:rPr>
        <w:t>16.1.3 因发包人违约解除合同</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28</w:t>
      </w:r>
      <w:r>
        <w:rPr>
          <w:rFonts w:hint="eastAsia" w:ascii="宋体" w:hAnsi="宋体" w:cs="宋体"/>
          <w:kern w:val="0"/>
          <w:sz w:val="24"/>
        </w:rPr>
        <w:t>天后发包人仍不纠正其违约行为并致使合同目的不能实现的，承包人有权解除合同。</w:t>
      </w:r>
    </w:p>
    <w:p>
      <w:pPr>
        <w:spacing w:after="120" w:line="360" w:lineRule="auto"/>
        <w:ind w:firstLine="480" w:firstLineChars="200"/>
        <w:rPr>
          <w:rFonts w:ascii="宋体" w:hAnsi="宋体" w:cs="宋体"/>
          <w:sz w:val="24"/>
        </w:rPr>
      </w:pPr>
      <w:r>
        <w:rPr>
          <w:rFonts w:hint="eastAsia" w:ascii="宋体" w:hAnsi="宋体" w:cs="宋体"/>
          <w:sz w:val="24"/>
        </w:rPr>
        <w:t>16.2 承包人违约</w:t>
      </w:r>
    </w:p>
    <w:p>
      <w:pPr>
        <w:spacing w:line="360" w:lineRule="auto"/>
        <w:ind w:firstLine="480" w:firstLineChars="200"/>
        <w:jc w:val="left"/>
        <w:rPr>
          <w:rFonts w:ascii="宋体" w:hAnsi="宋体" w:cs="宋体"/>
          <w:kern w:val="0"/>
          <w:sz w:val="24"/>
        </w:rPr>
      </w:pPr>
      <w:r>
        <w:rPr>
          <w:rFonts w:hint="eastAsia" w:ascii="宋体" w:hAnsi="宋体" w:cs="宋体"/>
          <w:kern w:val="0"/>
          <w:sz w:val="24"/>
        </w:rPr>
        <w:t>16.2.1 承包人违约的情形</w:t>
      </w:r>
    </w:p>
    <w:p>
      <w:pPr>
        <w:spacing w:line="360" w:lineRule="auto"/>
        <w:jc w:val="left"/>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承包人未按照设计文件和施工规范进行施工，擅自修改工程设计的。经百色市的质量检测部门最终鉴定工程质量达不到合同约定的等级，工程质量不合格的。因承包人的原因致使建设工程在合理使用期限内造成人身和财产损害的。</w:t>
      </w:r>
    </w:p>
    <w:p>
      <w:pPr>
        <w:spacing w:line="360" w:lineRule="auto"/>
        <w:ind w:firstLine="600" w:firstLineChars="250"/>
        <w:jc w:val="left"/>
        <w:rPr>
          <w:rFonts w:ascii="宋体" w:hAnsi="宋体" w:cs="宋体"/>
          <w:kern w:val="0"/>
          <w:sz w:val="24"/>
        </w:rPr>
      </w:pPr>
      <w:r>
        <w:rPr>
          <w:rFonts w:hint="eastAsia" w:ascii="宋体" w:hAnsi="宋体" w:cs="宋体"/>
          <w:kern w:val="0"/>
          <w:sz w:val="24"/>
        </w:rPr>
        <w:t>16.2.2承包人违约的责任</w:t>
      </w:r>
    </w:p>
    <w:p>
      <w:pPr>
        <w:ind w:firstLine="480" w:firstLineChars="200"/>
        <w:rPr>
          <w:rFonts w:ascii="宋体" w:hAnsi="宋体" w:cs="宋体"/>
          <w:kern w:val="0"/>
          <w:sz w:val="24"/>
        </w:rPr>
      </w:pPr>
      <w:r>
        <w:rPr>
          <w:rFonts w:hint="eastAsia" w:ascii="宋体" w:hAnsi="宋体" w:cs="宋体"/>
          <w:kern w:val="0"/>
          <w:sz w:val="24"/>
        </w:rPr>
        <w:t>承包人违约责任的承担方式和计算方法：</w:t>
      </w:r>
    </w:p>
    <w:p>
      <w:pPr>
        <w:ind w:firstLine="480" w:firstLineChars="200"/>
        <w:rPr>
          <w:rFonts w:ascii="宋体" w:hAnsi="宋体" w:cs="宋体"/>
          <w:sz w:val="24"/>
          <w:u w:val="single"/>
        </w:rPr>
      </w:pPr>
      <w:r>
        <w:rPr>
          <w:rFonts w:hint="eastAsia" w:ascii="宋体" w:hAnsi="宋体" w:cs="宋体"/>
          <w:sz w:val="24"/>
          <w:u w:val="single"/>
        </w:rPr>
        <w:t>承担方式：发包人可以从要求承包人支付违约金、赔偿损失、减少工程款、采取补救措施等方式中选择适当方式要求承包人承担违约责任。</w:t>
      </w:r>
    </w:p>
    <w:p>
      <w:pPr>
        <w:ind w:firstLine="480" w:firstLineChars="200"/>
        <w:rPr>
          <w:rFonts w:ascii="宋体" w:hAnsi="宋体" w:cs="宋体"/>
          <w:sz w:val="24"/>
          <w:u w:val="single"/>
        </w:rPr>
      </w:pPr>
      <w:r>
        <w:rPr>
          <w:rFonts w:hint="eastAsia" w:ascii="宋体" w:hAnsi="宋体" w:cs="宋体"/>
          <w:sz w:val="24"/>
          <w:u w:val="single"/>
        </w:rPr>
        <w:t>计算方法：（1）承包人违反合同约定进行转包或违法分包的，支付工程价款10%违约金。</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（2）承包人违反合同约定采购和使用不合格的材料和工程设备的，支付工程价款10%违约金，赔偿发包人因此遭受的损失。</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（3）因承包人原因导致工程质量不符合合同要求的，发包人有权要求承包人在合理期限内无偿修理或者返工、改建。经过修理或者返工、改建后，造成逾期交付的，按本条第（5）点处理。</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（4）承包人违反第8.9款〔材料与设备专用要求〕的约定，未经批准，私自将已按照合同约定进入施工现场的材料或设备撤离施工现场的，支付工程价款10%违约金。</w:t>
      </w:r>
    </w:p>
    <w:p>
      <w:pPr>
        <w:spacing w:line="400" w:lineRule="exact"/>
        <w:ind w:left="181" w:leftChars="86" w:firstLine="120" w:firstLineChars="50"/>
        <w:rPr>
          <w:rFonts w:ascii="宋体" w:hAnsi="宋体" w:cs="宋体"/>
          <w:sz w:val="24"/>
          <w:u w:val="single"/>
        </w:rPr>
      </w:pPr>
      <w:r>
        <w:rPr>
          <w:rFonts w:hint="eastAsia" w:ascii="宋体" w:hAnsi="宋体" w:cs="宋体"/>
          <w:sz w:val="24"/>
          <w:u w:val="single"/>
        </w:rPr>
        <w:t>（5）承包人未能按施工进度计划及时完成合同约定的工作，造成工期延误的，按照经发包人批准的施工进度计划确定的总工期（不包括发包人另行招标的分包项目工期），每拖延一天，应付违约金按合同价的0.04%给发包人，工期延误违约金的限额为合同价的4%。</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（6）承包人在缺陷责任期及保修期内，未能在合理期限对工程缺陷进行修复，或拒绝按发包人要求进行修复的，支付工程价款10%违约金，发包人有权请第三方予以修复，费用由承包人承担。</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（7）承包人未按照设计文件和施工规范进行施工，擅自修改工程设计的，支付工程价款10%违约金，赔偿发包人因此遭受的损失。</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8）经百色市的质量检测部门最终鉴定工程质量达不到合同约定的等级，工程质量不合格的，发包人有权要求承包人在合理期限内无偿修理或者返工、改建。经过修理或者返工、改建后，造成逾期交付的，按本条第（5）点处理。</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（9）因承包人的原因致使建设工程在合理使用期限内造成人身和财产损害的，支付工程价款10%违约金，赔偿发包人因此遭受的损失。</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 xml:space="preserve">（10）承包人未能按照合同约定履行其他义务的，支付工程价款10%违约金，赔偿发包人因此遭受的损失。    </w:t>
      </w:r>
    </w:p>
    <w:p>
      <w:pPr>
        <w:spacing w:line="360" w:lineRule="auto"/>
        <w:ind w:firstLine="480" w:firstLineChars="200"/>
        <w:jc w:val="left"/>
        <w:rPr>
          <w:rFonts w:ascii="宋体" w:hAnsi="宋体" w:cs="宋体"/>
          <w:sz w:val="24"/>
        </w:rPr>
      </w:pPr>
      <w:r>
        <w:rPr>
          <w:rFonts w:hint="eastAsia" w:ascii="宋体" w:hAnsi="宋体" w:cs="宋体"/>
          <w:sz w:val="24"/>
        </w:rPr>
        <w:t>16.2.3 因承包人违约解除合同</w:t>
      </w:r>
    </w:p>
    <w:p>
      <w:pPr>
        <w:spacing w:before="120" w:after="120" w:line="360" w:lineRule="auto"/>
        <w:ind w:firstLine="480" w:firstLineChars="200"/>
        <w:rPr>
          <w:rFonts w:ascii="宋体" w:hAnsi="宋体" w:cs="宋体"/>
          <w:kern w:val="0"/>
          <w:sz w:val="24"/>
        </w:rPr>
      </w:pPr>
      <w:r>
        <w:rPr>
          <w:rFonts w:hint="eastAsia" w:ascii="宋体" w:hAnsi="宋体" w:cs="宋体"/>
          <w:kern w:val="0"/>
          <w:sz w:val="24"/>
        </w:rPr>
        <w:t>关于承包人违约解除合同的特别约定：</w:t>
      </w:r>
      <w:r>
        <w:rPr>
          <w:rFonts w:hint="eastAsia" w:ascii="宋体" w:hAnsi="宋体" w:cs="宋体"/>
          <w:sz w:val="24"/>
          <w:u w:val="single"/>
        </w:rPr>
        <w:t xml:space="preserve">/  </w:t>
      </w:r>
      <w:r>
        <w:rPr>
          <w:rFonts w:hint="eastAsia" w:ascii="宋体" w:hAnsi="宋体" w:cs="宋体"/>
          <w:kern w:val="0"/>
          <w:sz w:val="24"/>
        </w:rPr>
        <w:t>。</w:t>
      </w:r>
    </w:p>
    <w:p>
      <w:pPr>
        <w:spacing w:before="120" w:after="120"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kern w:val="0"/>
          <w:sz w:val="24"/>
          <w:u w:val="single"/>
        </w:rPr>
        <w:t xml:space="preserve">材料、设备、临时工程按照市场价结算，其它资料无偿提供  </w:t>
      </w:r>
      <w:r>
        <w:rPr>
          <w:rFonts w:hint="eastAsia" w:ascii="宋体" w:hAnsi="宋体" w:cs="宋体"/>
          <w:kern w:val="0"/>
          <w:sz w:val="24"/>
        </w:rPr>
        <w:t>。</w:t>
      </w:r>
    </w:p>
    <w:p>
      <w:pPr>
        <w:pStyle w:val="5"/>
        <w:spacing w:before="120" w:after="120" w:line="360" w:lineRule="auto"/>
        <w:rPr>
          <w:rFonts w:ascii="宋体" w:hAnsi="宋体" w:cs="宋体"/>
          <w:b w:val="0"/>
          <w:bCs w:val="0"/>
          <w:sz w:val="24"/>
          <w:szCs w:val="24"/>
        </w:rPr>
      </w:pPr>
      <w:bookmarkStart w:id="614" w:name="_Toc384891866"/>
      <w:bookmarkStart w:id="615" w:name="_Toc351203649"/>
      <w:bookmarkStart w:id="616" w:name="_Toc384892069"/>
      <w:r>
        <w:rPr>
          <w:rFonts w:hint="eastAsia" w:ascii="宋体" w:hAnsi="宋体" w:cs="宋体"/>
          <w:b w:val="0"/>
          <w:bCs w:val="0"/>
          <w:sz w:val="24"/>
          <w:szCs w:val="24"/>
        </w:rPr>
        <w:t>17. 不可抗力</w:t>
      </w:r>
      <w:bookmarkEnd w:id="614"/>
      <w:bookmarkEnd w:id="615"/>
      <w:bookmarkEnd w:id="616"/>
      <w:r>
        <w:rPr>
          <w:rFonts w:hint="eastAsia" w:ascii="宋体" w:hAnsi="宋体" w:cs="宋体"/>
          <w:b w:val="0"/>
          <w:bCs w:val="0"/>
          <w:sz w:val="24"/>
          <w:szCs w:val="24"/>
        </w:rPr>
        <w:t xml:space="preserve"> </w:t>
      </w:r>
      <w:bookmarkEnd w:id="612"/>
    </w:p>
    <w:p>
      <w:pPr>
        <w:spacing w:after="120" w:line="360" w:lineRule="auto"/>
        <w:ind w:firstLine="480" w:firstLineChars="200"/>
        <w:rPr>
          <w:rFonts w:ascii="宋体" w:hAnsi="宋体" w:cs="宋体"/>
          <w:sz w:val="24"/>
        </w:rPr>
      </w:pPr>
      <w:r>
        <w:rPr>
          <w:rFonts w:hint="eastAsia" w:ascii="宋体" w:hAnsi="宋体" w:cs="宋体"/>
          <w:sz w:val="24"/>
        </w:rPr>
        <w:t>17.1 不可抗力的确认</w:t>
      </w:r>
    </w:p>
    <w:p>
      <w:pPr>
        <w:spacing w:line="360" w:lineRule="auto"/>
        <w:ind w:firstLine="480" w:firstLineChars="200"/>
        <w:jc w:val="left"/>
        <w:rPr>
          <w:rFonts w:ascii="宋体" w:hAnsi="宋体" w:cs="宋体"/>
          <w:kern w:val="0"/>
          <w:sz w:val="24"/>
          <w:u w:val="single"/>
        </w:rPr>
      </w:pPr>
      <w:r>
        <w:rPr>
          <w:rFonts w:hint="eastAsia" w:ascii="宋体" w:hAnsi="宋体" w:cs="宋体"/>
          <w:sz w:val="24"/>
        </w:rPr>
        <w:t xml:space="preserve">除通用合同条款约定的不可抗力事件之外，视为不可抗力的其他情形： </w:t>
      </w:r>
      <w:r>
        <w:rPr>
          <w:rFonts w:hint="eastAsia" w:ascii="宋体" w:hAnsi="宋体" w:cs="宋体"/>
          <w:kern w:val="0"/>
          <w:sz w:val="24"/>
          <w:u w:val="single"/>
        </w:rPr>
        <w:t xml:space="preserve"> </w:t>
      </w:r>
      <w:r>
        <w:rPr>
          <w:rFonts w:hint="eastAsia" w:ascii="宋体" w:hAnsi="宋体" w:cs="宋体"/>
          <w:sz w:val="24"/>
          <w:u w:val="single"/>
        </w:rPr>
        <w:t>（1）特殊天气如下雨、下雪、冰雹、气温低于零下5度的连续降温、6级以上大风等（2） 当地政府对建设工程项目施工有特殊规定的</w:t>
      </w:r>
      <w:r>
        <w:rPr>
          <w:rFonts w:hint="eastAsia" w:ascii="宋体" w:hAnsi="宋体" w:cs="宋体"/>
          <w:kern w:val="0"/>
          <w:sz w:val="24"/>
        </w:rPr>
        <w:t>。</w:t>
      </w:r>
    </w:p>
    <w:p>
      <w:pPr>
        <w:spacing w:after="120" w:line="360" w:lineRule="auto"/>
        <w:ind w:firstLine="480" w:firstLineChars="200"/>
        <w:rPr>
          <w:rFonts w:ascii="宋体" w:hAnsi="宋体" w:cs="宋体"/>
          <w:sz w:val="24"/>
        </w:rPr>
      </w:pPr>
      <w:r>
        <w:rPr>
          <w:rFonts w:hint="eastAsia" w:ascii="宋体" w:hAnsi="宋体" w:cs="宋体"/>
          <w:sz w:val="24"/>
        </w:rPr>
        <w:t>17.4 因不可抗力解除合同</w:t>
      </w:r>
    </w:p>
    <w:p>
      <w:pPr>
        <w:spacing w:line="360" w:lineRule="auto"/>
        <w:ind w:firstLine="480" w:firstLineChars="200"/>
        <w:jc w:val="left"/>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w:t>
      </w:r>
      <w:r>
        <w:rPr>
          <w:rFonts w:hint="eastAsia" w:ascii="宋体" w:hAnsi="宋体" w:cs="宋体"/>
          <w:sz w:val="24"/>
        </w:rPr>
        <w:t>天内完成款项的支付。</w:t>
      </w:r>
    </w:p>
    <w:p>
      <w:pPr>
        <w:pStyle w:val="5"/>
        <w:spacing w:before="120" w:after="120" w:line="360" w:lineRule="auto"/>
        <w:rPr>
          <w:rFonts w:ascii="宋体" w:hAnsi="宋体" w:cs="宋体"/>
          <w:b w:val="0"/>
          <w:bCs w:val="0"/>
          <w:sz w:val="24"/>
          <w:szCs w:val="24"/>
        </w:rPr>
      </w:pPr>
      <w:bookmarkStart w:id="617" w:name="_Toc351203650"/>
      <w:bookmarkStart w:id="618" w:name="_Toc384892070"/>
      <w:bookmarkStart w:id="619" w:name="_Toc384891867"/>
      <w:r>
        <w:rPr>
          <w:rFonts w:hint="eastAsia" w:ascii="宋体" w:hAnsi="宋体" w:cs="宋体"/>
          <w:b w:val="0"/>
          <w:bCs w:val="0"/>
          <w:sz w:val="24"/>
          <w:szCs w:val="24"/>
        </w:rPr>
        <w:t>18. 保险</w:t>
      </w:r>
      <w:bookmarkEnd w:id="617"/>
      <w:bookmarkEnd w:id="618"/>
      <w:bookmarkEnd w:id="619"/>
    </w:p>
    <w:bookmarkEnd w:id="613"/>
    <w:p>
      <w:pPr>
        <w:spacing w:after="120" w:line="360" w:lineRule="auto"/>
        <w:ind w:firstLine="480" w:firstLineChars="200"/>
        <w:rPr>
          <w:rFonts w:ascii="宋体" w:hAnsi="宋体" w:cs="宋体"/>
          <w:sz w:val="24"/>
        </w:rPr>
      </w:pPr>
      <w:r>
        <w:rPr>
          <w:rFonts w:hint="eastAsia" w:ascii="宋体" w:hAnsi="宋体" w:cs="宋体"/>
          <w:sz w:val="24"/>
        </w:rPr>
        <w:t>18.1 工程保险</w:t>
      </w:r>
    </w:p>
    <w:p>
      <w:pPr>
        <w:spacing w:line="360" w:lineRule="auto"/>
        <w:ind w:firstLine="480" w:firstLineChars="200"/>
        <w:jc w:val="left"/>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承包人必须为施工现场管理人员和施工作业人员办理意外伤害保险，并支付保险费；发包人需要办理保险的费用由其自行承担。</w:t>
      </w:r>
      <w:r>
        <w:rPr>
          <w:rFonts w:hint="eastAsia" w:ascii="宋体" w:hAnsi="宋体" w:cs="宋体"/>
          <w:kern w:val="0"/>
          <w:sz w:val="24"/>
          <w:u w:val="single"/>
        </w:rPr>
        <w:t xml:space="preserve"> </w:t>
      </w:r>
    </w:p>
    <w:p>
      <w:pPr>
        <w:spacing w:after="120" w:line="360" w:lineRule="auto"/>
        <w:ind w:firstLine="480" w:firstLineChars="200"/>
        <w:rPr>
          <w:rFonts w:ascii="宋体" w:hAnsi="宋体" w:cs="宋体"/>
          <w:sz w:val="24"/>
        </w:rPr>
      </w:pPr>
      <w:r>
        <w:rPr>
          <w:rFonts w:hint="eastAsia" w:ascii="宋体" w:hAnsi="宋体" w:cs="宋体"/>
          <w:sz w:val="24"/>
        </w:rPr>
        <w:t>18.3 其他保险</w:t>
      </w:r>
    </w:p>
    <w:p>
      <w:pPr>
        <w:spacing w:line="360" w:lineRule="auto"/>
        <w:ind w:firstLine="480" w:firstLineChars="200"/>
        <w:jc w:val="left"/>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18.7 通知义务</w:t>
      </w:r>
    </w:p>
    <w:p>
      <w:pPr>
        <w:spacing w:line="360" w:lineRule="auto"/>
        <w:ind w:firstLine="480" w:firstLineChars="200"/>
        <w:jc w:val="left"/>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w:t>
      </w:r>
    </w:p>
    <w:bookmarkEnd w:id="587"/>
    <w:bookmarkEnd w:id="588"/>
    <w:bookmarkEnd w:id="589"/>
    <w:bookmarkEnd w:id="590"/>
    <w:bookmarkEnd w:id="591"/>
    <w:bookmarkEnd w:id="592"/>
    <w:bookmarkEnd w:id="593"/>
    <w:bookmarkEnd w:id="594"/>
    <w:bookmarkEnd w:id="595"/>
    <w:bookmarkEnd w:id="596"/>
    <w:bookmarkEnd w:id="597"/>
    <w:bookmarkEnd w:id="598"/>
    <w:p>
      <w:pPr>
        <w:pStyle w:val="5"/>
        <w:spacing w:before="120" w:after="120" w:line="360" w:lineRule="auto"/>
        <w:rPr>
          <w:rFonts w:ascii="宋体" w:hAnsi="宋体" w:cs="宋体"/>
          <w:b w:val="0"/>
          <w:bCs w:val="0"/>
          <w:sz w:val="24"/>
          <w:szCs w:val="24"/>
        </w:rPr>
      </w:pPr>
      <w:bookmarkStart w:id="620" w:name="_Toc351203651"/>
      <w:bookmarkStart w:id="621" w:name="_Toc384892071"/>
      <w:bookmarkStart w:id="622" w:name="_Toc384891868"/>
      <w:r>
        <w:rPr>
          <w:rFonts w:hint="eastAsia" w:ascii="宋体" w:hAnsi="宋体" w:cs="宋体"/>
          <w:b w:val="0"/>
          <w:bCs w:val="0"/>
          <w:sz w:val="24"/>
          <w:szCs w:val="24"/>
        </w:rPr>
        <w:t>20. 争议解决</w:t>
      </w:r>
      <w:bookmarkEnd w:id="620"/>
      <w:bookmarkEnd w:id="621"/>
      <w:bookmarkEnd w:id="622"/>
    </w:p>
    <w:bookmarkEnd w:id="599"/>
    <w:bookmarkEnd w:id="600"/>
    <w:p>
      <w:pPr>
        <w:spacing w:after="120" w:line="360" w:lineRule="auto"/>
        <w:ind w:firstLine="480" w:firstLineChars="200"/>
        <w:rPr>
          <w:rFonts w:ascii="宋体" w:hAnsi="宋体" w:cs="宋体"/>
          <w:sz w:val="24"/>
        </w:rPr>
      </w:pPr>
      <w:r>
        <w:rPr>
          <w:rFonts w:hint="eastAsia" w:ascii="宋体" w:hAnsi="宋体" w:cs="宋体"/>
          <w:sz w:val="24"/>
        </w:rPr>
        <w:t>20.3 争</w:t>
      </w:r>
      <w:bookmarkEnd w:id="601"/>
      <w:r>
        <w:rPr>
          <w:rFonts w:hint="eastAsia" w:ascii="宋体" w:hAnsi="宋体" w:cs="宋体"/>
          <w:sz w:val="24"/>
        </w:rPr>
        <w:t>议评审</w:t>
      </w:r>
    </w:p>
    <w:p>
      <w:pPr>
        <w:spacing w:line="360" w:lineRule="auto"/>
        <w:ind w:firstLine="480" w:firstLineChars="200"/>
        <w:jc w:val="left"/>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不同意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20.3.1 争议评审小组的确定</w:t>
      </w:r>
    </w:p>
    <w:p>
      <w:pPr>
        <w:spacing w:line="360" w:lineRule="auto"/>
        <w:ind w:firstLine="480" w:firstLineChars="200"/>
        <w:jc w:val="left"/>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20.3.2 争议评审小组的决定</w:t>
      </w:r>
    </w:p>
    <w:p>
      <w:pPr>
        <w:spacing w:line="360" w:lineRule="auto"/>
        <w:ind w:firstLine="480" w:firstLineChars="200"/>
        <w:jc w:val="left"/>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20.4仲裁或诉讼</w:t>
      </w:r>
      <w:bookmarkEnd w:id="602"/>
    </w:p>
    <w:p>
      <w:pPr>
        <w:spacing w:after="120" w:line="360" w:lineRule="auto"/>
        <w:ind w:firstLine="480" w:firstLineChars="200"/>
        <w:rPr>
          <w:rFonts w:ascii="宋体" w:hAnsi="宋体" w:cs="宋体"/>
          <w:sz w:val="24"/>
        </w:rPr>
      </w:pPr>
      <w:r>
        <w:rPr>
          <w:rFonts w:hint="eastAsia" w:ascii="宋体" w:hAnsi="宋体" w:cs="宋体"/>
          <w:sz w:val="24"/>
        </w:rPr>
        <w:t>因合同及合同有关事项发生的争议，按下列第</w:t>
      </w:r>
      <w:r>
        <w:rPr>
          <w:rFonts w:hint="eastAsia" w:ascii="宋体" w:hAnsi="宋体" w:cs="宋体"/>
          <w:sz w:val="24"/>
          <w:u w:val="single"/>
        </w:rPr>
        <w:t xml:space="preserve"> 2 </w:t>
      </w:r>
      <w:r>
        <w:rPr>
          <w:rFonts w:hint="eastAsia" w:ascii="宋体" w:hAnsi="宋体" w:cs="宋体"/>
          <w:sz w:val="24"/>
        </w:rPr>
        <w:t>种方式解决：</w:t>
      </w:r>
    </w:p>
    <w:p>
      <w:pPr>
        <w:spacing w:line="360" w:lineRule="auto"/>
        <w:ind w:firstLine="480" w:firstLineChars="200"/>
        <w:jc w:val="left"/>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w:t>
      </w:r>
      <w:r>
        <w:rPr>
          <w:rFonts w:hint="eastAsia" w:ascii="宋体" w:hAnsi="宋体" w:cs="宋体"/>
          <w:sz w:val="24"/>
        </w:rPr>
        <w:t>仲裁委员会申请仲裁；</w:t>
      </w:r>
    </w:p>
    <w:p>
      <w:pPr>
        <w:spacing w:line="360" w:lineRule="auto"/>
        <w:ind w:firstLine="480" w:firstLineChars="200"/>
        <w:jc w:val="left"/>
        <w:rPr>
          <w:rFonts w:ascii="宋体" w:hAnsi="宋体" w:cs="宋体"/>
          <w:sz w:val="24"/>
        </w:rPr>
      </w:pPr>
      <w:r>
        <w:rPr>
          <w:rFonts w:hint="eastAsia" w:ascii="宋体" w:hAnsi="宋体" w:cs="宋体"/>
          <w:sz w:val="24"/>
        </w:rPr>
        <w:t>（2）向</w:t>
      </w:r>
      <w:r>
        <w:rPr>
          <w:rFonts w:hint="eastAsia" w:ascii="宋体" w:hAnsi="宋体" w:cs="宋体"/>
          <w:sz w:val="24"/>
          <w:u w:val="single"/>
        </w:rPr>
        <w:t>项目所地址</w:t>
      </w:r>
      <w:r>
        <w:rPr>
          <w:rFonts w:hint="eastAsia" w:ascii="宋体" w:hAnsi="宋体" w:cs="宋体"/>
          <w:sz w:val="24"/>
        </w:rPr>
        <w:t>人民法院起诉。</w:t>
      </w:r>
      <w:bookmarkEnd w:id="603"/>
      <w:bookmarkEnd w:id="604"/>
      <w:bookmarkEnd w:id="605"/>
      <w:bookmarkEnd w:id="606"/>
      <w:bookmarkEnd w:id="607"/>
      <w:bookmarkEnd w:id="608"/>
    </w:p>
    <w:p>
      <w:pPr>
        <w:spacing w:line="360" w:lineRule="auto"/>
        <w:jc w:val="left"/>
        <w:rPr>
          <w:rFonts w:ascii="宋体" w:hAnsi="宋体" w:cs="宋体"/>
          <w:sz w:val="32"/>
          <w:szCs w:val="32"/>
        </w:rPr>
      </w:pPr>
      <w:r>
        <w:rPr>
          <w:rFonts w:hint="eastAsia" w:ascii="宋体" w:hAnsi="宋体" w:cs="宋体"/>
          <w:sz w:val="30"/>
          <w:szCs w:val="32"/>
        </w:rPr>
        <w:br w:type="page"/>
      </w:r>
      <w:bookmarkStart w:id="623" w:name="_Toc351203652"/>
      <w:r>
        <w:rPr>
          <w:rFonts w:hint="eastAsia" w:ascii="宋体" w:hAnsi="宋体" w:cs="宋体"/>
          <w:sz w:val="32"/>
          <w:szCs w:val="32"/>
        </w:rPr>
        <w:t>附件</w:t>
      </w:r>
      <w:bookmarkEnd w:id="623"/>
    </w:p>
    <w:p>
      <w:pPr>
        <w:spacing w:line="360" w:lineRule="auto"/>
        <w:jc w:val="left"/>
        <w:rPr>
          <w:rFonts w:ascii="宋体" w:hAnsi="宋体" w:cs="宋体"/>
          <w:sz w:val="30"/>
          <w:szCs w:val="32"/>
        </w:rPr>
      </w:pPr>
      <w:r>
        <w:rPr>
          <w:rFonts w:hint="eastAsia" w:ascii="宋体" w:hAnsi="宋体" w:cs="宋体"/>
          <w:sz w:val="30"/>
          <w:szCs w:val="32"/>
        </w:rPr>
        <w:t>协议书附件：</w:t>
      </w:r>
    </w:p>
    <w:p>
      <w:pPr>
        <w:spacing w:line="360" w:lineRule="auto"/>
        <w:jc w:val="left"/>
        <w:rPr>
          <w:rFonts w:ascii="宋体" w:hAnsi="宋体" w:cs="宋体"/>
          <w:sz w:val="30"/>
          <w:szCs w:val="32"/>
        </w:rPr>
      </w:pPr>
      <w:r>
        <w:rPr>
          <w:rFonts w:hint="eastAsia" w:ascii="宋体" w:hAnsi="宋体" w:cs="宋体"/>
          <w:sz w:val="30"/>
          <w:szCs w:val="32"/>
        </w:rPr>
        <w:t>附件1：承包人承揽工程项目一览表</w:t>
      </w:r>
    </w:p>
    <w:p>
      <w:pPr>
        <w:spacing w:line="360" w:lineRule="auto"/>
        <w:jc w:val="left"/>
        <w:rPr>
          <w:rFonts w:ascii="宋体" w:hAnsi="宋体" w:cs="宋体"/>
          <w:sz w:val="30"/>
          <w:szCs w:val="32"/>
        </w:rPr>
      </w:pPr>
      <w:r>
        <w:rPr>
          <w:rFonts w:hint="eastAsia" w:ascii="宋体" w:hAnsi="宋体" w:cs="宋体"/>
          <w:sz w:val="30"/>
          <w:szCs w:val="32"/>
        </w:rPr>
        <w:t>专用合同条款附件：</w:t>
      </w:r>
    </w:p>
    <w:p>
      <w:pPr>
        <w:spacing w:line="360" w:lineRule="auto"/>
        <w:jc w:val="left"/>
        <w:rPr>
          <w:rFonts w:ascii="宋体" w:hAnsi="宋体" w:cs="宋体"/>
          <w:sz w:val="30"/>
          <w:szCs w:val="32"/>
        </w:rPr>
      </w:pPr>
      <w:r>
        <w:rPr>
          <w:rFonts w:hint="eastAsia" w:ascii="宋体" w:hAnsi="宋体" w:cs="宋体"/>
          <w:sz w:val="30"/>
          <w:szCs w:val="32"/>
        </w:rPr>
        <w:t>附件2：发包人供应材料设备一览表</w:t>
      </w:r>
    </w:p>
    <w:p>
      <w:pPr>
        <w:spacing w:line="360" w:lineRule="auto"/>
        <w:jc w:val="left"/>
        <w:rPr>
          <w:rFonts w:ascii="宋体" w:hAnsi="宋体" w:cs="宋体"/>
          <w:sz w:val="30"/>
          <w:szCs w:val="32"/>
        </w:rPr>
      </w:pPr>
      <w:r>
        <w:rPr>
          <w:rFonts w:hint="eastAsia" w:ascii="宋体" w:hAnsi="宋体" w:cs="宋体"/>
          <w:sz w:val="30"/>
          <w:szCs w:val="32"/>
        </w:rPr>
        <w:t>附件3：工程质量保修书</w:t>
      </w:r>
    </w:p>
    <w:p>
      <w:pPr>
        <w:spacing w:line="360" w:lineRule="auto"/>
        <w:jc w:val="left"/>
        <w:rPr>
          <w:rFonts w:ascii="宋体" w:hAnsi="宋体" w:cs="宋体"/>
          <w:sz w:val="30"/>
          <w:szCs w:val="32"/>
        </w:rPr>
      </w:pPr>
      <w:r>
        <w:rPr>
          <w:rFonts w:hint="eastAsia" w:ascii="宋体" w:hAnsi="宋体" w:cs="宋体"/>
          <w:sz w:val="30"/>
          <w:szCs w:val="32"/>
        </w:rPr>
        <w:t>附件4：主要建设工程文件目录</w:t>
      </w:r>
    </w:p>
    <w:p>
      <w:pPr>
        <w:spacing w:line="360" w:lineRule="auto"/>
        <w:jc w:val="left"/>
        <w:rPr>
          <w:rFonts w:ascii="宋体" w:hAnsi="宋体" w:cs="宋体"/>
          <w:sz w:val="30"/>
          <w:szCs w:val="32"/>
        </w:rPr>
      </w:pPr>
      <w:r>
        <w:rPr>
          <w:rFonts w:hint="eastAsia" w:ascii="宋体" w:hAnsi="宋体" w:cs="宋体"/>
          <w:sz w:val="30"/>
          <w:szCs w:val="32"/>
        </w:rPr>
        <w:t>附件5：承包人用于本工程施工的机械设备表</w:t>
      </w:r>
    </w:p>
    <w:p>
      <w:pPr>
        <w:spacing w:line="360" w:lineRule="auto"/>
        <w:jc w:val="left"/>
        <w:rPr>
          <w:rFonts w:ascii="宋体" w:hAnsi="宋体" w:cs="宋体"/>
          <w:sz w:val="30"/>
          <w:szCs w:val="32"/>
        </w:rPr>
      </w:pPr>
      <w:r>
        <w:rPr>
          <w:rFonts w:hint="eastAsia" w:ascii="宋体" w:hAnsi="宋体" w:cs="宋体"/>
          <w:sz w:val="30"/>
          <w:szCs w:val="32"/>
        </w:rPr>
        <w:t>附件6：承包人主要施工管理人员表</w:t>
      </w:r>
    </w:p>
    <w:p>
      <w:pPr>
        <w:spacing w:line="360" w:lineRule="auto"/>
        <w:jc w:val="left"/>
        <w:rPr>
          <w:rFonts w:ascii="宋体" w:hAnsi="宋体" w:cs="宋体"/>
          <w:sz w:val="30"/>
          <w:szCs w:val="32"/>
        </w:rPr>
      </w:pPr>
      <w:r>
        <w:rPr>
          <w:rFonts w:hint="eastAsia" w:ascii="宋体" w:hAnsi="宋体" w:cs="宋体"/>
          <w:sz w:val="30"/>
          <w:szCs w:val="32"/>
        </w:rPr>
        <w:t>附件7：分包人主要施工管理人员表</w:t>
      </w:r>
    </w:p>
    <w:p>
      <w:pPr>
        <w:spacing w:line="360" w:lineRule="auto"/>
        <w:jc w:val="left"/>
        <w:rPr>
          <w:rFonts w:ascii="宋体" w:hAnsi="宋体" w:cs="宋体"/>
          <w:sz w:val="30"/>
          <w:szCs w:val="32"/>
        </w:rPr>
      </w:pPr>
      <w:r>
        <w:rPr>
          <w:rFonts w:hint="eastAsia" w:ascii="宋体" w:hAnsi="宋体" w:cs="宋体"/>
          <w:sz w:val="30"/>
          <w:szCs w:val="32"/>
        </w:rPr>
        <w:t>附件8：履约担保格式</w:t>
      </w:r>
    </w:p>
    <w:p>
      <w:pPr>
        <w:spacing w:line="360" w:lineRule="auto"/>
        <w:jc w:val="left"/>
        <w:rPr>
          <w:rFonts w:ascii="宋体" w:hAnsi="宋体" w:cs="宋体"/>
          <w:sz w:val="30"/>
          <w:szCs w:val="32"/>
        </w:rPr>
      </w:pPr>
      <w:r>
        <w:rPr>
          <w:rFonts w:hint="eastAsia" w:ascii="宋体" w:hAnsi="宋体" w:cs="宋体"/>
          <w:sz w:val="30"/>
          <w:szCs w:val="32"/>
        </w:rPr>
        <w:t>附件9：预付款担保格式</w:t>
      </w:r>
    </w:p>
    <w:p>
      <w:pPr>
        <w:spacing w:line="360" w:lineRule="auto"/>
        <w:jc w:val="left"/>
        <w:rPr>
          <w:rFonts w:ascii="宋体" w:hAnsi="宋体" w:cs="宋体"/>
          <w:sz w:val="30"/>
          <w:szCs w:val="32"/>
        </w:rPr>
      </w:pPr>
      <w:r>
        <w:rPr>
          <w:rFonts w:hint="eastAsia" w:ascii="宋体" w:hAnsi="宋体" w:cs="宋体"/>
          <w:sz w:val="30"/>
          <w:szCs w:val="32"/>
        </w:rPr>
        <w:t>附件10：支付担保格式</w:t>
      </w:r>
    </w:p>
    <w:p>
      <w:pPr>
        <w:spacing w:line="360" w:lineRule="auto"/>
        <w:jc w:val="left"/>
        <w:rPr>
          <w:rFonts w:ascii="宋体" w:hAnsi="宋体" w:cs="宋体"/>
          <w:sz w:val="30"/>
          <w:szCs w:val="30"/>
        </w:rPr>
        <w:sectPr>
          <w:headerReference r:id="rId8" w:type="first"/>
          <w:footerReference r:id="rId11" w:type="first"/>
          <w:headerReference r:id="rId7" w:type="default"/>
          <w:footerReference r:id="rId9" w:type="default"/>
          <w:footerReference r:id="rId10" w:type="even"/>
          <w:pgSz w:w="11906" w:h="16838"/>
          <w:pgMar w:top="1440" w:right="1080" w:bottom="1440" w:left="1080" w:header="851" w:footer="992" w:gutter="0"/>
          <w:pgNumType w:start="1"/>
          <w:cols w:space="720" w:num="1"/>
          <w:titlePg/>
          <w:docGrid w:type="lines" w:linePitch="312" w:charSpace="0"/>
        </w:sectPr>
      </w:pPr>
      <w:r>
        <w:rPr>
          <w:rFonts w:hint="eastAsia" w:ascii="宋体" w:hAnsi="宋体" w:cs="宋体"/>
          <w:sz w:val="30"/>
          <w:szCs w:val="32"/>
        </w:rPr>
        <w:t>附件11：暂估价一览表</w:t>
      </w:r>
    </w:p>
    <w:p>
      <w:pPr>
        <w:spacing w:beforeLines="50" w:afterLines="50" w:line="440" w:lineRule="exact"/>
        <w:jc w:val="left"/>
        <w:rPr>
          <w:rFonts w:ascii="宋体" w:hAnsi="宋体" w:cs="宋体"/>
          <w:sz w:val="30"/>
          <w:szCs w:val="30"/>
        </w:rPr>
      </w:pPr>
      <w:r>
        <w:rPr>
          <w:rFonts w:hint="eastAsia" w:ascii="宋体" w:hAnsi="宋体" w:cs="宋体"/>
          <w:sz w:val="30"/>
          <w:szCs w:val="30"/>
        </w:rPr>
        <w:t>附件1：</w:t>
      </w:r>
    </w:p>
    <w:p>
      <w:pPr>
        <w:spacing w:beforeLines="50" w:afterLines="50" w:line="440" w:lineRule="exact"/>
        <w:jc w:val="center"/>
        <w:rPr>
          <w:rFonts w:ascii="宋体" w:hAnsi="宋体" w:cs="宋体"/>
          <w:sz w:val="30"/>
          <w:szCs w:val="30"/>
        </w:rPr>
      </w:pPr>
      <w:r>
        <w:rPr>
          <w:rFonts w:hint="eastAsia" w:ascii="宋体" w:hAnsi="宋体" w:cs="宋体"/>
          <w:sz w:val="30"/>
          <w:szCs w:val="30"/>
        </w:rPr>
        <w:t>承包人承揽工程项目一览表</w:t>
      </w:r>
    </w:p>
    <w:tbl>
      <w:tblPr>
        <w:tblStyle w:val="4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单位工程名称</w:t>
            </w:r>
          </w:p>
        </w:tc>
        <w:tc>
          <w:tcPr>
            <w:tcW w:w="1843"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建设规模</w:t>
            </w:r>
          </w:p>
        </w:tc>
        <w:tc>
          <w:tcPr>
            <w:tcW w:w="1417"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建筑面积(平方米)</w:t>
            </w:r>
          </w:p>
        </w:tc>
        <w:tc>
          <w:tcPr>
            <w:tcW w:w="241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结构形式</w:t>
            </w:r>
          </w:p>
        </w:tc>
        <w:tc>
          <w:tcPr>
            <w:tcW w:w="85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层数</w:t>
            </w:r>
          </w:p>
        </w:tc>
        <w:tc>
          <w:tcPr>
            <w:tcW w:w="156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生产能力</w:t>
            </w:r>
          </w:p>
        </w:tc>
        <w:tc>
          <w:tcPr>
            <w:tcW w:w="2126"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设备安装内容</w:t>
            </w:r>
          </w:p>
        </w:tc>
        <w:tc>
          <w:tcPr>
            <w:tcW w:w="1417"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合同价格（元）</w:t>
            </w:r>
          </w:p>
        </w:tc>
        <w:tc>
          <w:tcPr>
            <w:tcW w:w="85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开工日期</w:t>
            </w:r>
          </w:p>
        </w:tc>
        <w:tc>
          <w:tcPr>
            <w:tcW w:w="85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440" w:lineRule="exact"/>
              <w:ind w:left="63" w:right="63"/>
              <w:rPr>
                <w:rFonts w:ascii="宋体" w:hAnsi="宋体" w:cs="宋体"/>
                <w:sz w:val="30"/>
                <w:szCs w:val="30"/>
                <w:lang w:val="en-US" w:eastAsia="zh-CN"/>
              </w:rPr>
            </w:pPr>
          </w:p>
        </w:tc>
        <w:tc>
          <w:tcPr>
            <w:tcW w:w="1843"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2410"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560" w:type="dxa"/>
            <w:vAlign w:val="center"/>
          </w:tcPr>
          <w:p>
            <w:pPr>
              <w:pStyle w:val="17"/>
              <w:keepNext/>
              <w:spacing w:line="440" w:lineRule="exact"/>
              <w:ind w:left="63" w:right="63"/>
              <w:rPr>
                <w:rFonts w:ascii="宋体" w:hAnsi="宋体" w:cs="宋体"/>
                <w:sz w:val="30"/>
                <w:szCs w:val="30"/>
                <w:lang w:val="en-US" w:eastAsia="zh-CN"/>
              </w:rPr>
            </w:pPr>
          </w:p>
        </w:tc>
        <w:tc>
          <w:tcPr>
            <w:tcW w:w="2126"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440" w:lineRule="exact"/>
              <w:ind w:left="63" w:right="63"/>
              <w:rPr>
                <w:rFonts w:ascii="宋体" w:hAnsi="宋体" w:cs="宋体"/>
                <w:sz w:val="30"/>
                <w:szCs w:val="30"/>
                <w:lang w:val="en-US" w:eastAsia="zh-CN"/>
              </w:rPr>
            </w:pPr>
          </w:p>
        </w:tc>
        <w:tc>
          <w:tcPr>
            <w:tcW w:w="1843"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2410"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560" w:type="dxa"/>
            <w:vAlign w:val="center"/>
          </w:tcPr>
          <w:p>
            <w:pPr>
              <w:pStyle w:val="17"/>
              <w:keepNext/>
              <w:spacing w:line="440" w:lineRule="exact"/>
              <w:ind w:left="63" w:right="63"/>
              <w:rPr>
                <w:rFonts w:ascii="宋体" w:hAnsi="宋体" w:cs="宋体"/>
                <w:sz w:val="30"/>
                <w:szCs w:val="30"/>
                <w:lang w:val="en-US" w:eastAsia="zh-CN"/>
              </w:rPr>
            </w:pPr>
          </w:p>
        </w:tc>
        <w:tc>
          <w:tcPr>
            <w:tcW w:w="2126"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440" w:lineRule="exact"/>
              <w:ind w:left="63" w:right="63"/>
              <w:rPr>
                <w:rFonts w:ascii="宋体" w:hAnsi="宋体" w:cs="宋体"/>
                <w:sz w:val="30"/>
                <w:szCs w:val="30"/>
                <w:lang w:val="en-US" w:eastAsia="zh-CN"/>
              </w:rPr>
            </w:pPr>
          </w:p>
        </w:tc>
        <w:tc>
          <w:tcPr>
            <w:tcW w:w="1843"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2410"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560" w:type="dxa"/>
            <w:vAlign w:val="center"/>
          </w:tcPr>
          <w:p>
            <w:pPr>
              <w:pStyle w:val="17"/>
              <w:keepNext/>
              <w:spacing w:line="440" w:lineRule="exact"/>
              <w:ind w:left="63" w:right="63"/>
              <w:rPr>
                <w:rFonts w:ascii="宋体" w:hAnsi="宋体" w:cs="宋体"/>
                <w:sz w:val="30"/>
                <w:szCs w:val="30"/>
                <w:lang w:val="en-US" w:eastAsia="zh-CN"/>
              </w:rPr>
            </w:pPr>
          </w:p>
        </w:tc>
        <w:tc>
          <w:tcPr>
            <w:tcW w:w="2126"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440" w:lineRule="exact"/>
              <w:ind w:left="63" w:right="63"/>
              <w:rPr>
                <w:rFonts w:ascii="宋体" w:hAnsi="宋体" w:cs="宋体"/>
                <w:sz w:val="30"/>
                <w:szCs w:val="30"/>
                <w:lang w:val="en-US" w:eastAsia="zh-CN"/>
              </w:rPr>
            </w:pPr>
          </w:p>
        </w:tc>
        <w:tc>
          <w:tcPr>
            <w:tcW w:w="1843"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2410"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560" w:type="dxa"/>
            <w:vAlign w:val="center"/>
          </w:tcPr>
          <w:p>
            <w:pPr>
              <w:pStyle w:val="17"/>
              <w:keepNext/>
              <w:spacing w:line="440" w:lineRule="exact"/>
              <w:ind w:left="63" w:right="63"/>
              <w:rPr>
                <w:rFonts w:ascii="宋体" w:hAnsi="宋体" w:cs="宋体"/>
                <w:sz w:val="30"/>
                <w:szCs w:val="30"/>
                <w:lang w:val="en-US" w:eastAsia="zh-CN"/>
              </w:rPr>
            </w:pPr>
          </w:p>
        </w:tc>
        <w:tc>
          <w:tcPr>
            <w:tcW w:w="2126"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r>
    </w:tbl>
    <w:p>
      <w:pPr>
        <w:spacing w:line="440" w:lineRule="exact"/>
        <w:rPr>
          <w:rFonts w:ascii="宋体" w:hAnsi="宋体" w:cs="宋体"/>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cs="宋体"/>
          <w:sz w:val="30"/>
          <w:szCs w:val="30"/>
        </w:rPr>
      </w:pPr>
      <w:r>
        <w:rPr>
          <w:rFonts w:hint="eastAsia" w:ascii="宋体" w:hAnsi="宋体" w:cs="宋体"/>
          <w:sz w:val="30"/>
          <w:szCs w:val="30"/>
        </w:rPr>
        <w:t>附</w:t>
      </w:r>
      <w:bookmarkStart w:id="624" w:name="_Toc296347224"/>
      <w:bookmarkStart w:id="625" w:name="_Toc296891053"/>
      <w:bookmarkStart w:id="626" w:name="_Toc296944564"/>
      <w:bookmarkStart w:id="627" w:name="_Toc296503225"/>
      <w:bookmarkStart w:id="628" w:name="_Toc296891265"/>
      <w:bookmarkStart w:id="629" w:name="_Toc267261692"/>
      <w:bookmarkStart w:id="630" w:name="_Toc296346726"/>
      <w:r>
        <w:rPr>
          <w:rFonts w:hint="eastAsia" w:ascii="宋体" w:hAnsi="宋体" w:cs="宋体"/>
          <w:sz w:val="30"/>
          <w:szCs w:val="30"/>
        </w:rPr>
        <w:t>件2：</w:t>
      </w:r>
    </w:p>
    <w:bookmarkEnd w:id="624"/>
    <w:bookmarkEnd w:id="625"/>
    <w:bookmarkEnd w:id="626"/>
    <w:bookmarkEnd w:id="627"/>
    <w:bookmarkEnd w:id="628"/>
    <w:bookmarkEnd w:id="629"/>
    <w:bookmarkEnd w:id="630"/>
    <w:p>
      <w:pPr>
        <w:spacing w:beforeLines="50" w:afterLines="50" w:line="440" w:lineRule="exact"/>
        <w:jc w:val="center"/>
        <w:rPr>
          <w:rFonts w:ascii="宋体" w:hAnsi="宋体" w:cs="宋体"/>
          <w:sz w:val="30"/>
          <w:szCs w:val="30"/>
        </w:rPr>
      </w:pPr>
      <w:r>
        <w:rPr>
          <w:rFonts w:hint="eastAsia" w:ascii="宋体" w:hAnsi="宋体" w:cs="宋体"/>
          <w:sz w:val="30"/>
          <w:szCs w:val="30"/>
        </w:rPr>
        <w:t>发包人供应材料设备一览表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276"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 xml:space="preserve">  材料、</w:t>
            </w:r>
          </w:p>
          <w:p>
            <w:pPr>
              <w:pStyle w:val="17"/>
              <w:keepNext/>
              <w:spacing w:line="440" w:lineRule="exact"/>
              <w:ind w:right="63"/>
              <w:rPr>
                <w:rFonts w:ascii="宋体" w:hAnsi="宋体" w:cs="宋体"/>
                <w:sz w:val="28"/>
                <w:szCs w:val="30"/>
                <w:lang w:val="en-US" w:eastAsia="zh-CN"/>
              </w:rPr>
            </w:pPr>
            <w:r>
              <w:rPr>
                <w:rFonts w:hint="eastAsia" w:ascii="宋体" w:hAnsi="宋体" w:cs="宋体"/>
                <w:sz w:val="28"/>
                <w:szCs w:val="30"/>
                <w:lang w:val="en-US" w:eastAsia="zh-CN"/>
              </w:rPr>
              <w:t>设备品种</w:t>
            </w:r>
          </w:p>
        </w:tc>
        <w:tc>
          <w:tcPr>
            <w:tcW w:w="141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规格型号</w:t>
            </w:r>
          </w:p>
        </w:tc>
        <w:tc>
          <w:tcPr>
            <w:tcW w:w="94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w:t>
            </w:r>
          </w:p>
        </w:tc>
        <w:tc>
          <w:tcPr>
            <w:tcW w:w="85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104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单价（元）</w:t>
            </w:r>
          </w:p>
        </w:tc>
        <w:tc>
          <w:tcPr>
            <w:tcW w:w="99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质量等级</w:t>
            </w:r>
          </w:p>
        </w:tc>
        <w:tc>
          <w:tcPr>
            <w:tcW w:w="85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供应时间</w:t>
            </w:r>
          </w:p>
        </w:tc>
        <w:tc>
          <w:tcPr>
            <w:tcW w:w="1487"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送达地点</w:t>
            </w:r>
          </w:p>
        </w:tc>
        <w:tc>
          <w:tcPr>
            <w:tcW w:w="99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276"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18"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94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044"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992"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8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992"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27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8"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94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04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99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8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99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bl>
    <w:p>
      <w:pPr>
        <w:spacing w:line="440" w:lineRule="exact"/>
        <w:rPr>
          <w:rFonts w:ascii="宋体" w:hAnsi="宋体" w:cs="宋体"/>
          <w:sz w:val="30"/>
          <w:szCs w:val="30"/>
        </w:rPr>
      </w:pPr>
    </w:p>
    <w:p>
      <w:pPr>
        <w:spacing w:line="440" w:lineRule="exact"/>
        <w:rPr>
          <w:rFonts w:ascii="宋体" w:hAnsi="宋体" w:cs="宋体"/>
          <w:sz w:val="30"/>
          <w:szCs w:val="30"/>
        </w:rPr>
      </w:pPr>
    </w:p>
    <w:p>
      <w:pPr>
        <w:spacing w:line="440" w:lineRule="exact"/>
        <w:rPr>
          <w:rFonts w:ascii="宋体" w:hAnsi="宋体" w:cs="宋体"/>
          <w:sz w:val="30"/>
          <w:szCs w:val="30"/>
        </w:rPr>
      </w:pPr>
    </w:p>
    <w:p>
      <w:pPr>
        <w:spacing w:line="440" w:lineRule="exact"/>
        <w:rPr>
          <w:rFonts w:ascii="宋体" w:hAnsi="宋体" w:cs="宋体"/>
          <w:sz w:val="24"/>
        </w:rPr>
      </w:pPr>
      <w:r>
        <w:rPr>
          <w:rFonts w:hint="eastAsia" w:ascii="宋体" w:hAnsi="宋体" w:cs="宋体"/>
          <w:sz w:val="24"/>
        </w:rPr>
        <w:t>附</w:t>
      </w:r>
      <w:bookmarkStart w:id="631" w:name="_Toc296944565"/>
      <w:bookmarkStart w:id="632" w:name="_Toc296891054"/>
      <w:bookmarkStart w:id="633" w:name="_Toc296891266"/>
      <w:bookmarkStart w:id="634" w:name="_Toc267261693"/>
      <w:bookmarkStart w:id="635" w:name="_Toc296503226"/>
      <w:bookmarkStart w:id="636" w:name="_Toc296346727"/>
      <w:bookmarkStart w:id="637" w:name="_Toc296347225"/>
      <w:r>
        <w:rPr>
          <w:rFonts w:hint="eastAsia" w:ascii="宋体" w:hAnsi="宋体" w:cs="宋体"/>
          <w:sz w:val="24"/>
        </w:rPr>
        <w:t>件3：</w:t>
      </w:r>
      <w:bookmarkEnd w:id="631"/>
      <w:bookmarkEnd w:id="632"/>
      <w:bookmarkEnd w:id="633"/>
      <w:bookmarkEnd w:id="634"/>
      <w:bookmarkEnd w:id="635"/>
      <w:bookmarkEnd w:id="636"/>
      <w:bookmarkEnd w:id="637"/>
      <w:r>
        <w:rPr>
          <w:rFonts w:hint="eastAsia" w:ascii="宋体" w:hAnsi="宋体" w:cs="宋体"/>
          <w:sz w:val="24"/>
        </w:rPr>
        <w:t xml:space="preserve">    </w:t>
      </w:r>
    </w:p>
    <w:p>
      <w:pPr>
        <w:spacing w:beforeLines="50" w:afterLines="50" w:line="440" w:lineRule="exact"/>
        <w:jc w:val="center"/>
        <w:rPr>
          <w:rFonts w:ascii="宋体" w:hAnsi="宋体" w:cs="宋体"/>
          <w:sz w:val="24"/>
        </w:rPr>
      </w:pPr>
      <w:r>
        <w:rPr>
          <w:rFonts w:hint="eastAsia" w:ascii="宋体" w:hAnsi="宋体" w:cs="宋体"/>
          <w:sz w:val="24"/>
        </w:rPr>
        <w:t>工程质量保修书</w:t>
      </w:r>
    </w:p>
    <w:p>
      <w:pPr>
        <w:spacing w:line="440" w:lineRule="exact"/>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rPr>
        <w:t>（工程全称）签订工程质量保修书。</w:t>
      </w:r>
    </w:p>
    <w:p>
      <w:pPr>
        <w:spacing w:line="360" w:lineRule="auto"/>
        <w:rPr>
          <w:rFonts w:ascii="宋体" w:hAnsi="宋体" w:cs="宋体"/>
          <w:sz w:val="24"/>
        </w:rPr>
      </w:pPr>
      <w:r>
        <w:rPr>
          <w:rFonts w:hint="eastAsia" w:ascii="宋体" w:hAnsi="宋体" w:cs="宋体"/>
          <w:sz w:val="24"/>
        </w:rPr>
        <w:t>　　一、工程质量保修范围和内容</w:t>
      </w:r>
    </w:p>
    <w:p>
      <w:pPr>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pPr>
        <w:spacing w:line="360" w:lineRule="auto"/>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二、质量保修期</w:t>
      </w:r>
    </w:p>
    <w:p>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pPr>
        <w:pStyle w:val="23"/>
        <w:spacing w:line="360" w:lineRule="auto"/>
        <w:ind w:left="540"/>
        <w:rPr>
          <w:rFonts w:hAnsi="宋体" w:cs="宋体"/>
          <w:sz w:val="24"/>
        </w:rPr>
      </w:pPr>
      <w:r>
        <w:rPr>
          <w:rFonts w:hint="eastAsia" w:hAnsi="宋体" w:cs="宋体"/>
          <w:sz w:val="24"/>
        </w:rPr>
        <w:t>1.地基基础工程、主体结构工程为设计文件规定的合理使用年限;</w:t>
      </w:r>
    </w:p>
    <w:p>
      <w:pPr>
        <w:pStyle w:val="23"/>
        <w:spacing w:line="360" w:lineRule="auto"/>
        <w:ind w:left="540"/>
        <w:rPr>
          <w:rFonts w:hAnsi="宋体" w:cs="宋体"/>
          <w:sz w:val="24"/>
        </w:rPr>
      </w:pPr>
      <w:r>
        <w:rPr>
          <w:rFonts w:hint="eastAsia" w:hAnsi="宋体" w:cs="宋体"/>
          <w:sz w:val="24"/>
        </w:rPr>
        <w:t>2.屋面防水工程、有防水要求的卫生间、房间和外墙面的防渗漏为</w:t>
      </w:r>
      <w:r>
        <w:rPr>
          <w:rFonts w:hint="eastAsia" w:hAnsi="宋体" w:cs="宋体"/>
          <w:sz w:val="24"/>
          <w:u w:val="single"/>
        </w:rPr>
        <w:t>5</w:t>
      </w:r>
      <w:r>
        <w:rPr>
          <w:rFonts w:hint="eastAsia" w:hAnsi="宋体" w:cs="宋体"/>
          <w:sz w:val="24"/>
        </w:rPr>
        <w:t>年;</w:t>
      </w:r>
    </w:p>
    <w:p>
      <w:pPr>
        <w:pStyle w:val="23"/>
        <w:spacing w:line="360" w:lineRule="auto"/>
        <w:ind w:firstLine="540"/>
        <w:rPr>
          <w:rFonts w:hAnsi="宋体" w:cs="宋体"/>
          <w:sz w:val="24"/>
        </w:rPr>
      </w:pPr>
      <w:r>
        <w:rPr>
          <w:rFonts w:hint="eastAsia" w:hAnsi="宋体" w:cs="宋体"/>
          <w:sz w:val="24"/>
        </w:rPr>
        <w:t>3.供热及供冷系统为</w:t>
      </w:r>
      <w:r>
        <w:rPr>
          <w:rFonts w:hint="eastAsia" w:hAnsi="宋体" w:cs="宋体"/>
          <w:sz w:val="24"/>
          <w:u w:val="single"/>
        </w:rPr>
        <w:t xml:space="preserve"> 2 </w:t>
      </w:r>
      <w:r>
        <w:rPr>
          <w:rFonts w:hint="eastAsia" w:hAnsi="宋体" w:cs="宋体"/>
          <w:sz w:val="24"/>
        </w:rPr>
        <w:t>个采暖期及供冷期；</w:t>
      </w:r>
    </w:p>
    <w:p>
      <w:pPr>
        <w:pStyle w:val="23"/>
        <w:spacing w:line="360" w:lineRule="auto"/>
        <w:ind w:firstLine="540"/>
        <w:rPr>
          <w:rFonts w:hAnsi="宋体" w:cs="宋体"/>
          <w:sz w:val="24"/>
        </w:rPr>
      </w:pPr>
      <w:r>
        <w:rPr>
          <w:rFonts w:hint="eastAsia" w:hAnsi="宋体" w:cs="宋体"/>
          <w:sz w:val="24"/>
        </w:rPr>
        <w:t>4.电气管线、给排水管道、设备安装为</w:t>
      </w:r>
      <w:r>
        <w:rPr>
          <w:rFonts w:hint="eastAsia" w:hAnsi="宋体" w:cs="宋体"/>
          <w:sz w:val="24"/>
          <w:u w:val="single"/>
        </w:rPr>
        <w:t xml:space="preserve"> 2 </w:t>
      </w:r>
      <w:r>
        <w:rPr>
          <w:rFonts w:hint="eastAsia" w:hAnsi="宋体" w:cs="宋体"/>
          <w:sz w:val="24"/>
        </w:rPr>
        <w:t>年；</w:t>
      </w:r>
    </w:p>
    <w:p>
      <w:pPr>
        <w:pStyle w:val="23"/>
        <w:spacing w:line="360" w:lineRule="auto"/>
        <w:ind w:firstLine="540"/>
        <w:rPr>
          <w:rFonts w:hAnsi="宋体" w:cs="宋体"/>
          <w:sz w:val="24"/>
        </w:rPr>
      </w:pPr>
      <w:r>
        <w:rPr>
          <w:rFonts w:hint="eastAsia" w:hAnsi="宋体" w:cs="宋体"/>
          <w:sz w:val="24"/>
        </w:rPr>
        <w:t>5.装修工程为</w:t>
      </w:r>
      <w:r>
        <w:rPr>
          <w:rFonts w:hint="eastAsia" w:hAnsi="宋体" w:cs="宋体"/>
          <w:sz w:val="24"/>
          <w:u w:val="single"/>
        </w:rPr>
        <w:t xml:space="preserve"> 2 </w:t>
      </w:r>
      <w:r>
        <w:rPr>
          <w:rFonts w:hint="eastAsia" w:hAnsi="宋体" w:cs="宋体"/>
          <w:sz w:val="24"/>
        </w:rPr>
        <w:t xml:space="preserve"> 年；</w:t>
      </w:r>
    </w:p>
    <w:p>
      <w:pPr>
        <w:pStyle w:val="23"/>
        <w:spacing w:line="360" w:lineRule="auto"/>
        <w:ind w:firstLine="540"/>
        <w:rPr>
          <w:rFonts w:hAnsi="宋体" w:cs="宋体"/>
          <w:sz w:val="24"/>
        </w:rPr>
      </w:pPr>
      <w:r>
        <w:rPr>
          <w:rFonts w:hint="eastAsia" w:hAnsi="宋体" w:cs="宋体"/>
          <w:sz w:val="24"/>
        </w:rPr>
        <w:t>6.室外的上下水和小区道路等房屋建筑工程为</w:t>
      </w:r>
      <w:r>
        <w:rPr>
          <w:rFonts w:hint="eastAsia" w:hAnsi="宋体" w:cs="宋体"/>
          <w:sz w:val="24"/>
          <w:u w:val="single"/>
        </w:rPr>
        <w:t xml:space="preserve">  2  </w:t>
      </w:r>
      <w:r>
        <w:rPr>
          <w:rFonts w:hint="eastAsia" w:hAnsi="宋体" w:cs="宋体"/>
          <w:sz w:val="24"/>
        </w:rPr>
        <w:t>年；</w:t>
      </w:r>
    </w:p>
    <w:p>
      <w:pPr>
        <w:pStyle w:val="23"/>
        <w:spacing w:line="360" w:lineRule="auto"/>
        <w:ind w:firstLine="540"/>
        <w:rPr>
          <w:rFonts w:hAnsi="宋体" w:cs="宋体"/>
          <w:sz w:val="24"/>
        </w:rPr>
      </w:pPr>
      <w:r>
        <w:rPr>
          <w:rFonts w:hint="eastAsia" w:hAnsi="宋体" w:cs="宋体"/>
          <w:sz w:val="24"/>
        </w:rPr>
        <w:t>7.在没有明文规定下，参照建设工程质量保修条例，双方协商为设计文件规定的该工程的合理使用年限内保修；</w:t>
      </w:r>
    </w:p>
    <w:p>
      <w:pPr>
        <w:pStyle w:val="23"/>
        <w:spacing w:line="360" w:lineRule="auto"/>
        <w:ind w:firstLine="540"/>
        <w:rPr>
          <w:rFonts w:hAnsi="宋体" w:cs="宋体"/>
          <w:sz w:val="24"/>
        </w:rPr>
      </w:pPr>
      <w:r>
        <w:rPr>
          <w:rFonts w:hint="eastAsia" w:hAnsi="宋体" w:cs="宋体"/>
          <w:sz w:val="24"/>
        </w:rPr>
        <w:t>8.其他约定；</w:t>
      </w:r>
    </w:p>
    <w:p>
      <w:pPr>
        <w:spacing w:line="360" w:lineRule="auto"/>
        <w:rPr>
          <w:rFonts w:ascii="宋体" w:hAnsi="宋体" w:cs="宋体"/>
          <w:sz w:val="24"/>
        </w:rPr>
      </w:pPr>
      <w:r>
        <w:rPr>
          <w:rFonts w:hint="eastAsia" w:ascii="宋体" w:hAnsi="宋体" w:cs="宋体"/>
          <w:sz w:val="24"/>
        </w:rPr>
        <w:t>　　质量保修期自工程竣工验收合格之日起计算。</w:t>
      </w:r>
    </w:p>
    <w:p>
      <w:pPr>
        <w:spacing w:line="360" w:lineRule="auto"/>
        <w:ind w:firstLine="480" w:firstLineChars="200"/>
        <w:rPr>
          <w:rFonts w:ascii="宋体" w:hAnsi="宋体" w:cs="宋体"/>
          <w:sz w:val="24"/>
        </w:rPr>
      </w:pPr>
      <w:r>
        <w:rPr>
          <w:rFonts w:hint="eastAsia" w:ascii="宋体" w:hAnsi="宋体" w:cs="宋体"/>
          <w:sz w:val="24"/>
        </w:rPr>
        <w:t>三、缺陷责任期</w:t>
      </w:r>
    </w:p>
    <w:p>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24 </w:t>
      </w:r>
      <w:r>
        <w:rPr>
          <w:rFonts w:hint="eastAsia" w:ascii="宋体" w:hAnsi="宋体" w:cs="宋体"/>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cs="宋体"/>
          <w:sz w:val="24"/>
        </w:rPr>
      </w:pPr>
      <w:r>
        <w:rPr>
          <w:rFonts w:hint="eastAsia" w:ascii="宋体" w:hAnsi="宋体" w:cs="宋体"/>
          <w:sz w:val="24"/>
        </w:rPr>
        <w:t>缺陷责任期终止后，发包人应退还剩余的质量保证金。</w:t>
      </w:r>
    </w:p>
    <w:p>
      <w:pPr>
        <w:spacing w:line="360" w:lineRule="auto"/>
        <w:rPr>
          <w:rFonts w:ascii="宋体" w:hAnsi="宋体" w:cs="宋体"/>
          <w:sz w:val="24"/>
        </w:rPr>
      </w:pPr>
      <w:r>
        <w:rPr>
          <w:rFonts w:hint="eastAsia" w:ascii="宋体" w:hAnsi="宋体" w:cs="宋体"/>
          <w:sz w:val="24"/>
        </w:rPr>
        <w:t xml:space="preserve">    四、质量保修责任</w:t>
      </w:r>
    </w:p>
    <w:p>
      <w:pPr>
        <w:spacing w:line="360" w:lineRule="auto"/>
        <w:ind w:left="105" w:leftChars="50" w:firstLine="491" w:firstLineChars="205"/>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ascii="宋体" w:hAnsi="宋体" w:cs="宋体"/>
          <w:sz w:val="24"/>
        </w:rPr>
      </w:pPr>
      <w:r>
        <w:rPr>
          <w:rFonts w:hint="eastAsia" w:ascii="宋体" w:hAnsi="宋体" w:cs="宋体"/>
          <w:sz w:val="24"/>
        </w:rPr>
        <w:t>2．发生紧急事故需抢修的，承包人在接到事故通知后，应当立即到达事故现场抢修。</w:t>
      </w:r>
    </w:p>
    <w:p>
      <w:pPr>
        <w:spacing w:line="360" w:lineRule="auto"/>
        <w:ind w:left="105" w:leftChars="50" w:firstLine="491" w:firstLineChars="205"/>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pPr>
        <w:spacing w:line="360" w:lineRule="auto"/>
        <w:rPr>
          <w:rFonts w:ascii="宋体" w:hAnsi="宋体" w:cs="宋体"/>
          <w:sz w:val="24"/>
        </w:rPr>
      </w:pPr>
      <w:r>
        <w:rPr>
          <w:rFonts w:hint="eastAsia" w:ascii="宋体" w:hAnsi="宋体" w:cs="宋体"/>
          <w:sz w:val="24"/>
        </w:rPr>
        <w:t>　　五、保修费用</w:t>
      </w:r>
    </w:p>
    <w:p>
      <w:pPr>
        <w:spacing w:line="360" w:lineRule="auto"/>
        <w:rPr>
          <w:rFonts w:ascii="宋体" w:hAnsi="宋体" w:cs="宋体"/>
          <w:sz w:val="24"/>
        </w:rPr>
      </w:pPr>
      <w:r>
        <w:rPr>
          <w:rFonts w:hint="eastAsia" w:ascii="宋体" w:hAnsi="宋体" w:cs="宋体"/>
          <w:sz w:val="24"/>
        </w:rPr>
        <w:t>　　保修费用由造成质量缺陷的责任方承担。</w:t>
      </w:r>
    </w:p>
    <w:p>
      <w:pPr>
        <w:snapToGrid w:val="0"/>
        <w:spacing w:line="400" w:lineRule="exact"/>
        <w:ind w:firstLine="470" w:firstLineChars="196"/>
        <w:rPr>
          <w:rFonts w:ascii="宋体" w:hAnsi="宋体" w:cs="宋体"/>
          <w:sz w:val="24"/>
          <w:u w:val="single"/>
        </w:rPr>
      </w:pPr>
      <w:r>
        <w:rPr>
          <w:rFonts w:hint="eastAsia" w:ascii="宋体" w:hAnsi="宋体" w:cs="宋体"/>
          <w:sz w:val="24"/>
        </w:rPr>
        <w:t>六、双方约定的其他工程质量保修事项：</w:t>
      </w:r>
    </w:p>
    <w:p>
      <w:pPr>
        <w:snapToGrid w:val="0"/>
        <w:spacing w:line="400" w:lineRule="exact"/>
        <w:ind w:firstLine="480" w:firstLineChars="200"/>
        <w:rPr>
          <w:rFonts w:ascii="宋体" w:hAnsi="宋体" w:cs="宋体"/>
          <w:sz w:val="24"/>
          <w:u w:val="single"/>
        </w:rPr>
      </w:pPr>
      <w:r>
        <w:rPr>
          <w:rFonts w:hint="eastAsia" w:ascii="宋体" w:hAnsi="宋体" w:cs="宋体"/>
          <w:sz w:val="24"/>
        </w:rPr>
        <w:t>1.承包人未按照法律法规有关规定和合同约定履行质量保修义务的，发包人有权从质量保证金中扣留用于质量保修的各项支出。</w:t>
      </w:r>
    </w:p>
    <w:p>
      <w:pPr>
        <w:snapToGrid w:val="0"/>
        <w:spacing w:line="400" w:lineRule="exact"/>
        <w:rPr>
          <w:rFonts w:ascii="宋体" w:hAnsi="宋体" w:cs="宋体"/>
          <w:sz w:val="24"/>
          <w:u w:val="single"/>
        </w:rPr>
      </w:pPr>
      <w:r>
        <w:rPr>
          <w:rFonts w:hint="eastAsia" w:ascii="宋体" w:hAnsi="宋体" w:cs="宋体"/>
          <w:sz w:val="24"/>
        </w:rPr>
        <w:t xml:space="preserve">    2.工程质量保证金比例：</w:t>
      </w:r>
      <w:r>
        <w:rPr>
          <w:rFonts w:hint="eastAsia" w:ascii="宋体" w:hAnsi="宋体" w:cs="宋体"/>
          <w:sz w:val="24"/>
          <w:u w:val="single"/>
        </w:rPr>
        <w:t>工程结算价的3%</w:t>
      </w:r>
    </w:p>
    <w:p>
      <w:pPr>
        <w:snapToGrid w:val="0"/>
        <w:spacing w:line="400" w:lineRule="exact"/>
        <w:rPr>
          <w:rFonts w:ascii="宋体" w:hAnsi="宋体" w:cs="宋体"/>
          <w:sz w:val="24"/>
          <w:u w:val="single"/>
        </w:rPr>
      </w:pPr>
      <w:r>
        <w:rPr>
          <w:rFonts w:hint="eastAsia" w:ascii="宋体" w:hAnsi="宋体" w:cs="宋体"/>
          <w:sz w:val="24"/>
        </w:rPr>
        <w:t xml:space="preserve">    3.工程质量保证金的退还：按照合同约定退还质量保证金。</w:t>
      </w:r>
    </w:p>
    <w:p>
      <w:pPr>
        <w:spacing w:line="360" w:lineRule="auto"/>
        <w:ind w:firstLine="456" w:firstLineChars="19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发包人(公章)：</w:t>
      </w:r>
      <w:r>
        <w:rPr>
          <w:rFonts w:hint="eastAsia" w:ascii="宋体" w:hAnsi="宋体" w:cs="宋体"/>
          <w:sz w:val="24"/>
          <w:u w:val="single"/>
        </w:rPr>
        <w:t xml:space="preserve">        </w:t>
      </w:r>
      <w:r>
        <w:rPr>
          <w:rFonts w:hint="eastAsia" w:ascii="宋体" w:hAnsi="宋体" w:cs="宋体"/>
          <w:sz w:val="24"/>
        </w:rPr>
        <w:t xml:space="preserve"> 承包人(公章)：</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r>
        <w:rPr>
          <w:rFonts w:hint="eastAsia" w:ascii="宋体" w:hAnsi="宋体" w:cs="宋体"/>
          <w:sz w:val="24"/>
        </w:rPr>
        <w:t xml:space="preserve"> 地  址：</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      </w:t>
      </w:r>
      <w:r>
        <w:rPr>
          <w:rFonts w:hint="eastAsia" w:ascii="宋体" w:hAnsi="宋体" w:cs="宋体"/>
          <w:sz w:val="24"/>
        </w:rPr>
        <w:t xml:space="preserve">  账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    </w:t>
      </w:r>
      <w:r>
        <w:rPr>
          <w:rFonts w:hint="eastAsia" w:ascii="宋体" w:hAnsi="宋体" w:cs="宋体"/>
          <w:sz w:val="24"/>
        </w:rPr>
        <w:t xml:space="preserve"> 邮政编码：</w:t>
      </w:r>
      <w:r>
        <w:rPr>
          <w:rFonts w:hint="eastAsia" w:ascii="宋体" w:hAnsi="宋体" w:cs="宋体"/>
          <w:sz w:val="24"/>
          <w:u w:val="single"/>
        </w:rPr>
        <w:t xml:space="preserve">   </w:t>
      </w:r>
    </w:p>
    <w:p>
      <w:pPr>
        <w:spacing w:line="440" w:lineRule="exact"/>
        <w:rPr>
          <w:rFonts w:ascii="宋体" w:hAnsi="宋体" w:cs="宋体"/>
          <w:sz w:val="30"/>
          <w:szCs w:val="30"/>
        </w:rPr>
      </w:pPr>
      <w:r>
        <w:rPr>
          <w:rFonts w:hint="eastAsia" w:ascii="宋体" w:hAnsi="宋体" w:cs="宋体"/>
          <w:sz w:val="24"/>
        </w:rPr>
        <w:br w:type="page"/>
      </w:r>
      <w:r>
        <w:rPr>
          <w:rFonts w:hint="eastAsia" w:ascii="宋体" w:hAnsi="宋体" w:cs="宋体"/>
          <w:sz w:val="30"/>
          <w:szCs w:val="30"/>
        </w:rPr>
        <w:t>附件4：</w:t>
      </w:r>
    </w:p>
    <w:p>
      <w:pPr>
        <w:spacing w:beforeLines="50" w:afterLines="50" w:line="440" w:lineRule="exact"/>
        <w:jc w:val="center"/>
        <w:rPr>
          <w:rFonts w:ascii="宋体" w:hAnsi="宋体" w:cs="宋体"/>
          <w:sz w:val="30"/>
          <w:szCs w:val="30"/>
        </w:rPr>
      </w:pPr>
      <w:r>
        <w:rPr>
          <w:rFonts w:hint="eastAsia" w:ascii="宋体" w:hAnsi="宋体" w:cs="宋体"/>
          <w:sz w:val="30"/>
          <w:szCs w:val="30"/>
        </w:rPr>
        <w:t>主要建设工程文件目录</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文件名称</w:t>
            </w:r>
          </w:p>
        </w:tc>
        <w:tc>
          <w:tcPr>
            <w:tcW w:w="1276"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套数</w:t>
            </w:r>
          </w:p>
        </w:tc>
        <w:tc>
          <w:tcPr>
            <w:tcW w:w="145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费用（元）</w:t>
            </w:r>
          </w:p>
        </w:tc>
        <w:tc>
          <w:tcPr>
            <w:tcW w:w="1243"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质量</w:t>
            </w:r>
          </w:p>
        </w:tc>
        <w:tc>
          <w:tcPr>
            <w:tcW w:w="1450" w:type="dxa"/>
            <w:tcBorders>
              <w:top w:val="single" w:color="auto" w:sz="12" w:space="0"/>
              <w:bottom w:val="double" w:color="auto" w:sz="6" w:space="0"/>
            </w:tcBorders>
          </w:tcPr>
          <w:p>
            <w:pPr>
              <w:spacing w:line="440" w:lineRule="exact"/>
              <w:jc w:val="center"/>
              <w:rPr>
                <w:rFonts w:ascii="宋体" w:hAnsi="宋体" w:cs="宋体"/>
                <w:sz w:val="28"/>
                <w:szCs w:val="30"/>
              </w:rPr>
            </w:pPr>
            <w:r>
              <w:rPr>
                <w:rFonts w:hint="eastAsia" w:ascii="宋体" w:hAnsi="宋体" w:cs="宋体"/>
                <w:sz w:val="28"/>
                <w:szCs w:val="30"/>
              </w:rPr>
              <w:t>移交时间</w:t>
            </w:r>
          </w:p>
        </w:tc>
        <w:tc>
          <w:tcPr>
            <w:tcW w:w="1667" w:type="dxa"/>
            <w:tcBorders>
              <w:top w:val="single" w:color="auto" w:sz="12" w:space="0"/>
              <w:bottom w:val="double" w:color="auto" w:sz="6" w:space="0"/>
            </w:tcBorders>
          </w:tcPr>
          <w:p>
            <w:pPr>
              <w:spacing w:line="440" w:lineRule="exact"/>
              <w:jc w:val="center"/>
              <w:rPr>
                <w:rFonts w:ascii="宋体" w:hAnsi="宋体" w:cs="宋体"/>
                <w:sz w:val="28"/>
                <w:szCs w:val="30"/>
              </w:rPr>
            </w:pPr>
            <w:r>
              <w:rPr>
                <w:rFonts w:hint="eastAsia" w:ascii="宋体" w:hAnsi="宋体" w:cs="宋体"/>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276"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243"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66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27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2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66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bl>
    <w:p>
      <w:pPr>
        <w:spacing w:line="440" w:lineRule="exact"/>
        <w:rPr>
          <w:rFonts w:ascii="宋体" w:hAnsi="宋体" w:cs="宋体"/>
          <w:sz w:val="30"/>
          <w:szCs w:val="30"/>
        </w:rPr>
      </w:pPr>
    </w:p>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w:t>
      </w:r>
      <w:bookmarkStart w:id="638" w:name="_Toc296891267"/>
      <w:bookmarkStart w:id="639" w:name="_Toc296347226"/>
      <w:bookmarkStart w:id="640" w:name="_Toc296503227"/>
      <w:bookmarkStart w:id="641" w:name="_Toc296891055"/>
      <w:bookmarkStart w:id="642" w:name="_Toc296346728"/>
      <w:bookmarkStart w:id="643" w:name="_Toc296944566"/>
      <w:bookmarkStart w:id="644" w:name="_Toc267261698"/>
      <w:r>
        <w:rPr>
          <w:rFonts w:hint="eastAsia" w:ascii="宋体" w:hAnsi="宋体" w:cs="宋体"/>
          <w:sz w:val="30"/>
          <w:szCs w:val="30"/>
        </w:rPr>
        <w:t>件5：</w:t>
      </w:r>
    </w:p>
    <w:bookmarkEnd w:id="638"/>
    <w:bookmarkEnd w:id="639"/>
    <w:bookmarkEnd w:id="640"/>
    <w:bookmarkEnd w:id="641"/>
    <w:bookmarkEnd w:id="642"/>
    <w:bookmarkEnd w:id="643"/>
    <w:bookmarkEnd w:id="644"/>
    <w:p>
      <w:pPr>
        <w:spacing w:beforeLines="50" w:afterLines="50" w:line="440" w:lineRule="exact"/>
        <w:jc w:val="center"/>
        <w:rPr>
          <w:rFonts w:ascii="宋体" w:hAnsi="宋体" w:cs="宋体"/>
          <w:sz w:val="30"/>
          <w:szCs w:val="30"/>
        </w:rPr>
      </w:pPr>
      <w:r>
        <w:rPr>
          <w:rFonts w:hint="eastAsia" w:ascii="宋体" w:hAnsi="宋体" w:cs="宋体"/>
          <w:sz w:val="30"/>
          <w:szCs w:val="30"/>
        </w:rPr>
        <w:t>承包人用于本工程施工的机械设备表</w:t>
      </w:r>
    </w:p>
    <w:tbl>
      <w:tblPr>
        <w:tblStyle w:val="4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41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机械或设备名称</w:t>
            </w:r>
          </w:p>
        </w:tc>
        <w:tc>
          <w:tcPr>
            <w:tcW w:w="85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规格型号</w:t>
            </w:r>
          </w:p>
        </w:tc>
        <w:tc>
          <w:tcPr>
            <w:tcW w:w="105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88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产地</w:t>
            </w:r>
          </w:p>
        </w:tc>
        <w:tc>
          <w:tcPr>
            <w:tcW w:w="102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制造年份</w:t>
            </w:r>
          </w:p>
        </w:tc>
        <w:tc>
          <w:tcPr>
            <w:tcW w:w="148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额定功率(kW)</w:t>
            </w:r>
          </w:p>
        </w:tc>
        <w:tc>
          <w:tcPr>
            <w:tcW w:w="102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生产能力</w:t>
            </w:r>
          </w:p>
        </w:tc>
        <w:tc>
          <w:tcPr>
            <w:tcW w:w="92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18"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058"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8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02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8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02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92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8"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058"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8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02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8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02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92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bl>
    <w:p>
      <w:pPr>
        <w:spacing w:line="440" w:lineRule="exact"/>
        <w:rPr>
          <w:rFonts w:ascii="宋体" w:hAnsi="宋体" w:cs="宋体"/>
          <w:sz w:val="30"/>
          <w:szCs w:val="30"/>
        </w:rPr>
      </w:pPr>
    </w:p>
    <w:p>
      <w:pPr>
        <w:spacing w:line="440" w:lineRule="exact"/>
        <w:rPr>
          <w:rFonts w:ascii="宋体" w:hAnsi="宋体" w:cs="宋体"/>
          <w:sz w:val="30"/>
          <w:szCs w:val="30"/>
        </w:rPr>
      </w:pPr>
      <w:r>
        <w:rPr>
          <w:rFonts w:hint="eastAsia" w:ascii="宋体" w:hAnsi="宋体" w:cs="宋体"/>
          <w:sz w:val="30"/>
          <w:szCs w:val="30"/>
        </w:rPr>
        <w:t>附</w:t>
      </w:r>
      <w:bookmarkStart w:id="645" w:name="_Toc267261699"/>
      <w:bookmarkStart w:id="646" w:name="_Toc296347227"/>
      <w:bookmarkStart w:id="647" w:name="_Toc296503228"/>
      <w:bookmarkStart w:id="648" w:name="_Toc296346729"/>
      <w:bookmarkStart w:id="649" w:name="_Toc296891056"/>
      <w:bookmarkStart w:id="650" w:name="_Toc296891268"/>
      <w:bookmarkStart w:id="651" w:name="_Toc296944567"/>
      <w:r>
        <w:rPr>
          <w:rFonts w:hint="eastAsia" w:ascii="宋体" w:hAnsi="宋体" w:cs="宋体"/>
          <w:sz w:val="30"/>
          <w:szCs w:val="30"/>
        </w:rPr>
        <w:t>件6：</w:t>
      </w:r>
    </w:p>
    <w:bookmarkEnd w:id="645"/>
    <w:bookmarkEnd w:id="646"/>
    <w:bookmarkEnd w:id="647"/>
    <w:bookmarkEnd w:id="648"/>
    <w:bookmarkEnd w:id="649"/>
    <w:bookmarkEnd w:id="650"/>
    <w:bookmarkEnd w:id="651"/>
    <w:p>
      <w:pPr>
        <w:spacing w:beforeLines="50" w:afterLines="50" w:line="440" w:lineRule="exact"/>
        <w:jc w:val="center"/>
        <w:rPr>
          <w:rFonts w:ascii="宋体" w:hAnsi="宋体" w:cs="宋体"/>
          <w:sz w:val="30"/>
          <w:szCs w:val="30"/>
        </w:rPr>
      </w:pPr>
      <w:r>
        <w:rPr>
          <w:rFonts w:hint="eastAsia" w:ascii="宋体" w:hAnsi="宋体" w:cs="宋体"/>
          <w:sz w:val="30"/>
          <w:szCs w:val="30"/>
        </w:rPr>
        <w:t>承包人主要施工管理人员表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    称</w:t>
            </w:r>
          </w:p>
        </w:tc>
        <w:tc>
          <w:tcPr>
            <w:tcW w:w="141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姓名</w:t>
            </w:r>
          </w:p>
        </w:tc>
        <w:tc>
          <w:tcPr>
            <w:tcW w:w="113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职务</w:t>
            </w:r>
          </w:p>
        </w:tc>
        <w:tc>
          <w:tcPr>
            <w:tcW w:w="113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职称</w:t>
            </w:r>
          </w:p>
        </w:tc>
        <w:tc>
          <w:tcPr>
            <w:tcW w:w="425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项目主管</w:t>
            </w:r>
          </w:p>
        </w:tc>
        <w:tc>
          <w:tcPr>
            <w:tcW w:w="1418" w:type="dxa"/>
            <w:tcBorders>
              <w:top w:val="nil"/>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其他人员</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项目经理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项目副经理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技术负责人</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造价管理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质量管理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材料管理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计划管理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安全管理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其他人员</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tcBorders>
              <w:bottom w:val="nil"/>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440" w:lineRule="exact"/>
              <w:ind w:left="63" w:right="63"/>
              <w:rPr>
                <w:rFonts w:ascii="宋体" w:hAnsi="宋体" w:cs="宋体"/>
                <w:sz w:val="28"/>
                <w:szCs w:val="30"/>
                <w:lang w:val="en-US" w:eastAsia="zh-CN"/>
              </w:rPr>
            </w:pPr>
          </w:p>
        </w:tc>
        <w:tc>
          <w:tcPr>
            <w:tcW w:w="1418" w:type="dxa"/>
            <w:tcBorders>
              <w:bottom w:val="single" w:color="auto" w:sz="12" w:space="0"/>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r>
    </w:tbl>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w:t>
      </w:r>
      <w:bookmarkStart w:id="652" w:name="_Toc296891269"/>
      <w:bookmarkStart w:id="653" w:name="_Toc296944568"/>
      <w:bookmarkStart w:id="654" w:name="_Toc296346730"/>
      <w:bookmarkStart w:id="655" w:name="_Toc296347228"/>
      <w:bookmarkStart w:id="656" w:name="_Toc296891057"/>
      <w:bookmarkStart w:id="657" w:name="_Toc296503229"/>
      <w:r>
        <w:rPr>
          <w:rFonts w:hint="eastAsia" w:ascii="宋体" w:hAnsi="宋体" w:cs="宋体"/>
          <w:sz w:val="30"/>
          <w:szCs w:val="30"/>
        </w:rPr>
        <w:t>件7：</w:t>
      </w:r>
    </w:p>
    <w:bookmarkEnd w:id="652"/>
    <w:bookmarkEnd w:id="653"/>
    <w:bookmarkEnd w:id="654"/>
    <w:bookmarkEnd w:id="655"/>
    <w:bookmarkEnd w:id="656"/>
    <w:bookmarkEnd w:id="657"/>
    <w:p>
      <w:pPr>
        <w:spacing w:beforeLines="50" w:afterLines="50" w:line="440" w:lineRule="exact"/>
        <w:jc w:val="center"/>
        <w:rPr>
          <w:rFonts w:ascii="宋体" w:hAnsi="宋体" w:cs="宋体"/>
          <w:sz w:val="30"/>
          <w:szCs w:val="30"/>
        </w:rPr>
      </w:pPr>
      <w:r>
        <w:rPr>
          <w:rFonts w:hint="eastAsia" w:ascii="宋体" w:hAnsi="宋体" w:cs="宋体"/>
          <w:sz w:val="30"/>
          <w:szCs w:val="30"/>
        </w:rPr>
        <w:t>分包人主要施工管理人员表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    称</w:t>
            </w:r>
          </w:p>
        </w:tc>
        <w:tc>
          <w:tcPr>
            <w:tcW w:w="141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姓名</w:t>
            </w:r>
          </w:p>
        </w:tc>
        <w:tc>
          <w:tcPr>
            <w:tcW w:w="113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职务</w:t>
            </w:r>
          </w:p>
        </w:tc>
        <w:tc>
          <w:tcPr>
            <w:tcW w:w="113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职称</w:t>
            </w:r>
          </w:p>
        </w:tc>
        <w:tc>
          <w:tcPr>
            <w:tcW w:w="425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项目主管</w:t>
            </w:r>
          </w:p>
        </w:tc>
        <w:tc>
          <w:tcPr>
            <w:tcW w:w="1418" w:type="dxa"/>
            <w:tcBorders>
              <w:top w:val="nil"/>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其他人员</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项目经理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项目副经理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技术负责人</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造价管理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质量管理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材料管理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计划管理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安全管理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其他人员</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tcBorders>
              <w:bottom w:val="nil"/>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440" w:lineRule="exact"/>
              <w:ind w:left="63" w:right="63"/>
              <w:rPr>
                <w:rFonts w:ascii="宋体" w:hAnsi="宋体" w:cs="宋体"/>
                <w:sz w:val="28"/>
                <w:szCs w:val="30"/>
                <w:lang w:val="en-US" w:eastAsia="zh-CN"/>
              </w:rPr>
            </w:pPr>
          </w:p>
        </w:tc>
        <w:tc>
          <w:tcPr>
            <w:tcW w:w="1418" w:type="dxa"/>
            <w:tcBorders>
              <w:bottom w:val="single" w:color="auto" w:sz="12" w:space="0"/>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r>
    </w:tbl>
    <w:p>
      <w:pPr>
        <w:spacing w:line="440" w:lineRule="exact"/>
        <w:rPr>
          <w:rFonts w:ascii="宋体" w:hAnsi="宋体" w:cs="宋体"/>
          <w:szCs w:val="21"/>
        </w:rPr>
      </w:pPr>
      <w:r>
        <w:rPr>
          <w:rFonts w:hint="eastAsia" w:ascii="宋体" w:hAnsi="宋体" w:cs="宋体"/>
          <w:sz w:val="30"/>
          <w:szCs w:val="30"/>
        </w:rPr>
        <w:br w:type="page"/>
      </w:r>
      <w:bookmarkStart w:id="658" w:name="_Toc267261701"/>
      <w:r>
        <w:rPr>
          <w:rFonts w:hint="eastAsia" w:ascii="宋体" w:hAnsi="宋体" w:cs="宋体"/>
          <w:szCs w:val="21"/>
        </w:rPr>
        <w:t>附</w:t>
      </w:r>
      <w:bookmarkStart w:id="659" w:name="_Toc296347230"/>
      <w:bookmarkStart w:id="660" w:name="_Toc296891271"/>
      <w:bookmarkStart w:id="661" w:name="_Toc296891059"/>
      <w:bookmarkStart w:id="662" w:name="_Toc296346732"/>
      <w:bookmarkStart w:id="663" w:name="_Toc296944570"/>
      <w:bookmarkStart w:id="664" w:name="_Toc296503231"/>
      <w:r>
        <w:rPr>
          <w:rFonts w:hint="eastAsia" w:ascii="宋体" w:hAnsi="宋体" w:cs="宋体"/>
          <w:szCs w:val="21"/>
        </w:rPr>
        <w:t>件8：</w:t>
      </w:r>
    </w:p>
    <w:bookmarkEnd w:id="658"/>
    <w:bookmarkEnd w:id="659"/>
    <w:bookmarkEnd w:id="660"/>
    <w:bookmarkEnd w:id="661"/>
    <w:bookmarkEnd w:id="662"/>
    <w:bookmarkEnd w:id="663"/>
    <w:bookmarkEnd w:id="664"/>
    <w:p>
      <w:pPr>
        <w:spacing w:beforeLines="50" w:afterLines="50" w:line="440" w:lineRule="exact"/>
        <w:jc w:val="center"/>
        <w:rPr>
          <w:rFonts w:ascii="宋体" w:hAnsi="宋体" w:cs="宋体"/>
          <w:sz w:val="32"/>
          <w:szCs w:val="32"/>
        </w:rPr>
      </w:pPr>
      <w:r>
        <w:rPr>
          <w:rFonts w:hint="eastAsia" w:ascii="宋体" w:hAnsi="宋体" w:cs="宋体"/>
          <w:sz w:val="32"/>
          <w:szCs w:val="32"/>
        </w:rPr>
        <w:t>履约担保</w:t>
      </w:r>
    </w:p>
    <w:p>
      <w:pPr>
        <w:spacing w:line="44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（发包人名称）：</w:t>
      </w:r>
    </w:p>
    <w:p>
      <w:pPr>
        <w:spacing w:line="440" w:lineRule="exact"/>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（发包人名称，以下简称“发包人”）与</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（承包人名称）（以下称“承包人”）于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日就</w:t>
      </w:r>
      <w:r>
        <w:rPr>
          <w:rFonts w:hint="eastAsia" w:ascii="宋体" w:hAnsi="宋体" w:cs="宋体"/>
          <w:sz w:val="24"/>
          <w:u w:val="single"/>
        </w:rPr>
        <w:t xml:space="preserve">                         </w:t>
      </w:r>
      <w:r>
        <w:rPr>
          <w:rFonts w:hint="eastAsia" w:ascii="宋体" w:hAnsi="宋体" w:cs="宋体"/>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ascii="宋体" w:hAnsi="宋体" w:cs="宋体"/>
          <w:sz w:val="24"/>
        </w:rPr>
      </w:pPr>
      <w:r>
        <w:rPr>
          <w:rFonts w:hint="eastAsia" w:ascii="宋体" w:hAnsi="宋体" w:cs="宋体"/>
          <w:sz w:val="24"/>
        </w:rPr>
        <w:t>1. 担保金额人民币（大写）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 担保有效期自你方与承包人签订的合同生效之日起至你方签发或应签发工程接收证书之日止。</w:t>
      </w:r>
    </w:p>
    <w:p>
      <w:pPr>
        <w:spacing w:line="360" w:lineRule="auto"/>
        <w:ind w:firstLine="480" w:firstLineChars="200"/>
        <w:rPr>
          <w:rFonts w:ascii="宋体" w:hAnsi="宋体" w:cs="宋体"/>
          <w:sz w:val="24"/>
        </w:rPr>
      </w:pPr>
      <w:r>
        <w:rPr>
          <w:rFonts w:hint="eastAsia" w:ascii="宋体" w:hAnsi="宋体" w:cs="宋体"/>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宋体" w:hAnsi="宋体" w:cs="宋体"/>
          <w:sz w:val="24"/>
        </w:rPr>
      </w:pPr>
      <w:r>
        <w:rPr>
          <w:rFonts w:hint="eastAsia" w:ascii="宋体" w:hAnsi="宋体" w:cs="宋体"/>
          <w:sz w:val="24"/>
        </w:rPr>
        <w:t>4. 你方和承包人按合同约定变更合同时，我方承担本担保规定的义务不变。</w:t>
      </w:r>
    </w:p>
    <w:p>
      <w:pPr>
        <w:spacing w:line="360" w:lineRule="auto"/>
        <w:ind w:firstLine="480" w:firstLineChars="200"/>
        <w:rPr>
          <w:rFonts w:ascii="宋体" w:hAnsi="宋体" w:cs="宋体"/>
          <w:sz w:val="24"/>
        </w:rPr>
      </w:pPr>
      <w:r>
        <w:rPr>
          <w:rFonts w:hint="eastAsia" w:ascii="宋体" w:hAnsi="宋体" w:cs="宋体"/>
          <w:sz w:val="24"/>
        </w:rPr>
        <w:t>5. 因本保函发生的纠纷，可由双方协商解决，协商不成的，任何一方均可提请</w:t>
      </w:r>
      <w:r>
        <w:rPr>
          <w:rFonts w:hint="eastAsia" w:ascii="宋体" w:hAnsi="宋体" w:cs="宋体"/>
          <w:sz w:val="24"/>
          <w:u w:val="single"/>
        </w:rPr>
        <w:t xml:space="preserve">        </w:t>
      </w:r>
      <w:r>
        <w:rPr>
          <w:rFonts w:hint="eastAsia" w:ascii="宋体" w:hAnsi="宋体" w:cs="宋体"/>
          <w:sz w:val="24"/>
        </w:rPr>
        <w:t>仲裁委员会仲裁。</w:t>
      </w:r>
    </w:p>
    <w:p>
      <w:pPr>
        <w:spacing w:line="360" w:lineRule="auto"/>
        <w:ind w:firstLine="480" w:firstLineChars="200"/>
        <w:rPr>
          <w:rFonts w:ascii="宋体" w:hAnsi="宋体" w:cs="宋体"/>
          <w:sz w:val="24"/>
        </w:rPr>
      </w:pPr>
      <w:r>
        <w:rPr>
          <w:rFonts w:hint="eastAsia" w:ascii="宋体" w:hAnsi="宋体" w:cs="宋体"/>
          <w:sz w:val="24"/>
        </w:rPr>
        <w:t>6. 本保函自我方法定代表人（或其授权代理人）签字并加盖公章之日起生效。</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担 保 人：</w:t>
      </w:r>
      <w:r>
        <w:rPr>
          <w:rFonts w:hint="eastAsia" w:ascii="宋体" w:hAnsi="宋体" w:cs="宋体"/>
          <w:sz w:val="24"/>
          <w:u w:val="single"/>
        </w:rPr>
        <w:t xml:space="preserve">                           </w:t>
      </w:r>
      <w:r>
        <w:rPr>
          <w:rFonts w:hint="eastAsia" w:ascii="宋体" w:hAnsi="宋体" w:cs="宋体"/>
          <w:sz w:val="24"/>
        </w:rPr>
        <w:t>（盖单位章）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pPr>
        <w:spacing w:line="360" w:lineRule="auto"/>
        <w:jc w:val="left"/>
        <w:rPr>
          <w:rFonts w:ascii="宋体" w:hAnsi="宋体" w:cs="宋体"/>
          <w:sz w:val="24"/>
          <w:u w:val="single"/>
        </w:rPr>
      </w:pPr>
    </w:p>
    <w:p>
      <w:pPr>
        <w:spacing w:line="360" w:lineRule="auto"/>
        <w:ind w:left="1519" w:hanging="1519" w:hangingChars="633"/>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left="1519" w:hanging="1519" w:hangingChars="633"/>
        <w:rPr>
          <w:rFonts w:ascii="宋体" w:hAnsi="宋体" w:cs="宋体"/>
          <w:sz w:val="24"/>
        </w:rPr>
      </w:pPr>
    </w:p>
    <w:p>
      <w:pPr>
        <w:spacing w:line="360" w:lineRule="auto"/>
        <w:ind w:left="1329" w:hanging="1329" w:hangingChars="633"/>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附</w:t>
      </w:r>
      <w:bookmarkStart w:id="665" w:name="_Toc296944571"/>
      <w:bookmarkStart w:id="666" w:name="_Toc267261702"/>
      <w:bookmarkStart w:id="667" w:name="_Toc296346733"/>
      <w:bookmarkStart w:id="668" w:name="_Toc296891060"/>
      <w:bookmarkStart w:id="669" w:name="_Toc296347231"/>
      <w:bookmarkStart w:id="670" w:name="_Toc296891272"/>
      <w:bookmarkStart w:id="671" w:name="_Toc296503232"/>
      <w:r>
        <w:rPr>
          <w:rFonts w:hint="eastAsia" w:ascii="宋体" w:hAnsi="宋体" w:cs="宋体"/>
          <w:szCs w:val="21"/>
        </w:rPr>
        <w:t>件9 ：</w:t>
      </w:r>
    </w:p>
    <w:bookmarkEnd w:id="665"/>
    <w:bookmarkEnd w:id="666"/>
    <w:bookmarkEnd w:id="667"/>
    <w:bookmarkEnd w:id="668"/>
    <w:bookmarkEnd w:id="669"/>
    <w:bookmarkEnd w:id="670"/>
    <w:bookmarkEnd w:id="671"/>
    <w:p>
      <w:pPr>
        <w:spacing w:beforeLines="50" w:afterLines="50" w:line="440" w:lineRule="exact"/>
        <w:jc w:val="center"/>
        <w:rPr>
          <w:rFonts w:ascii="宋体" w:hAnsi="宋体" w:cs="宋体"/>
          <w:sz w:val="32"/>
          <w:szCs w:val="32"/>
        </w:rPr>
      </w:pPr>
      <w:r>
        <w:rPr>
          <w:rFonts w:hint="eastAsia" w:ascii="宋体" w:hAnsi="宋体" w:cs="宋体"/>
          <w:sz w:val="32"/>
          <w:szCs w:val="32"/>
        </w:rPr>
        <w:t>预付款担保</w:t>
      </w: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（发包人名称）：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rPr>
        <w:t>（承包人名称）（以下称“承包人”）与</w:t>
      </w: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（发包人名称）（以下简称“发包人”）</w:t>
      </w:r>
    </w:p>
    <w:p>
      <w:pPr>
        <w:spacing w:line="360" w:lineRule="auto"/>
        <w:rPr>
          <w:rFonts w:ascii="宋体" w:hAnsi="宋体" w:cs="宋体"/>
          <w:sz w:val="24"/>
        </w:rPr>
      </w:pPr>
      <w:r>
        <w:rPr>
          <w:rFonts w:hint="eastAsia" w:ascii="宋体" w:hAnsi="宋体" w:cs="宋体"/>
          <w:sz w:val="24"/>
        </w:rPr>
        <w:t>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日签订的</w:t>
      </w:r>
      <w:r>
        <w:rPr>
          <w:rFonts w:hint="eastAsia" w:ascii="宋体" w:hAnsi="宋体" w:cs="宋体"/>
          <w:sz w:val="24"/>
          <w:u w:val="single"/>
        </w:rPr>
        <w:t xml:space="preserve">                   </w:t>
      </w:r>
      <w:r>
        <w:rPr>
          <w:rFonts w:hint="eastAsia" w:ascii="宋体" w:hAnsi="宋体" w:cs="宋体"/>
          <w:sz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宋体" w:hAnsi="宋体" w:cs="宋体"/>
          <w:sz w:val="24"/>
        </w:rPr>
      </w:pPr>
      <w:r>
        <w:rPr>
          <w:rFonts w:hint="eastAsia" w:ascii="宋体" w:hAnsi="宋体" w:cs="宋体"/>
          <w:sz w:val="24"/>
        </w:rPr>
        <w:t>1. 担保金额人民币（大写）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 担保有效期自预付款支付给承包人起生效，至你方签发的进度款支付证书说明已完全扣清止。</w:t>
      </w:r>
    </w:p>
    <w:p>
      <w:pPr>
        <w:spacing w:line="360" w:lineRule="auto"/>
        <w:ind w:firstLine="480" w:firstLineChars="200"/>
        <w:rPr>
          <w:rFonts w:ascii="宋体" w:hAnsi="宋体" w:cs="宋体"/>
          <w:sz w:val="24"/>
        </w:rPr>
      </w:pPr>
      <w:r>
        <w:rPr>
          <w:rFonts w:hint="eastAsia" w:ascii="宋体" w:hAnsi="宋体" w:cs="宋体"/>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宋体" w:hAnsi="宋体" w:cs="宋体"/>
          <w:sz w:val="24"/>
        </w:rPr>
      </w:pPr>
      <w:r>
        <w:rPr>
          <w:rFonts w:hint="eastAsia" w:ascii="宋体" w:hAnsi="宋体" w:cs="宋体"/>
          <w:sz w:val="24"/>
        </w:rPr>
        <w:t>4. 你方和承包人按合同约定变更合同时，我方承担本保函规定的义务不变。</w:t>
      </w:r>
    </w:p>
    <w:p>
      <w:pPr>
        <w:spacing w:line="360" w:lineRule="auto"/>
        <w:ind w:firstLine="480" w:firstLineChars="200"/>
        <w:jc w:val="left"/>
        <w:rPr>
          <w:rFonts w:ascii="宋体" w:hAnsi="宋体" w:cs="宋体"/>
          <w:sz w:val="24"/>
        </w:rPr>
      </w:pPr>
      <w:r>
        <w:rPr>
          <w:rFonts w:hint="eastAsia" w:ascii="宋体" w:hAnsi="宋体" w:cs="宋体"/>
          <w:sz w:val="24"/>
        </w:rPr>
        <w:t>5. 因本保函发生的纠纷，可由双方协商解决，协商不成的，任何一方均可提请</w:t>
      </w:r>
      <w:r>
        <w:rPr>
          <w:rFonts w:hint="eastAsia" w:ascii="宋体" w:hAnsi="宋体" w:cs="宋体"/>
          <w:sz w:val="24"/>
          <w:u w:val="single"/>
        </w:rPr>
        <w:t xml:space="preserve">        </w:t>
      </w:r>
      <w:r>
        <w:rPr>
          <w:rFonts w:hint="eastAsia" w:ascii="宋体" w:hAnsi="宋体" w:cs="宋体"/>
          <w:sz w:val="24"/>
        </w:rPr>
        <w:t>仲裁委员会仲裁。</w:t>
      </w:r>
    </w:p>
    <w:p>
      <w:pPr>
        <w:spacing w:line="360" w:lineRule="auto"/>
        <w:ind w:firstLine="480" w:firstLineChars="200"/>
        <w:jc w:val="left"/>
        <w:rPr>
          <w:rFonts w:ascii="宋体" w:hAnsi="宋体" w:cs="宋体"/>
          <w:sz w:val="24"/>
        </w:rPr>
      </w:pPr>
      <w:r>
        <w:rPr>
          <w:rFonts w:hint="eastAsia" w:ascii="宋体" w:hAnsi="宋体" w:cs="宋体"/>
          <w:sz w:val="24"/>
        </w:rPr>
        <w:t>6. 本保函自我方法定代表人（或其授权代理人）签字并加盖公章之日起生效。</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担保人：</w:t>
      </w:r>
      <w:r>
        <w:rPr>
          <w:rFonts w:hint="eastAsia" w:ascii="宋体" w:hAnsi="宋体" w:cs="宋体"/>
          <w:sz w:val="24"/>
          <w:u w:val="single"/>
        </w:rPr>
        <w:t xml:space="preserve">                          </w:t>
      </w:r>
      <w:r>
        <w:rPr>
          <w:rFonts w:hint="eastAsia" w:ascii="宋体" w:hAnsi="宋体" w:cs="宋体"/>
          <w:sz w:val="24"/>
        </w:rPr>
        <w:t>（盖单位章）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rPr>
          <w:rFonts w:ascii="宋体" w:hAnsi="宋体" w:cs="宋体"/>
          <w:szCs w:val="21"/>
        </w:rPr>
      </w:pPr>
      <w:r>
        <w:rPr>
          <w:rFonts w:hint="eastAsia" w:ascii="宋体" w:hAnsi="宋体" w:cs="宋体"/>
          <w:sz w:val="24"/>
        </w:rPr>
        <w:t>附</w:t>
      </w:r>
      <w:bookmarkStart w:id="672" w:name="_Toc296891273"/>
      <w:bookmarkStart w:id="673" w:name="_Toc296346734"/>
      <w:bookmarkStart w:id="674" w:name="_Toc296944572"/>
      <w:bookmarkStart w:id="675" w:name="_Toc296347232"/>
      <w:bookmarkStart w:id="676" w:name="_Toc296503233"/>
      <w:bookmarkStart w:id="677" w:name="_Toc296891061"/>
      <w:r>
        <w:rPr>
          <w:rFonts w:hint="eastAsia" w:ascii="宋体" w:hAnsi="宋体" w:cs="宋体"/>
          <w:sz w:val="24"/>
        </w:rPr>
        <w:t xml:space="preserve">件10:  </w:t>
      </w:r>
    </w:p>
    <w:bookmarkEnd w:id="672"/>
    <w:bookmarkEnd w:id="673"/>
    <w:bookmarkEnd w:id="674"/>
    <w:bookmarkEnd w:id="675"/>
    <w:bookmarkEnd w:id="676"/>
    <w:bookmarkEnd w:id="677"/>
    <w:p>
      <w:pPr>
        <w:spacing w:beforeLines="50" w:afterLines="50" w:line="440" w:lineRule="exact"/>
        <w:jc w:val="center"/>
        <w:rPr>
          <w:rFonts w:ascii="宋体" w:hAnsi="宋体" w:cs="宋体"/>
          <w:sz w:val="32"/>
          <w:szCs w:val="32"/>
        </w:rPr>
      </w:pPr>
      <w:r>
        <w:rPr>
          <w:rFonts w:hint="eastAsia" w:ascii="宋体" w:hAnsi="宋体" w:cs="宋体"/>
          <w:sz w:val="32"/>
          <w:szCs w:val="32"/>
        </w:rPr>
        <w:t>支付担保</w:t>
      </w:r>
    </w:p>
    <w:p>
      <w:pPr>
        <w:spacing w:line="400" w:lineRule="exact"/>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（承包人）：</w:t>
      </w:r>
    </w:p>
    <w:p>
      <w:pPr>
        <w:spacing w:line="400" w:lineRule="exact"/>
        <w:ind w:firstLine="480" w:firstLineChars="200"/>
        <w:jc w:val="left"/>
        <w:rPr>
          <w:rFonts w:ascii="宋体" w:hAnsi="宋体" w:cs="宋体"/>
          <w:sz w:val="24"/>
        </w:rPr>
      </w:pPr>
      <w:r>
        <w:rPr>
          <w:rFonts w:hint="eastAsia" w:ascii="宋体" w:hAnsi="宋体" w:cs="宋体"/>
          <w:sz w:val="24"/>
        </w:rPr>
        <w:t>鉴于你方作为承包人已经与</w:t>
      </w:r>
      <w:r>
        <w:rPr>
          <w:rFonts w:hint="eastAsia" w:ascii="宋体" w:hAnsi="宋体" w:cs="宋体"/>
          <w:sz w:val="24"/>
          <w:u w:val="single"/>
        </w:rPr>
        <w:t xml:space="preserve">             </w:t>
      </w:r>
      <w:r>
        <w:rPr>
          <w:rFonts w:hint="eastAsia" w:ascii="宋体" w:hAnsi="宋体" w:cs="宋体"/>
          <w:sz w:val="24"/>
        </w:rPr>
        <w:t>（发包人名称）（以下称“发包人”）于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日签订了</w:t>
      </w:r>
      <w:r>
        <w:rPr>
          <w:rFonts w:hint="eastAsia" w:ascii="宋体" w:hAnsi="宋体" w:cs="宋体"/>
          <w:sz w:val="24"/>
          <w:u w:val="single"/>
        </w:rPr>
        <w:t xml:space="preserve">             </w:t>
      </w:r>
      <w:r>
        <w:rPr>
          <w:rFonts w:hint="eastAsia" w:ascii="宋体" w:hAnsi="宋体" w:cs="宋体"/>
          <w:sz w:val="24"/>
        </w:rPr>
        <w:t>（工程名称）《建设工程施工合同》（以下称“主合同”），应发包人的申请，我方愿就发包人履行主合同约定的工程款支付义务以保证的方式向你方提供如下担保：</w:t>
      </w:r>
    </w:p>
    <w:p>
      <w:pPr>
        <w:spacing w:line="400" w:lineRule="exact"/>
        <w:ind w:firstLine="480" w:firstLineChars="200"/>
        <w:jc w:val="left"/>
        <w:rPr>
          <w:rFonts w:ascii="宋体" w:hAnsi="宋体" w:cs="宋体"/>
          <w:sz w:val="24"/>
        </w:rPr>
      </w:pPr>
      <w:r>
        <w:rPr>
          <w:rFonts w:hint="eastAsia" w:ascii="宋体" w:hAnsi="宋体" w:cs="宋体"/>
          <w:sz w:val="24"/>
        </w:rPr>
        <w:t>一、保证的范围及保证金额</w:t>
      </w:r>
    </w:p>
    <w:p>
      <w:pPr>
        <w:spacing w:line="400" w:lineRule="exact"/>
        <w:ind w:firstLine="480" w:firstLineChars="200"/>
        <w:jc w:val="left"/>
        <w:rPr>
          <w:rFonts w:ascii="宋体" w:hAnsi="宋体" w:cs="宋体"/>
          <w:sz w:val="24"/>
        </w:rPr>
      </w:pPr>
      <w:r>
        <w:rPr>
          <w:rFonts w:hint="eastAsia" w:ascii="宋体" w:hAnsi="宋体" w:cs="宋体"/>
          <w:sz w:val="24"/>
        </w:rPr>
        <w:t>1. 我方的保证范围是主合同约定的工程款。</w:t>
      </w:r>
    </w:p>
    <w:p>
      <w:pPr>
        <w:spacing w:line="400" w:lineRule="exact"/>
        <w:ind w:firstLine="480" w:firstLineChars="200"/>
        <w:jc w:val="left"/>
        <w:rPr>
          <w:rFonts w:ascii="宋体" w:hAnsi="宋体" w:cs="宋体"/>
          <w:sz w:val="24"/>
        </w:rPr>
      </w:pPr>
      <w:r>
        <w:rPr>
          <w:rFonts w:hint="eastAsia" w:ascii="宋体" w:hAnsi="宋体" w:cs="宋体"/>
          <w:sz w:val="24"/>
        </w:rPr>
        <w:t>2. 本保函所称主合同约定的工程款是指主合同约定的除工程质量保证金以外的合同价款。</w:t>
      </w:r>
    </w:p>
    <w:p>
      <w:pPr>
        <w:spacing w:line="400" w:lineRule="exact"/>
        <w:ind w:firstLine="480" w:firstLineChars="200"/>
        <w:jc w:val="left"/>
        <w:rPr>
          <w:rFonts w:ascii="宋体" w:hAnsi="宋体" w:cs="宋体"/>
          <w:sz w:val="24"/>
        </w:rPr>
      </w:pPr>
      <w:r>
        <w:rPr>
          <w:rFonts w:hint="eastAsia" w:ascii="宋体" w:hAnsi="宋体" w:cs="宋体"/>
          <w:sz w:val="24"/>
        </w:rPr>
        <w:t>3. 我方保证的金额是主合同约定的工程款的</w:t>
      </w:r>
      <w:r>
        <w:rPr>
          <w:rFonts w:hint="eastAsia" w:ascii="宋体" w:hAnsi="宋体" w:cs="宋体"/>
          <w:sz w:val="24"/>
          <w:u w:val="single"/>
        </w:rPr>
        <w:t xml:space="preserve">   </w:t>
      </w:r>
      <w:r>
        <w:rPr>
          <w:rFonts w:hint="eastAsia" w:ascii="宋体" w:hAnsi="宋体" w:cs="宋体"/>
          <w:sz w:val="24"/>
        </w:rPr>
        <w:t>%，数额最高不超过人民币元（大写：</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jc w:val="left"/>
        <w:rPr>
          <w:rFonts w:ascii="宋体" w:hAnsi="宋体" w:cs="宋体"/>
          <w:sz w:val="24"/>
        </w:rPr>
      </w:pPr>
      <w:r>
        <w:rPr>
          <w:rFonts w:hint="eastAsia" w:ascii="宋体" w:hAnsi="宋体" w:cs="宋体"/>
          <w:sz w:val="24"/>
        </w:rPr>
        <w:t>二、保证的方式及保证期间</w:t>
      </w:r>
    </w:p>
    <w:p>
      <w:pPr>
        <w:spacing w:line="400" w:lineRule="exact"/>
        <w:ind w:firstLine="480" w:firstLineChars="200"/>
        <w:jc w:val="left"/>
        <w:rPr>
          <w:rFonts w:ascii="宋体" w:hAnsi="宋体" w:cs="宋体"/>
          <w:sz w:val="24"/>
        </w:rPr>
      </w:pPr>
      <w:r>
        <w:rPr>
          <w:rFonts w:hint="eastAsia" w:ascii="宋体" w:hAnsi="宋体" w:cs="宋体"/>
          <w:sz w:val="24"/>
        </w:rPr>
        <w:t>1. 我方保证的方式为：连带责任保证。</w:t>
      </w:r>
    </w:p>
    <w:p>
      <w:pPr>
        <w:spacing w:line="400" w:lineRule="exact"/>
        <w:ind w:firstLine="480" w:firstLineChars="200"/>
        <w:jc w:val="left"/>
        <w:rPr>
          <w:rFonts w:ascii="宋体" w:hAnsi="宋体" w:cs="宋体"/>
          <w:sz w:val="24"/>
        </w:rPr>
      </w:pPr>
      <w:r>
        <w:rPr>
          <w:rFonts w:hint="eastAsia" w:ascii="宋体" w:hAnsi="宋体" w:cs="宋体"/>
          <w:sz w:val="24"/>
        </w:rPr>
        <w:t>2. 我方保证的期间为：自本合同生效之日起至主合同约定的工程款支付完毕之日后</w:t>
      </w:r>
      <w:r>
        <w:rPr>
          <w:rFonts w:hint="eastAsia" w:ascii="宋体" w:hAnsi="宋体" w:cs="宋体"/>
          <w:sz w:val="24"/>
          <w:u w:val="single"/>
        </w:rPr>
        <w:t xml:space="preserve">    </w:t>
      </w:r>
      <w:r>
        <w:rPr>
          <w:rFonts w:hint="eastAsia" w:ascii="宋体" w:hAnsi="宋体" w:cs="宋体"/>
          <w:sz w:val="24"/>
        </w:rPr>
        <w:t>日内。</w:t>
      </w:r>
    </w:p>
    <w:p>
      <w:pPr>
        <w:spacing w:line="400" w:lineRule="exact"/>
        <w:ind w:firstLine="480" w:firstLineChars="200"/>
        <w:jc w:val="left"/>
        <w:rPr>
          <w:rFonts w:ascii="宋体" w:hAnsi="宋体" w:cs="宋体"/>
          <w:sz w:val="24"/>
        </w:rPr>
      </w:pPr>
      <w:r>
        <w:rPr>
          <w:rFonts w:hint="eastAsia" w:ascii="宋体" w:hAnsi="宋体" w:cs="宋体"/>
          <w:sz w:val="24"/>
        </w:rPr>
        <w:t>3. 你方与发包人协议变更工程款支付日期的，经我方书面同意后，保证期间按照变更后的支付日期做相应调整。</w:t>
      </w:r>
    </w:p>
    <w:p>
      <w:pPr>
        <w:spacing w:line="400" w:lineRule="exact"/>
        <w:ind w:firstLine="480" w:firstLineChars="200"/>
        <w:jc w:val="left"/>
        <w:rPr>
          <w:rFonts w:ascii="宋体" w:hAnsi="宋体" w:cs="宋体"/>
          <w:sz w:val="24"/>
        </w:rPr>
      </w:pPr>
      <w:r>
        <w:rPr>
          <w:rFonts w:hint="eastAsia" w:ascii="宋体" w:hAnsi="宋体" w:cs="宋体"/>
          <w:sz w:val="24"/>
        </w:rPr>
        <w:t>三、承担保证责任的形式</w:t>
      </w:r>
    </w:p>
    <w:p>
      <w:pPr>
        <w:spacing w:line="400" w:lineRule="exact"/>
        <w:ind w:firstLine="480" w:firstLineChars="200"/>
        <w:jc w:val="left"/>
        <w:rPr>
          <w:rFonts w:ascii="宋体" w:hAnsi="宋体" w:cs="宋体"/>
          <w:sz w:val="24"/>
        </w:rPr>
      </w:pPr>
      <w:r>
        <w:rPr>
          <w:rFonts w:hint="eastAsia" w:ascii="宋体" w:hAnsi="宋体" w:cs="宋体"/>
          <w:sz w:val="24"/>
        </w:rPr>
        <w:t>我方承担保证责任的形式是代为支付。发包人未按主合同约定向你方支付工程款的，由我方在保证金额内代为支付。</w:t>
      </w:r>
    </w:p>
    <w:p>
      <w:pPr>
        <w:spacing w:line="400" w:lineRule="exact"/>
        <w:ind w:firstLine="480" w:firstLineChars="200"/>
        <w:jc w:val="left"/>
        <w:rPr>
          <w:rFonts w:ascii="宋体" w:hAnsi="宋体" w:cs="宋体"/>
          <w:sz w:val="24"/>
        </w:rPr>
      </w:pPr>
      <w:r>
        <w:rPr>
          <w:rFonts w:hint="eastAsia" w:ascii="宋体" w:hAnsi="宋体" w:cs="宋体"/>
          <w:sz w:val="24"/>
        </w:rPr>
        <w:t>四、代偿的安排</w:t>
      </w:r>
    </w:p>
    <w:p>
      <w:pPr>
        <w:spacing w:line="400" w:lineRule="exact"/>
        <w:ind w:firstLine="480" w:firstLineChars="200"/>
        <w:jc w:val="left"/>
        <w:rPr>
          <w:rFonts w:ascii="宋体" w:hAnsi="宋体" w:cs="宋体"/>
          <w:sz w:val="24"/>
        </w:rPr>
      </w:pPr>
      <w:r>
        <w:rPr>
          <w:rFonts w:hint="eastAsia" w:ascii="宋体" w:hAnsi="宋体" w:cs="宋体"/>
          <w:sz w:val="24"/>
        </w:rPr>
        <w:t>1.你方要求我方承担保证责任的，应向我方发出书面索赔通知及发包人未支付主合同约定工程款的证明材料。索赔通知应写明要求索赔的金额，支付款项应到达的账号。</w:t>
      </w:r>
    </w:p>
    <w:p>
      <w:pPr>
        <w:spacing w:line="400" w:lineRule="exact"/>
        <w:ind w:firstLine="480" w:firstLineChars="200"/>
        <w:jc w:val="left"/>
        <w:rPr>
          <w:rFonts w:ascii="宋体" w:hAnsi="宋体" w:cs="宋体"/>
          <w:sz w:val="24"/>
        </w:rPr>
      </w:pPr>
      <w:r>
        <w:rPr>
          <w:rFonts w:hint="eastAsia" w:ascii="宋体" w:hAnsi="宋体" w:cs="宋体"/>
          <w:sz w:val="24"/>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400" w:lineRule="exact"/>
        <w:ind w:firstLine="480" w:firstLineChars="200"/>
        <w:jc w:val="left"/>
        <w:rPr>
          <w:rFonts w:ascii="宋体" w:hAnsi="宋体" w:cs="宋体"/>
          <w:sz w:val="24"/>
        </w:rPr>
      </w:pPr>
      <w:r>
        <w:rPr>
          <w:rFonts w:hint="eastAsia" w:ascii="宋体" w:hAnsi="宋体" w:cs="宋体"/>
          <w:sz w:val="24"/>
        </w:rPr>
        <w:t>3.我方收到你方的书面索赔通知及相应的证明材料后７天内无条件支付。</w:t>
      </w:r>
    </w:p>
    <w:p>
      <w:pPr>
        <w:spacing w:line="400" w:lineRule="exact"/>
        <w:ind w:firstLine="480" w:firstLineChars="200"/>
        <w:jc w:val="left"/>
        <w:rPr>
          <w:rFonts w:ascii="宋体" w:hAnsi="宋体" w:cs="宋体"/>
          <w:sz w:val="24"/>
        </w:rPr>
      </w:pPr>
      <w:r>
        <w:rPr>
          <w:rFonts w:hint="eastAsia" w:ascii="宋体" w:hAnsi="宋体" w:cs="宋体"/>
          <w:sz w:val="24"/>
        </w:rPr>
        <w:t>五、保证责任的解除</w:t>
      </w:r>
    </w:p>
    <w:p>
      <w:pPr>
        <w:spacing w:line="400" w:lineRule="exact"/>
        <w:ind w:firstLine="480" w:firstLineChars="200"/>
        <w:jc w:val="left"/>
        <w:rPr>
          <w:rFonts w:ascii="宋体" w:hAnsi="宋体" w:cs="宋体"/>
          <w:sz w:val="24"/>
        </w:rPr>
      </w:pPr>
      <w:r>
        <w:rPr>
          <w:rFonts w:hint="eastAsia" w:ascii="宋体" w:hAnsi="宋体" w:cs="宋体"/>
          <w:sz w:val="24"/>
        </w:rPr>
        <w:t>1. 在本保函承诺的保证期间内，你方未书面向我方主张保证责任的，自保证期间届满次日起，我方保证责任解除。</w:t>
      </w:r>
    </w:p>
    <w:p>
      <w:pPr>
        <w:spacing w:line="400" w:lineRule="exact"/>
        <w:ind w:firstLine="480" w:firstLineChars="200"/>
        <w:jc w:val="left"/>
        <w:rPr>
          <w:rFonts w:ascii="宋体" w:hAnsi="宋体" w:cs="宋体"/>
          <w:sz w:val="24"/>
        </w:rPr>
      </w:pPr>
      <w:r>
        <w:rPr>
          <w:rFonts w:hint="eastAsia" w:ascii="宋体" w:hAnsi="宋体" w:cs="宋体"/>
          <w:sz w:val="24"/>
        </w:rPr>
        <w:t>2. 发包人按主合同约定履行了工程款的全部支付义务的，自本保函承诺的保证期间届满次日起，我方保证责任解除。</w:t>
      </w:r>
    </w:p>
    <w:p>
      <w:pPr>
        <w:spacing w:line="400" w:lineRule="exact"/>
        <w:ind w:firstLine="480" w:firstLineChars="200"/>
        <w:jc w:val="left"/>
        <w:rPr>
          <w:rFonts w:ascii="宋体" w:hAnsi="宋体" w:cs="宋体"/>
          <w:sz w:val="24"/>
        </w:rPr>
      </w:pPr>
      <w:r>
        <w:rPr>
          <w:rFonts w:hint="eastAsia" w:ascii="宋体" w:hAnsi="宋体" w:cs="宋体"/>
          <w:sz w:val="24"/>
        </w:rPr>
        <w:t>3. 我方按照本保函向你方履行保证责任所支付金额达到本保函保证金额时，自我方向你方支付（支付款项从我方账户划出）之日起，保证责任即解除。</w:t>
      </w:r>
    </w:p>
    <w:p>
      <w:pPr>
        <w:spacing w:line="400" w:lineRule="exact"/>
        <w:ind w:firstLine="480" w:firstLineChars="200"/>
        <w:jc w:val="left"/>
        <w:rPr>
          <w:rFonts w:ascii="宋体" w:hAnsi="宋体" w:cs="宋体"/>
          <w:sz w:val="24"/>
        </w:rPr>
      </w:pPr>
      <w:r>
        <w:rPr>
          <w:rFonts w:hint="eastAsia" w:ascii="宋体" w:hAnsi="宋体" w:cs="宋体"/>
          <w:sz w:val="24"/>
        </w:rPr>
        <w:t>4. 按照法律法规的规定或出现应解除我方保证责任的其他情形的，我方在本保函项下的保证责任亦解除。</w:t>
      </w:r>
    </w:p>
    <w:p>
      <w:pPr>
        <w:spacing w:line="400" w:lineRule="exact"/>
        <w:jc w:val="left"/>
        <w:rPr>
          <w:rFonts w:ascii="宋体" w:hAnsi="宋体" w:cs="宋体"/>
          <w:sz w:val="24"/>
        </w:rPr>
      </w:pPr>
    </w:p>
    <w:p>
      <w:pPr>
        <w:spacing w:line="400" w:lineRule="exact"/>
        <w:ind w:firstLine="480" w:firstLineChars="200"/>
        <w:jc w:val="left"/>
        <w:rPr>
          <w:rFonts w:ascii="宋体" w:hAnsi="宋体" w:cs="宋体"/>
          <w:sz w:val="24"/>
        </w:rPr>
      </w:pPr>
      <w:r>
        <w:rPr>
          <w:rFonts w:hint="eastAsia" w:ascii="宋体" w:hAnsi="宋体" w:cs="宋体"/>
          <w:sz w:val="24"/>
        </w:rPr>
        <w:t>5. 我方解除保证责任后，你方应自我方保证责任解除之日起</w:t>
      </w:r>
      <w:r>
        <w:rPr>
          <w:rFonts w:hint="eastAsia" w:ascii="宋体" w:hAnsi="宋体" w:cs="宋体"/>
          <w:sz w:val="24"/>
          <w:u w:val="single"/>
        </w:rPr>
        <w:t xml:space="preserve">  </w:t>
      </w:r>
      <w:r>
        <w:rPr>
          <w:rFonts w:hint="eastAsia" w:ascii="宋体" w:hAnsi="宋体" w:cs="宋体"/>
          <w:sz w:val="24"/>
        </w:rPr>
        <w:t>个工作日内，将本保函原件返还我方。</w:t>
      </w:r>
    </w:p>
    <w:p>
      <w:pPr>
        <w:spacing w:line="400" w:lineRule="exact"/>
        <w:ind w:firstLine="480" w:firstLineChars="200"/>
        <w:jc w:val="left"/>
        <w:rPr>
          <w:rFonts w:ascii="宋体" w:hAnsi="宋体" w:cs="宋体"/>
          <w:sz w:val="24"/>
        </w:rPr>
      </w:pPr>
      <w:r>
        <w:rPr>
          <w:rFonts w:hint="eastAsia" w:ascii="宋体" w:hAnsi="宋体" w:cs="宋体"/>
          <w:sz w:val="24"/>
        </w:rPr>
        <w:t>六、免责条款</w:t>
      </w:r>
    </w:p>
    <w:p>
      <w:pPr>
        <w:spacing w:line="400" w:lineRule="exact"/>
        <w:ind w:firstLine="480" w:firstLineChars="200"/>
        <w:jc w:val="left"/>
        <w:rPr>
          <w:rFonts w:ascii="宋体" w:hAnsi="宋体" w:cs="宋体"/>
          <w:sz w:val="24"/>
        </w:rPr>
      </w:pPr>
      <w:r>
        <w:rPr>
          <w:rFonts w:hint="eastAsia" w:ascii="宋体" w:hAnsi="宋体" w:cs="宋体"/>
          <w:sz w:val="24"/>
        </w:rPr>
        <w:t>1. 因你方违约致使发包人不能履行义务的，我方不承担保证责任。</w:t>
      </w:r>
    </w:p>
    <w:p>
      <w:pPr>
        <w:spacing w:line="400" w:lineRule="exact"/>
        <w:ind w:firstLine="480" w:firstLineChars="200"/>
        <w:jc w:val="left"/>
        <w:rPr>
          <w:rFonts w:ascii="宋体" w:hAnsi="宋体" w:cs="宋体"/>
          <w:sz w:val="24"/>
        </w:rPr>
      </w:pPr>
      <w:r>
        <w:rPr>
          <w:rFonts w:hint="eastAsia" w:ascii="宋体" w:hAnsi="宋体" w:cs="宋体"/>
          <w:sz w:val="24"/>
        </w:rPr>
        <w:t>2. 依照法律法规的规定或你方与发包人的另行约定，免除发包人部分或全部义务的，我方亦免除其相应的保证责任。</w:t>
      </w:r>
    </w:p>
    <w:p>
      <w:pPr>
        <w:spacing w:line="400" w:lineRule="exact"/>
        <w:ind w:firstLine="480" w:firstLineChars="200"/>
        <w:jc w:val="left"/>
        <w:rPr>
          <w:rFonts w:ascii="宋体" w:hAnsi="宋体" w:cs="宋体"/>
          <w:sz w:val="24"/>
        </w:rPr>
      </w:pPr>
      <w:r>
        <w:rPr>
          <w:rFonts w:hint="eastAsia" w:ascii="宋体" w:hAnsi="宋体" w:cs="宋体"/>
          <w:sz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00" w:lineRule="exact"/>
        <w:ind w:firstLine="480" w:firstLineChars="200"/>
        <w:jc w:val="left"/>
        <w:rPr>
          <w:rFonts w:ascii="宋体" w:hAnsi="宋体" w:cs="宋体"/>
          <w:sz w:val="24"/>
        </w:rPr>
      </w:pPr>
      <w:r>
        <w:rPr>
          <w:rFonts w:hint="eastAsia" w:ascii="宋体" w:hAnsi="宋体" w:cs="宋体"/>
          <w:sz w:val="24"/>
        </w:rPr>
        <w:t>4. 因不可抗力造成发包人不能履行义务的，我方不承担保证责任。</w:t>
      </w:r>
    </w:p>
    <w:p>
      <w:pPr>
        <w:spacing w:line="400" w:lineRule="exact"/>
        <w:ind w:firstLine="480" w:firstLineChars="200"/>
        <w:jc w:val="left"/>
        <w:rPr>
          <w:rFonts w:ascii="宋体" w:hAnsi="宋体" w:cs="宋体"/>
          <w:sz w:val="24"/>
        </w:rPr>
      </w:pPr>
      <w:r>
        <w:rPr>
          <w:rFonts w:hint="eastAsia" w:ascii="宋体" w:hAnsi="宋体" w:cs="宋体"/>
          <w:sz w:val="24"/>
        </w:rPr>
        <w:t>七、争议解决</w:t>
      </w:r>
    </w:p>
    <w:p>
      <w:pPr>
        <w:spacing w:line="400" w:lineRule="exact"/>
        <w:ind w:firstLine="480" w:firstLineChars="200"/>
        <w:rPr>
          <w:rFonts w:ascii="宋体" w:hAnsi="宋体" w:cs="宋体"/>
          <w:sz w:val="24"/>
        </w:rPr>
      </w:pPr>
      <w:r>
        <w:rPr>
          <w:rFonts w:hint="eastAsia" w:ascii="宋体" w:hAnsi="宋体" w:cs="宋体"/>
          <w:sz w:val="24"/>
        </w:rPr>
        <w:t>因本保函或本保函相关事项发生的纠纷，可由双方协商解决，协商不成的，按下列第</w:t>
      </w:r>
      <w:r>
        <w:rPr>
          <w:rFonts w:hint="eastAsia" w:ascii="宋体" w:hAnsi="宋体" w:cs="宋体"/>
          <w:sz w:val="24"/>
          <w:u w:val="single"/>
        </w:rPr>
        <w:t xml:space="preserve"> （2） </w:t>
      </w:r>
      <w:r>
        <w:rPr>
          <w:rFonts w:hint="eastAsia" w:ascii="宋体" w:hAnsi="宋体" w:cs="宋体"/>
          <w:sz w:val="24"/>
        </w:rPr>
        <w:t>种方式解决：</w:t>
      </w:r>
    </w:p>
    <w:p>
      <w:pPr>
        <w:spacing w:line="400" w:lineRule="exact"/>
        <w:ind w:firstLine="480" w:firstLineChars="200"/>
        <w:jc w:val="left"/>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pPr>
        <w:spacing w:line="400" w:lineRule="exact"/>
        <w:ind w:firstLine="480" w:firstLineChars="200"/>
        <w:jc w:val="left"/>
        <w:rPr>
          <w:rFonts w:ascii="宋体" w:hAnsi="宋体" w:cs="宋体"/>
          <w:sz w:val="24"/>
        </w:rPr>
      </w:pPr>
      <w:r>
        <w:rPr>
          <w:rFonts w:hint="eastAsia" w:ascii="宋体" w:hAnsi="宋体" w:cs="宋体"/>
          <w:sz w:val="24"/>
        </w:rPr>
        <w:t>（2）向</w:t>
      </w:r>
      <w:r>
        <w:rPr>
          <w:rFonts w:hint="eastAsia" w:ascii="宋体" w:hAnsi="宋体" w:cs="宋体"/>
          <w:sz w:val="24"/>
          <w:u w:val="single"/>
        </w:rPr>
        <w:t xml:space="preserve">       </w:t>
      </w:r>
      <w:r>
        <w:rPr>
          <w:rFonts w:hint="eastAsia" w:ascii="宋体" w:hAnsi="宋体" w:cs="宋体"/>
          <w:sz w:val="24"/>
        </w:rPr>
        <w:t>人民法院提起诉讼。</w:t>
      </w:r>
    </w:p>
    <w:p>
      <w:pPr>
        <w:spacing w:line="400" w:lineRule="exact"/>
        <w:ind w:firstLine="480" w:firstLineChars="200"/>
        <w:jc w:val="left"/>
        <w:rPr>
          <w:rFonts w:ascii="宋体" w:hAnsi="宋体" w:cs="宋体"/>
          <w:sz w:val="24"/>
        </w:rPr>
      </w:pPr>
      <w:r>
        <w:rPr>
          <w:rFonts w:hint="eastAsia" w:ascii="宋体" w:hAnsi="宋体" w:cs="宋体"/>
          <w:sz w:val="24"/>
        </w:rPr>
        <w:t>八、保函的生效</w:t>
      </w:r>
    </w:p>
    <w:p>
      <w:pPr>
        <w:spacing w:line="400" w:lineRule="exact"/>
        <w:ind w:firstLine="480" w:firstLineChars="200"/>
        <w:jc w:val="left"/>
        <w:rPr>
          <w:rFonts w:ascii="宋体" w:hAnsi="宋体" w:cs="宋体"/>
          <w:sz w:val="24"/>
        </w:rPr>
      </w:pPr>
      <w:r>
        <w:rPr>
          <w:rFonts w:hint="eastAsia" w:ascii="宋体" w:hAnsi="宋体" w:cs="宋体"/>
          <w:sz w:val="24"/>
        </w:rPr>
        <w:t>本保函自我方法定代表人（或其授权代理人）签字并加盖公章之日起生效。</w:t>
      </w:r>
    </w:p>
    <w:p>
      <w:pPr>
        <w:spacing w:line="360" w:lineRule="auto"/>
        <w:ind w:right="600"/>
        <w:jc w:val="left"/>
        <w:rPr>
          <w:rFonts w:ascii="宋体" w:hAnsi="宋体" w:cs="宋体"/>
          <w:sz w:val="24"/>
        </w:rPr>
      </w:pPr>
    </w:p>
    <w:p>
      <w:pPr>
        <w:spacing w:line="360" w:lineRule="auto"/>
        <w:ind w:right="600"/>
        <w:jc w:val="left"/>
        <w:rPr>
          <w:rFonts w:ascii="宋体" w:hAnsi="宋体" w:cs="宋体"/>
          <w:sz w:val="24"/>
        </w:rPr>
      </w:pPr>
      <w:r>
        <w:rPr>
          <w:rFonts w:hint="eastAsia" w:ascii="宋体" w:hAnsi="宋体" w:cs="宋体"/>
          <w:sz w:val="24"/>
        </w:rPr>
        <w:t>担保人：</w:t>
      </w:r>
      <w:r>
        <w:rPr>
          <w:rFonts w:hint="eastAsia" w:ascii="宋体" w:hAnsi="宋体" w:cs="宋体"/>
          <w:sz w:val="24"/>
          <w:u w:val="single"/>
        </w:rPr>
        <w:t xml:space="preserve">                                   </w:t>
      </w:r>
      <w:r>
        <w:rPr>
          <w:rFonts w:hint="eastAsia" w:ascii="宋体" w:hAnsi="宋体" w:cs="宋体"/>
          <w:sz w:val="24"/>
        </w:rPr>
        <w:t>（盖章）</w:t>
      </w:r>
    </w:p>
    <w:p>
      <w:pPr>
        <w:spacing w:line="360" w:lineRule="auto"/>
        <w:ind w:right="1200"/>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w:t>
      </w:r>
    </w:p>
    <w:p>
      <w:pPr>
        <w:spacing w:line="360" w:lineRule="auto"/>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jc w:val="left"/>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pPr>
        <w:spacing w:line="360" w:lineRule="auto"/>
        <w:jc w:val="left"/>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pPr>
        <w:spacing w:line="360" w:lineRule="auto"/>
        <w:ind w:right="150" w:firstLine="480" w:firstLineChars="200"/>
        <w:jc w:val="left"/>
        <w:rPr>
          <w:rFonts w:ascii="宋体" w:hAnsi="宋体" w:cs="宋体"/>
          <w:sz w:val="24"/>
          <w:u w:val="single"/>
        </w:rPr>
      </w:pPr>
    </w:p>
    <w:p>
      <w:pPr>
        <w:spacing w:line="360" w:lineRule="auto"/>
        <w:ind w:right="150" w:firstLine="480" w:firstLineChars="200"/>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附件11：</w:t>
      </w:r>
    </w:p>
    <w:p>
      <w:pPr>
        <w:spacing w:beforeLines="50" w:afterLines="50" w:line="440" w:lineRule="exact"/>
        <w:jc w:val="center"/>
        <w:rPr>
          <w:rFonts w:ascii="宋体" w:hAnsi="宋体" w:cs="宋体"/>
          <w:sz w:val="30"/>
          <w:szCs w:val="30"/>
        </w:rPr>
      </w:pPr>
      <w:r>
        <w:rPr>
          <w:rFonts w:hint="eastAsia" w:ascii="宋体" w:hAnsi="宋体" w:cs="宋体"/>
          <w:sz w:val="30"/>
          <w:szCs w:val="30"/>
        </w:rPr>
        <w:t>11-1：材料暂估价表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98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名称</w:t>
            </w:r>
          </w:p>
        </w:tc>
        <w:tc>
          <w:tcPr>
            <w:tcW w:w="85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w:t>
            </w:r>
          </w:p>
        </w:tc>
        <w:tc>
          <w:tcPr>
            <w:tcW w:w="77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1352"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单价（元）</w:t>
            </w:r>
          </w:p>
        </w:tc>
        <w:tc>
          <w:tcPr>
            <w:tcW w:w="1418"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合价（元）</w:t>
            </w:r>
          </w:p>
        </w:tc>
        <w:tc>
          <w:tcPr>
            <w:tcW w:w="170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98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85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77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352"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418"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70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17"/>
              <w:keepNext/>
              <w:spacing w:line="440" w:lineRule="exact"/>
              <w:ind w:left="63" w:right="63"/>
              <w:rPr>
                <w:rFonts w:ascii="宋体" w:hAnsi="宋体" w:cs="宋体"/>
                <w:sz w:val="28"/>
                <w:szCs w:val="30"/>
                <w:lang w:val="en-US" w:eastAsia="zh-CN"/>
              </w:rPr>
            </w:pPr>
          </w:p>
        </w:tc>
        <w:tc>
          <w:tcPr>
            <w:tcW w:w="1984" w:type="dxa"/>
            <w:tcBorders>
              <w:top w:val="nil"/>
            </w:tcBorders>
          </w:tcPr>
          <w:p>
            <w:pPr>
              <w:pStyle w:val="17"/>
              <w:keepNext/>
              <w:spacing w:line="440" w:lineRule="exact"/>
              <w:ind w:left="63" w:right="63"/>
              <w:rPr>
                <w:rFonts w:ascii="宋体" w:hAnsi="宋体" w:cs="宋体"/>
                <w:sz w:val="28"/>
                <w:szCs w:val="30"/>
                <w:lang w:val="en-US" w:eastAsia="zh-CN"/>
              </w:rPr>
            </w:pPr>
          </w:p>
        </w:tc>
        <w:tc>
          <w:tcPr>
            <w:tcW w:w="851" w:type="dxa"/>
            <w:tcBorders>
              <w:top w:val="nil"/>
            </w:tcBorders>
          </w:tcPr>
          <w:p>
            <w:pPr>
              <w:pStyle w:val="17"/>
              <w:keepNext/>
              <w:spacing w:line="440" w:lineRule="exact"/>
              <w:ind w:left="63" w:right="63"/>
              <w:rPr>
                <w:rFonts w:ascii="宋体" w:hAnsi="宋体" w:cs="宋体"/>
                <w:sz w:val="28"/>
                <w:szCs w:val="30"/>
                <w:lang w:val="en-US" w:eastAsia="zh-CN"/>
              </w:rPr>
            </w:pPr>
          </w:p>
        </w:tc>
        <w:tc>
          <w:tcPr>
            <w:tcW w:w="774" w:type="dxa"/>
            <w:tcBorders>
              <w:top w:val="nil"/>
            </w:tcBorders>
          </w:tcPr>
          <w:p>
            <w:pPr>
              <w:pStyle w:val="17"/>
              <w:keepNext/>
              <w:spacing w:line="440" w:lineRule="exact"/>
              <w:ind w:left="63" w:right="63"/>
              <w:rPr>
                <w:rFonts w:ascii="宋体" w:hAnsi="宋体" w:cs="宋体"/>
                <w:sz w:val="28"/>
                <w:szCs w:val="30"/>
                <w:lang w:val="en-US" w:eastAsia="zh-CN"/>
              </w:rPr>
            </w:pPr>
          </w:p>
        </w:tc>
        <w:tc>
          <w:tcPr>
            <w:tcW w:w="1352" w:type="dxa"/>
            <w:tcBorders>
              <w:top w:val="nil"/>
            </w:tcBorders>
          </w:tcPr>
          <w:p>
            <w:pPr>
              <w:pStyle w:val="17"/>
              <w:keepNext/>
              <w:spacing w:line="440" w:lineRule="exact"/>
              <w:ind w:left="63" w:right="63"/>
              <w:rPr>
                <w:rFonts w:ascii="宋体" w:hAnsi="宋体" w:cs="宋体"/>
                <w:sz w:val="28"/>
                <w:szCs w:val="30"/>
                <w:lang w:val="en-US" w:eastAsia="zh-CN"/>
              </w:rPr>
            </w:pPr>
          </w:p>
        </w:tc>
        <w:tc>
          <w:tcPr>
            <w:tcW w:w="1418" w:type="dxa"/>
            <w:tcBorders>
              <w:top w:val="nil"/>
            </w:tcBorders>
          </w:tcPr>
          <w:p>
            <w:pPr>
              <w:pStyle w:val="17"/>
              <w:keepNext/>
              <w:spacing w:line="440" w:lineRule="exact"/>
              <w:ind w:left="63" w:right="63"/>
              <w:rPr>
                <w:rFonts w:ascii="宋体" w:hAnsi="宋体" w:cs="宋体"/>
                <w:sz w:val="28"/>
                <w:szCs w:val="30"/>
                <w:lang w:val="en-US" w:eastAsia="zh-CN"/>
              </w:rPr>
            </w:pPr>
          </w:p>
        </w:tc>
        <w:tc>
          <w:tcPr>
            <w:tcW w:w="1701" w:type="dxa"/>
            <w:tcBorders>
              <w:top w:val="nil"/>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bl>
    <w:p>
      <w:pPr>
        <w:spacing w:beforeLines="50" w:afterLines="50" w:line="440" w:lineRule="exact"/>
        <w:rPr>
          <w:rFonts w:ascii="宋体" w:hAnsi="宋体" w:cs="宋体"/>
          <w:sz w:val="30"/>
          <w:szCs w:val="30"/>
        </w:rPr>
      </w:pPr>
    </w:p>
    <w:p>
      <w:pPr>
        <w:spacing w:beforeLines="50" w:afterLines="50" w:line="440" w:lineRule="exact"/>
        <w:rPr>
          <w:rFonts w:ascii="宋体" w:hAnsi="宋体" w:cs="宋体"/>
          <w:sz w:val="30"/>
          <w:szCs w:val="30"/>
        </w:rPr>
      </w:pPr>
    </w:p>
    <w:p>
      <w:pPr>
        <w:spacing w:beforeLines="50" w:afterLines="50" w:line="440" w:lineRule="exact"/>
        <w:jc w:val="center"/>
        <w:rPr>
          <w:rFonts w:ascii="宋体" w:hAnsi="宋体" w:cs="宋体"/>
          <w:sz w:val="30"/>
          <w:szCs w:val="30"/>
        </w:rPr>
      </w:pPr>
      <w:r>
        <w:rPr>
          <w:rFonts w:hint="eastAsia" w:ascii="宋体" w:hAnsi="宋体" w:cs="宋体"/>
          <w:sz w:val="30"/>
          <w:szCs w:val="30"/>
        </w:rPr>
        <w:t>11-2：工程设备暂估价表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98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名称</w:t>
            </w:r>
          </w:p>
        </w:tc>
        <w:tc>
          <w:tcPr>
            <w:tcW w:w="85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w:t>
            </w:r>
          </w:p>
        </w:tc>
        <w:tc>
          <w:tcPr>
            <w:tcW w:w="77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1352"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单价（元）</w:t>
            </w:r>
          </w:p>
        </w:tc>
        <w:tc>
          <w:tcPr>
            <w:tcW w:w="1418"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合价（元）</w:t>
            </w:r>
          </w:p>
        </w:tc>
        <w:tc>
          <w:tcPr>
            <w:tcW w:w="170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98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85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77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352"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418"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70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17"/>
              <w:keepNext/>
              <w:spacing w:line="440" w:lineRule="exact"/>
              <w:ind w:left="63" w:right="63"/>
              <w:rPr>
                <w:rFonts w:ascii="宋体" w:hAnsi="宋体" w:cs="宋体"/>
                <w:sz w:val="28"/>
                <w:szCs w:val="30"/>
                <w:lang w:val="en-US" w:eastAsia="zh-CN"/>
              </w:rPr>
            </w:pPr>
          </w:p>
        </w:tc>
        <w:tc>
          <w:tcPr>
            <w:tcW w:w="1984" w:type="dxa"/>
            <w:tcBorders>
              <w:top w:val="nil"/>
            </w:tcBorders>
          </w:tcPr>
          <w:p>
            <w:pPr>
              <w:pStyle w:val="17"/>
              <w:keepNext/>
              <w:spacing w:line="440" w:lineRule="exact"/>
              <w:ind w:left="63" w:right="63"/>
              <w:rPr>
                <w:rFonts w:ascii="宋体" w:hAnsi="宋体" w:cs="宋体"/>
                <w:sz w:val="28"/>
                <w:szCs w:val="30"/>
                <w:lang w:val="en-US" w:eastAsia="zh-CN"/>
              </w:rPr>
            </w:pPr>
          </w:p>
        </w:tc>
        <w:tc>
          <w:tcPr>
            <w:tcW w:w="851" w:type="dxa"/>
            <w:tcBorders>
              <w:top w:val="nil"/>
            </w:tcBorders>
          </w:tcPr>
          <w:p>
            <w:pPr>
              <w:pStyle w:val="17"/>
              <w:keepNext/>
              <w:spacing w:line="440" w:lineRule="exact"/>
              <w:ind w:left="63" w:right="63"/>
              <w:rPr>
                <w:rFonts w:ascii="宋体" w:hAnsi="宋体" w:cs="宋体"/>
                <w:sz w:val="28"/>
                <w:szCs w:val="30"/>
                <w:lang w:val="en-US" w:eastAsia="zh-CN"/>
              </w:rPr>
            </w:pPr>
          </w:p>
        </w:tc>
        <w:tc>
          <w:tcPr>
            <w:tcW w:w="774" w:type="dxa"/>
            <w:tcBorders>
              <w:top w:val="nil"/>
            </w:tcBorders>
          </w:tcPr>
          <w:p>
            <w:pPr>
              <w:pStyle w:val="17"/>
              <w:keepNext/>
              <w:spacing w:line="440" w:lineRule="exact"/>
              <w:ind w:left="63" w:right="63"/>
              <w:rPr>
                <w:rFonts w:ascii="宋体" w:hAnsi="宋体" w:cs="宋体"/>
                <w:sz w:val="28"/>
                <w:szCs w:val="30"/>
                <w:lang w:val="en-US" w:eastAsia="zh-CN"/>
              </w:rPr>
            </w:pPr>
          </w:p>
        </w:tc>
        <w:tc>
          <w:tcPr>
            <w:tcW w:w="1352" w:type="dxa"/>
            <w:tcBorders>
              <w:top w:val="nil"/>
            </w:tcBorders>
          </w:tcPr>
          <w:p>
            <w:pPr>
              <w:pStyle w:val="17"/>
              <w:keepNext/>
              <w:spacing w:line="440" w:lineRule="exact"/>
              <w:ind w:left="63" w:right="63"/>
              <w:rPr>
                <w:rFonts w:ascii="宋体" w:hAnsi="宋体" w:cs="宋体"/>
                <w:sz w:val="28"/>
                <w:szCs w:val="30"/>
                <w:lang w:val="en-US" w:eastAsia="zh-CN"/>
              </w:rPr>
            </w:pPr>
          </w:p>
        </w:tc>
        <w:tc>
          <w:tcPr>
            <w:tcW w:w="1418" w:type="dxa"/>
            <w:tcBorders>
              <w:top w:val="nil"/>
            </w:tcBorders>
          </w:tcPr>
          <w:p>
            <w:pPr>
              <w:pStyle w:val="17"/>
              <w:keepNext/>
              <w:spacing w:line="440" w:lineRule="exact"/>
              <w:ind w:left="63" w:right="63"/>
              <w:rPr>
                <w:rFonts w:ascii="宋体" w:hAnsi="宋体" w:cs="宋体"/>
                <w:sz w:val="28"/>
                <w:szCs w:val="30"/>
                <w:lang w:val="en-US" w:eastAsia="zh-CN"/>
              </w:rPr>
            </w:pPr>
          </w:p>
        </w:tc>
        <w:tc>
          <w:tcPr>
            <w:tcW w:w="1701" w:type="dxa"/>
            <w:tcBorders>
              <w:top w:val="nil"/>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bl>
    <w:p>
      <w:pPr>
        <w:spacing w:line="440" w:lineRule="exact"/>
        <w:rPr>
          <w:rFonts w:ascii="宋体" w:hAnsi="宋体" w:cs="宋体"/>
          <w:sz w:val="30"/>
          <w:szCs w:val="30"/>
        </w:rPr>
      </w:pPr>
    </w:p>
    <w:p>
      <w:pPr>
        <w:spacing w:beforeLines="50" w:afterLines="50" w:line="440" w:lineRule="exact"/>
        <w:jc w:val="center"/>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11-3：专业工程暂估价表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98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名称</w:t>
            </w:r>
          </w:p>
        </w:tc>
        <w:tc>
          <w:tcPr>
            <w:tcW w:w="85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w:t>
            </w:r>
          </w:p>
        </w:tc>
        <w:tc>
          <w:tcPr>
            <w:tcW w:w="77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1352"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单价（元）</w:t>
            </w:r>
          </w:p>
        </w:tc>
        <w:tc>
          <w:tcPr>
            <w:tcW w:w="1418"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合价（元）</w:t>
            </w:r>
          </w:p>
        </w:tc>
        <w:tc>
          <w:tcPr>
            <w:tcW w:w="170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98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85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77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352"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418"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70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17"/>
              <w:keepNext/>
              <w:spacing w:line="440" w:lineRule="exact"/>
              <w:ind w:left="63" w:right="63"/>
              <w:rPr>
                <w:rFonts w:ascii="宋体" w:hAnsi="宋体" w:cs="宋体"/>
                <w:sz w:val="28"/>
                <w:szCs w:val="30"/>
                <w:lang w:val="en-US" w:eastAsia="zh-CN"/>
              </w:rPr>
            </w:pPr>
          </w:p>
        </w:tc>
        <w:tc>
          <w:tcPr>
            <w:tcW w:w="1984" w:type="dxa"/>
            <w:tcBorders>
              <w:top w:val="nil"/>
            </w:tcBorders>
          </w:tcPr>
          <w:p>
            <w:pPr>
              <w:pStyle w:val="17"/>
              <w:keepNext/>
              <w:spacing w:line="440" w:lineRule="exact"/>
              <w:ind w:left="63" w:right="63"/>
              <w:rPr>
                <w:rFonts w:ascii="宋体" w:hAnsi="宋体" w:cs="宋体"/>
                <w:sz w:val="28"/>
                <w:szCs w:val="30"/>
                <w:lang w:val="en-US" w:eastAsia="zh-CN"/>
              </w:rPr>
            </w:pPr>
          </w:p>
        </w:tc>
        <w:tc>
          <w:tcPr>
            <w:tcW w:w="851" w:type="dxa"/>
            <w:tcBorders>
              <w:top w:val="nil"/>
            </w:tcBorders>
          </w:tcPr>
          <w:p>
            <w:pPr>
              <w:pStyle w:val="17"/>
              <w:keepNext/>
              <w:spacing w:line="440" w:lineRule="exact"/>
              <w:ind w:left="63" w:right="63"/>
              <w:rPr>
                <w:rFonts w:ascii="宋体" w:hAnsi="宋体" w:cs="宋体"/>
                <w:sz w:val="28"/>
                <w:szCs w:val="30"/>
                <w:lang w:val="en-US" w:eastAsia="zh-CN"/>
              </w:rPr>
            </w:pPr>
          </w:p>
        </w:tc>
        <w:tc>
          <w:tcPr>
            <w:tcW w:w="774" w:type="dxa"/>
            <w:tcBorders>
              <w:top w:val="nil"/>
            </w:tcBorders>
          </w:tcPr>
          <w:p>
            <w:pPr>
              <w:pStyle w:val="17"/>
              <w:keepNext/>
              <w:spacing w:line="440" w:lineRule="exact"/>
              <w:ind w:left="63" w:right="63"/>
              <w:rPr>
                <w:rFonts w:ascii="宋体" w:hAnsi="宋体" w:cs="宋体"/>
                <w:sz w:val="28"/>
                <w:szCs w:val="30"/>
                <w:lang w:val="en-US" w:eastAsia="zh-CN"/>
              </w:rPr>
            </w:pPr>
          </w:p>
        </w:tc>
        <w:tc>
          <w:tcPr>
            <w:tcW w:w="1352" w:type="dxa"/>
            <w:tcBorders>
              <w:top w:val="nil"/>
            </w:tcBorders>
          </w:tcPr>
          <w:p>
            <w:pPr>
              <w:pStyle w:val="17"/>
              <w:keepNext/>
              <w:spacing w:line="440" w:lineRule="exact"/>
              <w:ind w:left="63" w:right="63"/>
              <w:rPr>
                <w:rFonts w:ascii="宋体" w:hAnsi="宋体" w:cs="宋体"/>
                <w:sz w:val="28"/>
                <w:szCs w:val="30"/>
                <w:lang w:val="en-US" w:eastAsia="zh-CN"/>
              </w:rPr>
            </w:pPr>
          </w:p>
        </w:tc>
        <w:tc>
          <w:tcPr>
            <w:tcW w:w="1418" w:type="dxa"/>
            <w:tcBorders>
              <w:top w:val="nil"/>
            </w:tcBorders>
          </w:tcPr>
          <w:p>
            <w:pPr>
              <w:pStyle w:val="17"/>
              <w:keepNext/>
              <w:spacing w:line="440" w:lineRule="exact"/>
              <w:ind w:left="63" w:right="63"/>
              <w:rPr>
                <w:rFonts w:ascii="宋体" w:hAnsi="宋体" w:cs="宋体"/>
                <w:sz w:val="28"/>
                <w:szCs w:val="30"/>
                <w:lang w:val="en-US" w:eastAsia="zh-CN"/>
              </w:rPr>
            </w:pPr>
          </w:p>
        </w:tc>
        <w:tc>
          <w:tcPr>
            <w:tcW w:w="1701" w:type="dxa"/>
            <w:tcBorders>
              <w:top w:val="nil"/>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bl>
    <w:p>
      <w:pPr>
        <w:spacing w:line="400" w:lineRule="exact"/>
        <w:rPr>
          <w:rFonts w:ascii="宋体" w:hAnsi="宋体" w:cs="宋体"/>
          <w:szCs w:val="21"/>
        </w:rPr>
      </w:pPr>
    </w:p>
    <w:p>
      <w:pPr>
        <w:tabs>
          <w:tab w:val="left" w:pos="1260"/>
        </w:tabs>
        <w:jc w:val="left"/>
        <w:rPr>
          <w:rFonts w:ascii="宋体" w:hAnsi="宋体" w:cs="宋体"/>
        </w:rPr>
      </w:pPr>
      <w:r>
        <w:rPr>
          <w:rFonts w:hint="eastAsia" w:ascii="宋体" w:hAnsi="宋体" w:cs="宋体"/>
          <w:szCs w:val="21"/>
        </w:rPr>
        <w:br w:type="page"/>
      </w:r>
    </w:p>
    <w:p>
      <w:pPr>
        <w:pStyle w:val="2"/>
        <w:rPr>
          <w:rFonts w:ascii="宋体" w:hAnsi="宋体" w:eastAsia="宋体" w:cs="宋体"/>
        </w:rPr>
      </w:pPr>
      <w:bookmarkStart w:id="678" w:name="_Toc3258"/>
      <w:r>
        <w:rPr>
          <w:rFonts w:hint="eastAsia" w:ascii="宋体" w:hAnsi="宋体" w:eastAsia="宋体" w:cs="宋体"/>
        </w:rPr>
        <w:t>第六章  响应文件格式</w:t>
      </w:r>
      <w:bookmarkEnd w:id="678"/>
    </w:p>
    <w:p>
      <w:pPr>
        <w:spacing w:line="400" w:lineRule="exact"/>
        <w:rPr>
          <w:rFonts w:ascii="宋体" w:hAnsi="宋体" w:cs="宋体"/>
          <w:szCs w:val="21"/>
        </w:rPr>
      </w:pPr>
    </w:p>
    <w:p>
      <w:pPr>
        <w:spacing w:line="300" w:lineRule="auto"/>
        <w:jc w:val="center"/>
        <w:rPr>
          <w:rFonts w:ascii="宋体" w:hAnsi="宋体" w:cs="宋体"/>
          <w:spacing w:val="20"/>
          <w:sz w:val="24"/>
        </w:rPr>
      </w:pPr>
      <w:r>
        <w:rPr>
          <w:rFonts w:hint="eastAsia" w:ascii="宋体" w:hAnsi="宋体" w:cs="宋体"/>
          <w:spacing w:val="20"/>
          <w:sz w:val="24"/>
        </w:rPr>
        <w:t>封面格式</w:t>
      </w:r>
    </w:p>
    <w:p>
      <w:pPr>
        <w:spacing w:line="300" w:lineRule="auto"/>
        <w:rPr>
          <w:rFonts w:ascii="宋体" w:hAnsi="宋体" w:cs="宋体"/>
          <w:spacing w:val="20"/>
          <w:sz w:val="24"/>
        </w:rPr>
      </w:pPr>
    </w:p>
    <w:p>
      <w:pPr>
        <w:spacing w:line="300" w:lineRule="auto"/>
        <w:jc w:val="center"/>
        <w:rPr>
          <w:rFonts w:ascii="宋体" w:hAnsi="宋体" w:cs="宋体"/>
          <w:sz w:val="36"/>
          <w:szCs w:val="72"/>
          <w:u w:val="single"/>
        </w:rPr>
      </w:pPr>
      <w:r>
        <w:rPr>
          <w:rFonts w:hint="eastAsia" w:ascii="宋体" w:hAnsi="宋体" w:cs="宋体"/>
          <w:sz w:val="36"/>
          <w:u w:val="single"/>
        </w:rPr>
        <w:t xml:space="preserve">                                      工程</w:t>
      </w:r>
    </w:p>
    <w:p>
      <w:pPr>
        <w:spacing w:line="300" w:lineRule="auto"/>
        <w:jc w:val="center"/>
        <w:rPr>
          <w:rFonts w:ascii="宋体" w:hAnsi="宋体" w:cs="宋体"/>
          <w:sz w:val="44"/>
          <w:u w:val="single"/>
        </w:rPr>
      </w:pPr>
    </w:p>
    <w:p>
      <w:pPr>
        <w:spacing w:line="300" w:lineRule="auto"/>
        <w:jc w:val="center"/>
        <w:rPr>
          <w:rFonts w:ascii="宋体" w:hAnsi="宋体" w:cs="宋体"/>
          <w:sz w:val="72"/>
        </w:rPr>
      </w:pPr>
    </w:p>
    <w:p>
      <w:pPr>
        <w:spacing w:line="300" w:lineRule="auto"/>
        <w:jc w:val="center"/>
        <w:rPr>
          <w:rFonts w:ascii="宋体" w:hAnsi="宋体" w:cs="宋体"/>
          <w:sz w:val="44"/>
        </w:rPr>
      </w:pPr>
      <w:r>
        <w:rPr>
          <w:rFonts w:hint="eastAsia" w:ascii="宋体" w:hAnsi="宋体" w:cs="宋体"/>
          <w:sz w:val="72"/>
        </w:rPr>
        <w:t>响应文件</w:t>
      </w:r>
    </w:p>
    <w:p>
      <w:pPr>
        <w:spacing w:line="300" w:lineRule="auto"/>
        <w:jc w:val="center"/>
        <w:rPr>
          <w:rFonts w:ascii="宋体" w:hAnsi="宋体" w:cs="宋体"/>
          <w:sz w:val="28"/>
        </w:rPr>
      </w:pPr>
    </w:p>
    <w:p>
      <w:pPr>
        <w:spacing w:line="300" w:lineRule="auto"/>
        <w:jc w:val="center"/>
        <w:rPr>
          <w:rFonts w:ascii="宋体" w:hAnsi="宋体" w:cs="宋体"/>
          <w:sz w:val="28"/>
        </w:rPr>
      </w:pPr>
      <w:r>
        <w:rPr>
          <w:rFonts w:hint="eastAsia" w:ascii="宋体" w:hAnsi="宋体" w:cs="宋体"/>
          <w:sz w:val="28"/>
        </w:rPr>
        <w:t>（资格审查部分）</w:t>
      </w:r>
    </w:p>
    <w:p>
      <w:pPr>
        <w:spacing w:line="300" w:lineRule="auto"/>
        <w:jc w:val="center"/>
        <w:rPr>
          <w:rFonts w:ascii="宋体" w:hAnsi="宋体" w:cs="宋体"/>
        </w:rPr>
      </w:pPr>
    </w:p>
    <w:p>
      <w:pPr>
        <w:spacing w:line="300" w:lineRule="auto"/>
        <w:jc w:val="center"/>
        <w:rPr>
          <w:rFonts w:ascii="宋体" w:hAnsi="宋体" w:cs="宋体"/>
        </w:rPr>
      </w:pPr>
    </w:p>
    <w:p>
      <w:pPr>
        <w:spacing w:line="300" w:lineRule="auto"/>
        <w:ind w:firstLine="2160" w:firstLineChars="600"/>
        <w:rPr>
          <w:rFonts w:ascii="宋体" w:hAnsi="宋体" w:cs="宋体"/>
          <w:spacing w:val="20"/>
          <w:sz w:val="32"/>
        </w:rPr>
      </w:pPr>
      <w:r>
        <w:rPr>
          <w:rFonts w:hint="eastAsia" w:ascii="宋体" w:hAnsi="宋体" w:cs="宋体"/>
          <w:spacing w:val="20"/>
          <w:sz w:val="32"/>
        </w:rPr>
        <w:t>项目编号：</w:t>
      </w:r>
      <w:r>
        <w:rPr>
          <w:rFonts w:hint="eastAsia" w:ascii="宋体" w:hAnsi="宋体" w:cs="宋体"/>
          <w:spacing w:val="20"/>
          <w:sz w:val="32"/>
          <w:u w:val="single"/>
        </w:rPr>
        <w:t xml:space="preserve">               </w:t>
      </w:r>
      <w:r>
        <w:rPr>
          <w:rFonts w:hint="eastAsia" w:ascii="宋体" w:hAnsi="宋体" w:cs="宋体"/>
          <w:spacing w:val="20"/>
          <w:sz w:val="32"/>
        </w:rPr>
        <w:t xml:space="preserve">    </w:t>
      </w: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25" w:lineRule="atLeast"/>
        <w:rPr>
          <w:rFonts w:ascii="宋体" w:hAnsi="宋体" w:cs="宋体"/>
          <w:sz w:val="30"/>
        </w:rPr>
      </w:pPr>
    </w:p>
    <w:p>
      <w:pPr>
        <w:spacing w:line="25" w:lineRule="atLeast"/>
        <w:rPr>
          <w:rFonts w:ascii="宋体" w:hAnsi="宋体" w:cs="宋体"/>
          <w:sz w:val="30"/>
        </w:rPr>
      </w:pPr>
    </w:p>
    <w:p>
      <w:pPr>
        <w:snapToGrid w:val="0"/>
        <w:spacing w:line="300" w:lineRule="auto"/>
        <w:rPr>
          <w:rFonts w:ascii="宋体" w:hAnsi="宋体" w:cs="宋体"/>
          <w:sz w:val="30"/>
        </w:rPr>
      </w:pPr>
      <w:r>
        <w:rPr>
          <w:rFonts w:hint="eastAsia" w:ascii="宋体" w:hAnsi="宋体" w:cs="宋体"/>
          <w:sz w:val="30"/>
        </w:rPr>
        <w:t>供应商：</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ab/>
      </w:r>
      <w:r>
        <w:rPr>
          <w:rFonts w:hint="eastAsia" w:ascii="宋体" w:hAnsi="宋体" w:cs="宋体"/>
          <w:sz w:val="30"/>
          <w:u w:val="single"/>
        </w:rPr>
        <w:t xml:space="preserve">                 （盖章）</w:t>
      </w:r>
    </w:p>
    <w:p>
      <w:pPr>
        <w:snapToGrid w:val="0"/>
        <w:spacing w:line="300" w:lineRule="auto"/>
        <w:rPr>
          <w:rFonts w:ascii="宋体" w:hAnsi="宋体" w:cs="宋体"/>
          <w:sz w:val="30"/>
        </w:rPr>
      </w:pPr>
      <w:r>
        <w:rPr>
          <w:rFonts w:hint="eastAsia" w:ascii="宋体" w:hAnsi="宋体" w:cs="宋体"/>
          <w:sz w:val="30"/>
        </w:rPr>
        <w:t>法 定 代 表 人</w:t>
      </w:r>
    </w:p>
    <w:p>
      <w:pPr>
        <w:snapToGrid w:val="0"/>
        <w:spacing w:line="300" w:lineRule="auto"/>
        <w:rPr>
          <w:rFonts w:ascii="宋体" w:hAnsi="宋体" w:cs="宋体"/>
          <w:sz w:val="30"/>
        </w:rPr>
      </w:pPr>
      <w:r>
        <w:rPr>
          <w:rFonts w:hint="eastAsia" w:ascii="宋体" w:hAnsi="宋体" w:cs="宋体"/>
          <w:sz w:val="30"/>
        </w:rPr>
        <w:t>或其委托代理人：</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 xml:space="preserve">          （签字或盖章）</w:t>
      </w:r>
    </w:p>
    <w:p>
      <w:pPr>
        <w:snapToGrid w:val="0"/>
        <w:spacing w:before="480" w:line="300" w:lineRule="auto"/>
        <w:jc w:val="center"/>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 xml:space="preserve"> 年</w:t>
      </w:r>
      <w:r>
        <w:rPr>
          <w:rFonts w:hint="eastAsia" w:ascii="宋体" w:hAnsi="宋体" w:cs="宋体"/>
          <w:sz w:val="30"/>
          <w:u w:val="single"/>
        </w:rPr>
        <w:t xml:space="preserve">     </w:t>
      </w:r>
      <w:r>
        <w:rPr>
          <w:rFonts w:hint="eastAsia" w:ascii="宋体" w:hAnsi="宋体" w:cs="宋体"/>
          <w:sz w:val="30"/>
        </w:rPr>
        <w:t xml:space="preserve"> 月</w:t>
      </w:r>
      <w:r>
        <w:rPr>
          <w:rFonts w:hint="eastAsia" w:ascii="宋体" w:hAnsi="宋体" w:cs="宋体"/>
          <w:sz w:val="30"/>
          <w:u w:val="single"/>
        </w:rPr>
        <w:t xml:space="preserve">     </w:t>
      </w:r>
      <w:r>
        <w:rPr>
          <w:rFonts w:hint="eastAsia" w:ascii="宋体" w:hAnsi="宋体" w:cs="宋体"/>
          <w:sz w:val="30"/>
        </w:rPr>
        <w:t>日</w:t>
      </w:r>
    </w:p>
    <w:p>
      <w:pPr>
        <w:snapToGrid w:val="0"/>
        <w:spacing w:before="480" w:line="300" w:lineRule="auto"/>
        <w:jc w:val="center"/>
        <w:rPr>
          <w:rFonts w:ascii="宋体" w:hAnsi="宋体" w:cs="宋体"/>
          <w:sz w:val="24"/>
        </w:rPr>
      </w:pPr>
    </w:p>
    <w:p>
      <w:pPr>
        <w:pStyle w:val="4"/>
        <w:spacing w:line="300" w:lineRule="auto"/>
        <w:rPr>
          <w:rFonts w:hint="default" w:ascii="宋体" w:eastAsia="宋体" w:cs="宋体"/>
          <w:bCs w:val="0"/>
          <w:sz w:val="36"/>
        </w:rPr>
      </w:pPr>
      <w:bookmarkStart w:id="679" w:name="_Toc21678"/>
      <w:bookmarkStart w:id="680" w:name="_Toc384892074"/>
      <w:bookmarkStart w:id="681" w:name="_Toc288490518"/>
      <w:bookmarkStart w:id="682" w:name="_Toc384891871"/>
      <w:r>
        <w:rPr>
          <w:rFonts w:ascii="宋体" w:eastAsia="宋体" w:cs="宋体"/>
          <w:bCs w:val="0"/>
          <w:sz w:val="36"/>
        </w:rPr>
        <w:t>目    录</w:t>
      </w:r>
      <w:bookmarkEnd w:id="679"/>
      <w:bookmarkEnd w:id="680"/>
      <w:bookmarkEnd w:id="681"/>
      <w:bookmarkEnd w:id="682"/>
    </w:p>
    <w:p>
      <w:pPr>
        <w:pStyle w:val="26"/>
        <w:spacing w:line="360" w:lineRule="exact"/>
        <w:ind w:firstLine="480" w:firstLineChars="200"/>
        <w:rPr>
          <w:rFonts w:ascii="宋体" w:hAnsi="宋体" w:cs="宋体"/>
          <w:sz w:val="24"/>
        </w:rPr>
      </w:pPr>
      <w:r>
        <w:rPr>
          <w:rFonts w:hint="eastAsia" w:ascii="宋体" w:hAnsi="宋体" w:cs="宋体"/>
          <w:sz w:val="24"/>
        </w:rPr>
        <w:t>（1）诚信声明；（加盖公章）</w:t>
      </w:r>
    </w:p>
    <w:p>
      <w:pPr>
        <w:pStyle w:val="26"/>
        <w:spacing w:line="360" w:lineRule="exact"/>
        <w:ind w:firstLine="480" w:firstLineChars="200"/>
        <w:rPr>
          <w:rFonts w:ascii="宋体" w:hAnsi="宋体" w:cs="宋体"/>
          <w:sz w:val="24"/>
        </w:rPr>
      </w:pPr>
      <w:r>
        <w:rPr>
          <w:rFonts w:hint="eastAsia" w:ascii="宋体" w:hAnsi="宋体" w:cs="宋体"/>
          <w:sz w:val="24"/>
        </w:rPr>
        <w:t>（2）有效的营业执照</w:t>
      </w:r>
      <w:r>
        <w:rPr>
          <w:rFonts w:hint="eastAsia" w:ascii="宋体" w:hAnsi="宋体" w:cs="宋体"/>
          <w:sz w:val="24"/>
          <w:lang w:val="en-US" w:eastAsia="zh-CN"/>
        </w:rPr>
        <w:t>复印件</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 xml:space="preserve">（3）有效的企业资质证书复印件；(加盖公章) </w:t>
      </w:r>
    </w:p>
    <w:p>
      <w:pPr>
        <w:pStyle w:val="26"/>
        <w:spacing w:line="360" w:lineRule="exact"/>
        <w:ind w:firstLine="480" w:firstLineChars="200"/>
        <w:rPr>
          <w:rFonts w:ascii="宋体" w:hAnsi="宋体" w:cs="宋体"/>
          <w:sz w:val="24"/>
        </w:rPr>
      </w:pPr>
      <w:r>
        <w:rPr>
          <w:rFonts w:hint="eastAsia" w:ascii="宋体" w:hAnsi="宋体" w:cs="宋体"/>
          <w:sz w:val="24"/>
        </w:rPr>
        <w:t>（4）有效的安全生产许可证复印件；(加盖公章)</w:t>
      </w:r>
    </w:p>
    <w:p>
      <w:pPr>
        <w:pStyle w:val="26"/>
        <w:spacing w:line="360" w:lineRule="exact"/>
        <w:ind w:firstLine="480" w:firstLineChars="200"/>
        <w:rPr>
          <w:rFonts w:ascii="宋体" w:hAnsi="宋体" w:cs="宋体"/>
          <w:sz w:val="24"/>
        </w:rPr>
      </w:pPr>
      <w:r>
        <w:rPr>
          <w:rFonts w:hint="eastAsia" w:ascii="宋体" w:hAnsi="宋体" w:cs="宋体"/>
          <w:sz w:val="24"/>
        </w:rPr>
        <w:t>（5）响应文件签署有效的授权委托书原件、委托代理人有效的身份证正反面复印件；（委托代理时必须提供，并加盖公章）</w:t>
      </w:r>
    </w:p>
    <w:p>
      <w:pPr>
        <w:pStyle w:val="26"/>
        <w:spacing w:line="360" w:lineRule="exact"/>
        <w:ind w:firstLine="480" w:firstLineChars="200"/>
        <w:rPr>
          <w:rFonts w:ascii="宋体" w:hAnsi="宋体" w:cs="宋体"/>
          <w:sz w:val="24"/>
        </w:rPr>
      </w:pPr>
      <w:r>
        <w:rPr>
          <w:rFonts w:hint="eastAsia" w:ascii="宋体" w:hAnsi="宋体" w:cs="宋体"/>
          <w:sz w:val="24"/>
        </w:rPr>
        <w:t>（6）有效的法定代表人身份证明书、法定代表人有效的身份证正反面复印件；（加盖公章）</w:t>
      </w:r>
    </w:p>
    <w:p>
      <w:pPr>
        <w:pStyle w:val="26"/>
        <w:spacing w:line="360" w:lineRule="exact"/>
        <w:ind w:firstLine="480" w:firstLineChars="200"/>
        <w:rPr>
          <w:rFonts w:ascii="宋体" w:hAnsi="宋体" w:cs="宋体"/>
          <w:color w:val="FF0000"/>
          <w:sz w:val="24"/>
        </w:rPr>
      </w:pPr>
      <w:r>
        <w:rPr>
          <w:rFonts w:hint="eastAsia" w:ascii="宋体" w:hAnsi="宋体" w:cs="宋体"/>
          <w:color w:val="FF0000"/>
          <w:sz w:val="24"/>
        </w:rPr>
        <w:t>（7）拟投入项目经理有效的市政公用工程专业贰级（含以上级）注册建造师证书、有效的安全生产考核合格证书（B证）、中级及以上职称证复印件，在供应商单位为其缴纳社保凭证（提供2023年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月连续3个月的社保证明）；(加盖公章)</w:t>
      </w:r>
    </w:p>
    <w:p>
      <w:pPr>
        <w:pStyle w:val="26"/>
        <w:spacing w:line="360" w:lineRule="exact"/>
        <w:ind w:firstLine="480" w:firstLineChars="200"/>
        <w:rPr>
          <w:rFonts w:ascii="宋体" w:hAnsi="宋体" w:cs="宋体"/>
          <w:color w:val="FF0000"/>
          <w:sz w:val="24"/>
        </w:rPr>
      </w:pPr>
      <w:r>
        <w:rPr>
          <w:rFonts w:hint="eastAsia" w:ascii="宋体" w:hAnsi="宋体" w:cs="宋体"/>
          <w:color w:val="FF0000"/>
          <w:sz w:val="24"/>
        </w:rPr>
        <w:t>（8）农民工工资保证金的交纳与使用承诺书；（加盖公章）（按桂劳社发［2009］50号文件执行）</w:t>
      </w:r>
    </w:p>
    <w:p>
      <w:pPr>
        <w:pStyle w:val="26"/>
        <w:spacing w:line="360" w:lineRule="exact"/>
        <w:ind w:firstLine="480" w:firstLineChars="200"/>
        <w:rPr>
          <w:rFonts w:ascii="宋体" w:hAnsi="宋体" w:cs="宋体"/>
          <w:color w:val="FF0000"/>
          <w:sz w:val="24"/>
        </w:rPr>
      </w:pPr>
      <w:r>
        <w:rPr>
          <w:rFonts w:hint="eastAsia" w:ascii="宋体" w:hAnsi="宋体" w:cs="宋体"/>
          <w:color w:val="FF0000"/>
          <w:sz w:val="24"/>
        </w:rPr>
        <w:t>（9）供应商依法缴纳税收的相关材料（2023年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pPr>
        <w:pStyle w:val="26"/>
        <w:spacing w:line="360" w:lineRule="exact"/>
        <w:ind w:firstLine="480" w:firstLineChars="200"/>
        <w:rPr>
          <w:rFonts w:ascii="宋体" w:hAnsi="宋体" w:cs="宋体"/>
          <w:sz w:val="24"/>
        </w:rPr>
      </w:pPr>
      <w:r>
        <w:rPr>
          <w:rFonts w:hint="eastAsia" w:ascii="宋体" w:hAnsi="宋体" w:cs="宋体"/>
          <w:color w:val="FF0000"/>
          <w:sz w:val="24"/>
        </w:rPr>
        <w:t>（10）供应商依法缴纳社会保障资金的相关材料[2023年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w:t>
      </w:r>
      <w:r>
        <w:rPr>
          <w:rFonts w:hint="eastAsia" w:ascii="宋体" w:hAnsi="宋体" w:cs="宋体"/>
          <w:sz w:val="24"/>
        </w:rPr>
        <w:t>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pPr>
        <w:pStyle w:val="26"/>
        <w:spacing w:line="360" w:lineRule="exact"/>
        <w:ind w:firstLine="480" w:firstLineChars="200"/>
        <w:rPr>
          <w:rFonts w:ascii="宋体" w:hAnsi="宋体" w:cs="宋体"/>
          <w:sz w:val="24"/>
        </w:rPr>
      </w:pPr>
      <w:r>
        <w:rPr>
          <w:rFonts w:hint="eastAsia" w:ascii="宋体" w:hAnsi="宋体" w:cs="宋体"/>
          <w:sz w:val="24"/>
        </w:rPr>
        <w:t>（11）提供2022年度审计报告或财务会计报表（新成立单位按实际提供）（必须提供，同时要加盖单位公章，否则竞标无效 ）</w:t>
      </w:r>
    </w:p>
    <w:p>
      <w:pPr>
        <w:pStyle w:val="26"/>
        <w:spacing w:line="360" w:lineRule="exact"/>
        <w:ind w:firstLine="480" w:firstLineChars="200"/>
        <w:rPr>
          <w:rFonts w:ascii="宋体" w:hAnsi="宋体" w:cs="宋体"/>
          <w:sz w:val="24"/>
        </w:rPr>
      </w:pPr>
      <w:r>
        <w:rPr>
          <w:rFonts w:hint="eastAsia" w:ascii="宋体" w:hAnsi="宋体" w:cs="宋体"/>
          <w:sz w:val="24"/>
        </w:rPr>
        <w:t>（12）无在建项目承诺书：由供应商出具的拟投入本项目的项目经理无在建项目承诺书；（加盖公章，格式自拟）</w:t>
      </w:r>
    </w:p>
    <w:p>
      <w:pPr>
        <w:pStyle w:val="26"/>
        <w:spacing w:line="360" w:lineRule="exact"/>
        <w:ind w:firstLine="480" w:firstLineChars="200"/>
        <w:rPr>
          <w:rFonts w:ascii="宋体" w:hAnsi="宋体" w:cs="宋体"/>
          <w:sz w:val="24"/>
        </w:rPr>
      </w:pPr>
      <w:r>
        <w:rPr>
          <w:rFonts w:hint="eastAsia" w:ascii="宋体" w:hAnsi="宋体" w:cs="宋体"/>
          <w:sz w:val="24"/>
        </w:rPr>
        <w:t>（13）建设工程项目管理承诺书；（加盖公章）</w:t>
      </w:r>
    </w:p>
    <w:p>
      <w:pPr>
        <w:pStyle w:val="196"/>
        <w:spacing w:before="0" w:after="0" w:line="400" w:lineRule="exact"/>
        <w:ind w:firstLine="480" w:firstLineChars="200"/>
        <w:rPr>
          <w:rFonts w:ascii="宋体" w:hAnsi="宋体" w:cs="宋体"/>
          <w:color w:val="auto"/>
        </w:rPr>
      </w:pPr>
      <w:r>
        <w:rPr>
          <w:rFonts w:hint="eastAsia" w:ascii="宋体" w:hAnsi="宋体" w:cs="宋体"/>
          <w:color w:val="auto"/>
          <w:sz w:val="24"/>
          <w:szCs w:val="24"/>
        </w:rPr>
        <w:t>（14）提供本单位参加政府采购活动前 3 年内在经营活动中没有重大违法记录的书面声明。（加盖公章）</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pStyle w:val="13"/>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诚信声明</w:t>
      </w:r>
    </w:p>
    <w:p>
      <w:pPr>
        <w:spacing w:line="360" w:lineRule="auto"/>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（法定代表人、身份证号码</w:t>
      </w:r>
      <w:r>
        <w:rPr>
          <w:rFonts w:hint="eastAsia" w:ascii="宋体" w:hAnsi="宋体" w:cs="宋体"/>
          <w:sz w:val="24"/>
          <w:u w:val="single"/>
        </w:rPr>
        <w:t xml:space="preserve">                  </w:t>
      </w:r>
      <w:r>
        <w:rPr>
          <w:rFonts w:hint="eastAsia" w:ascii="宋体" w:hAnsi="宋体" w:cs="宋体"/>
          <w:sz w:val="24"/>
        </w:rPr>
        <w:t>）郑重声明，本企业参加</w:t>
      </w:r>
      <w:r>
        <w:rPr>
          <w:rFonts w:hint="eastAsia" w:ascii="宋体" w:hAnsi="宋体" w:cs="宋体"/>
          <w:sz w:val="24"/>
          <w:u w:val="single"/>
        </w:rPr>
        <w:t xml:space="preserve">  （工 程 名 称） </w:t>
      </w:r>
      <w:r>
        <w:rPr>
          <w:rFonts w:hint="eastAsia" w:ascii="宋体" w:hAnsi="宋体" w:cs="宋体"/>
          <w:sz w:val="24"/>
        </w:rPr>
        <w:t>工程标活动所提交的所有资料、填写数据及所包含的附件资料内容是真实的、合法的、有效的，同样我在此所作的声明也是真实有效的。并愿意对在竞标过程中有关部门的调查结果承担责任。</w:t>
      </w:r>
    </w:p>
    <w:p>
      <w:pPr>
        <w:spacing w:line="360" w:lineRule="auto"/>
        <w:ind w:firstLine="480"/>
        <w:rPr>
          <w:rFonts w:ascii="宋体" w:hAnsi="宋体" w:cs="宋体"/>
          <w:sz w:val="24"/>
        </w:rPr>
      </w:pPr>
      <w:r>
        <w:rPr>
          <w:rFonts w:hint="eastAsia" w:ascii="宋体" w:hAnsi="宋体" w:cs="宋体"/>
          <w:sz w:val="24"/>
        </w:rPr>
        <w:t>本企业提交的所有竞标资料如有不实，愿接受建设行政主管部门依据有关法律法规给予的处罚。</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5400" w:firstLineChars="2250"/>
        <w:rPr>
          <w:rFonts w:ascii="宋体" w:hAnsi="宋体" w:cs="宋体"/>
          <w:sz w:val="24"/>
        </w:rPr>
      </w:pPr>
      <w:r>
        <w:rPr>
          <w:rFonts w:hint="eastAsia" w:ascii="宋体" w:hAnsi="宋体" w:cs="宋体"/>
          <w:sz w:val="24"/>
        </w:rPr>
        <w:t>（公章）</w:t>
      </w:r>
    </w:p>
    <w:p>
      <w:pPr>
        <w:spacing w:line="360" w:lineRule="auto"/>
        <w:ind w:firstLine="480"/>
        <w:rPr>
          <w:rFonts w:ascii="宋体" w:hAnsi="宋体" w:cs="宋体"/>
          <w:sz w:val="24"/>
        </w:rPr>
      </w:pPr>
    </w:p>
    <w:p>
      <w:pPr>
        <w:spacing w:line="360" w:lineRule="auto"/>
        <w:ind w:firstLine="5040" w:firstLineChars="2100"/>
        <w:rPr>
          <w:rFonts w:ascii="宋体" w:hAnsi="宋体" w:cs="宋体"/>
          <w:sz w:val="24"/>
        </w:rPr>
      </w:pPr>
      <w:r>
        <w:rPr>
          <w:rFonts w:hint="eastAsia" w:ascii="宋体" w:hAnsi="宋体" w:cs="宋体"/>
          <w:sz w:val="24"/>
        </w:rPr>
        <w:t>法定代表人：（签名）</w:t>
      </w:r>
    </w:p>
    <w:p>
      <w:pPr>
        <w:spacing w:line="360" w:lineRule="auto"/>
        <w:ind w:firstLine="480"/>
        <w:rPr>
          <w:rFonts w:ascii="宋体" w:hAnsi="宋体" w:cs="宋体"/>
          <w:sz w:val="24"/>
        </w:rPr>
      </w:pPr>
    </w:p>
    <w:p>
      <w:pPr>
        <w:spacing w:line="360" w:lineRule="auto"/>
        <w:ind w:firstLine="5760" w:firstLineChars="2400"/>
        <w:rPr>
          <w:rFonts w:ascii="宋体" w:hAnsi="宋体" w:cs="宋体"/>
          <w:sz w:val="24"/>
        </w:rPr>
      </w:pPr>
      <w:r>
        <w:rPr>
          <w:rFonts w:hint="eastAsia" w:ascii="宋体" w:hAnsi="宋体" w:cs="宋体"/>
          <w:sz w:val="24"/>
        </w:rPr>
        <w:t>年   月    日</w:t>
      </w:r>
    </w:p>
    <w:p>
      <w:pPr>
        <w:spacing w:line="25" w:lineRule="atLeast"/>
        <w:rPr>
          <w:rFonts w:ascii="宋体" w:hAnsi="宋体" w:cs="宋体"/>
          <w:sz w:val="30"/>
        </w:rPr>
      </w:pPr>
    </w:p>
    <w:p>
      <w:pPr>
        <w:spacing w:line="25" w:lineRule="atLeast"/>
        <w:rPr>
          <w:rFonts w:ascii="宋体" w:hAnsi="宋体" w:cs="宋体"/>
          <w:sz w:val="30"/>
        </w:rPr>
      </w:pPr>
    </w:p>
    <w:p>
      <w:pPr>
        <w:spacing w:line="25" w:lineRule="atLeast"/>
        <w:rPr>
          <w:rFonts w:ascii="宋体" w:hAnsi="宋体" w:cs="宋体"/>
          <w:sz w:val="30"/>
        </w:rPr>
      </w:pPr>
    </w:p>
    <w:p>
      <w:pPr>
        <w:pStyle w:val="196"/>
        <w:ind w:firstLine="450"/>
        <w:rPr>
          <w:rFonts w:ascii="宋体" w:hAnsi="宋体" w:cs="宋体"/>
          <w:color w:val="auto"/>
          <w:sz w:val="30"/>
        </w:rPr>
      </w:pPr>
    </w:p>
    <w:p>
      <w:pPr>
        <w:pStyle w:val="196"/>
        <w:ind w:firstLine="450"/>
        <w:rPr>
          <w:rFonts w:ascii="宋体" w:hAnsi="宋体" w:cs="宋体"/>
          <w:color w:val="auto"/>
          <w:sz w:val="30"/>
        </w:rPr>
      </w:pPr>
    </w:p>
    <w:p>
      <w:pPr>
        <w:pStyle w:val="196"/>
        <w:ind w:firstLine="450"/>
        <w:rPr>
          <w:rFonts w:ascii="宋体" w:hAnsi="宋体" w:cs="宋体"/>
          <w:color w:val="auto"/>
          <w:sz w:val="30"/>
        </w:rPr>
      </w:pPr>
    </w:p>
    <w:p>
      <w:pPr>
        <w:spacing w:line="25" w:lineRule="atLeast"/>
        <w:rPr>
          <w:rFonts w:ascii="宋体" w:hAnsi="宋体" w:cs="宋体"/>
          <w:sz w:val="30"/>
        </w:rPr>
      </w:pPr>
    </w:p>
    <w:p>
      <w:pPr>
        <w:spacing w:line="300" w:lineRule="auto"/>
        <w:ind w:firstLine="560" w:firstLineChars="200"/>
        <w:rPr>
          <w:rFonts w:ascii="宋体" w:hAnsi="宋体" w:cs="宋体"/>
          <w:spacing w:val="20"/>
          <w:sz w:val="24"/>
        </w:rPr>
      </w:pPr>
    </w:p>
    <w:p>
      <w:pPr>
        <w:pStyle w:val="3"/>
        <w:spacing w:line="300" w:lineRule="auto"/>
        <w:rPr>
          <w:rFonts w:ascii="宋体" w:hAnsi="宋体" w:eastAsia="宋体" w:cs="宋体"/>
          <w:b/>
          <w:sz w:val="28"/>
          <w:szCs w:val="28"/>
        </w:rPr>
      </w:pPr>
      <w:bookmarkStart w:id="683" w:name="_Toc81461358"/>
      <w:bookmarkStart w:id="684" w:name="_Toc30964"/>
      <w:bookmarkStart w:id="685" w:name="_Toc384892075"/>
      <w:bookmarkStart w:id="686" w:name="_Toc49449944"/>
      <w:bookmarkStart w:id="687" w:name="_Toc288490520"/>
      <w:bookmarkStart w:id="688" w:name="_Toc384891872"/>
      <w:r>
        <w:rPr>
          <w:rFonts w:hint="eastAsia" w:ascii="宋体" w:hAnsi="宋体" w:eastAsia="宋体" w:cs="宋体"/>
          <w:b/>
          <w:sz w:val="28"/>
          <w:szCs w:val="28"/>
        </w:rPr>
        <w:t>响应文件签署有效的授权委托书</w:t>
      </w:r>
      <w:bookmarkEnd w:id="683"/>
      <w:bookmarkEnd w:id="684"/>
      <w:bookmarkEnd w:id="685"/>
      <w:bookmarkEnd w:id="686"/>
      <w:bookmarkEnd w:id="687"/>
      <w:bookmarkEnd w:id="688"/>
    </w:p>
    <w:p>
      <w:pPr>
        <w:autoSpaceDE w:val="0"/>
        <w:autoSpaceDN w:val="0"/>
        <w:spacing w:line="300" w:lineRule="auto"/>
        <w:rPr>
          <w:rFonts w:ascii="宋体" w:hAnsi="宋体" w:cs="宋体"/>
          <w:spacing w:val="20"/>
          <w:sz w:val="24"/>
        </w:rPr>
      </w:pPr>
    </w:p>
    <w:p>
      <w:pPr>
        <w:spacing w:line="300" w:lineRule="auto"/>
        <w:ind w:firstLine="61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竞</w:t>
      </w:r>
      <w:r>
        <w:rPr>
          <w:rFonts w:hint="eastAsia" w:ascii="宋体" w:hAnsi="宋体" w:cs="宋体"/>
          <w:sz w:val="24"/>
          <w:u w:val="single"/>
        </w:rPr>
        <w:t xml:space="preserve"> 标 人 名 称）</w:t>
      </w:r>
      <w:r>
        <w:rPr>
          <w:rFonts w:hint="eastAsia" w:ascii="宋体" w:hAnsi="宋体" w:cs="宋体"/>
          <w:sz w:val="24"/>
        </w:rPr>
        <w:t>的法定代表人，现授权委托</w:t>
      </w:r>
      <w:r>
        <w:rPr>
          <w:rFonts w:hint="eastAsia" w:ascii="宋体" w:hAnsi="宋体" w:cs="宋体"/>
          <w:sz w:val="24"/>
          <w:u w:val="single"/>
        </w:rPr>
        <w:t xml:space="preserve">      （单 位 名 称）     </w:t>
      </w:r>
      <w:r>
        <w:rPr>
          <w:rFonts w:hint="eastAsia" w:ascii="宋体" w:hAnsi="宋体" w:cs="宋体"/>
          <w:sz w:val="24"/>
        </w:rPr>
        <w:t>的</w:t>
      </w:r>
      <w:r>
        <w:rPr>
          <w:rFonts w:hint="eastAsia" w:ascii="宋体" w:hAnsi="宋体" w:cs="宋体"/>
          <w:sz w:val="24"/>
          <w:u w:val="single"/>
        </w:rPr>
        <w:t xml:space="preserve">    （姓名）    </w:t>
      </w:r>
      <w:r>
        <w:rPr>
          <w:rFonts w:hint="eastAsia" w:ascii="宋体" w:hAnsi="宋体" w:cs="宋体"/>
          <w:sz w:val="24"/>
        </w:rPr>
        <w:t>为我公司签署本</w:t>
      </w:r>
      <w:r>
        <w:rPr>
          <w:rFonts w:hint="eastAsia" w:ascii="宋体" w:hAnsi="宋体" w:cs="宋体"/>
          <w:sz w:val="24"/>
          <w:u w:val="single"/>
        </w:rPr>
        <w:t xml:space="preserve">     （工 程 名 称）     </w:t>
      </w:r>
      <w:r>
        <w:rPr>
          <w:rFonts w:hint="eastAsia" w:ascii="宋体" w:hAnsi="宋体" w:cs="宋体"/>
          <w:sz w:val="24"/>
        </w:rPr>
        <w:t>工程的响应文件的法定代表人授权委托代理人，我承认代理人全权代表我所签署的本</w:t>
      </w:r>
      <w:r>
        <w:rPr>
          <w:rFonts w:hint="eastAsia" w:ascii="宋体" w:hAnsi="宋体" w:cs="宋体"/>
          <w:sz w:val="24"/>
          <w:u w:val="single"/>
        </w:rPr>
        <w:t xml:space="preserve">     （工 程 名 称）     </w:t>
      </w:r>
      <w:r>
        <w:rPr>
          <w:rFonts w:hint="eastAsia" w:ascii="宋体" w:hAnsi="宋体" w:cs="宋体"/>
          <w:sz w:val="24"/>
        </w:rPr>
        <w:t>工程的响应文件的内容。</w:t>
      </w:r>
    </w:p>
    <w:p>
      <w:pPr>
        <w:spacing w:line="300" w:lineRule="auto"/>
        <w:ind w:firstLine="610"/>
        <w:rPr>
          <w:rFonts w:ascii="宋体" w:hAnsi="宋体" w:cs="宋体"/>
          <w:sz w:val="24"/>
        </w:rPr>
      </w:pPr>
    </w:p>
    <w:p>
      <w:pPr>
        <w:spacing w:line="300" w:lineRule="auto"/>
        <w:ind w:firstLine="600" w:firstLineChars="250"/>
        <w:rPr>
          <w:rFonts w:ascii="宋体" w:hAnsi="宋体" w:cs="宋体"/>
          <w:sz w:val="24"/>
        </w:rPr>
      </w:pPr>
      <w:r>
        <w:rPr>
          <w:rFonts w:hint="eastAsia" w:ascii="宋体" w:hAnsi="宋体" w:cs="宋体"/>
          <w:sz w:val="24"/>
        </w:rPr>
        <w:t>代理人无转委托权，特此委托。</w:t>
      </w:r>
    </w:p>
    <w:p>
      <w:pPr>
        <w:spacing w:line="300" w:lineRule="auto"/>
        <w:rPr>
          <w:rFonts w:ascii="宋体" w:hAnsi="宋体" w:cs="宋体"/>
          <w:sz w:val="24"/>
        </w:rPr>
      </w:pPr>
      <w:r>
        <w:rPr>
          <w:rFonts w:hint="eastAsia" w:ascii="宋体" w:hAnsi="宋体" w:cs="宋体"/>
          <w:sz w:val="24"/>
        </w:rPr>
        <w:t xml:space="preserve">     代理期限从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pPr>
        <w:spacing w:line="300" w:lineRule="auto"/>
        <w:ind w:left="1260"/>
        <w:rPr>
          <w:rFonts w:ascii="宋体" w:hAnsi="宋体" w:cs="宋体"/>
          <w:sz w:val="24"/>
        </w:rPr>
      </w:pPr>
    </w:p>
    <w:p>
      <w:pPr>
        <w:spacing w:line="300" w:lineRule="auto"/>
        <w:ind w:firstLine="600" w:firstLineChars="250"/>
        <w:rPr>
          <w:rFonts w:ascii="宋体" w:hAnsi="宋体" w:cs="宋体"/>
          <w:sz w:val="24"/>
        </w:rPr>
      </w:pPr>
      <w:r>
        <w:rPr>
          <w:rFonts w:hint="eastAsia" w:ascii="宋体" w:hAnsi="宋体" w:cs="宋体"/>
          <w:sz w:val="24"/>
        </w:rPr>
        <w:t>附委托代理人有效的身份证正反面复印件</w:t>
      </w:r>
    </w:p>
    <w:p>
      <w:pPr>
        <w:spacing w:line="300" w:lineRule="auto"/>
        <w:ind w:left="1260"/>
        <w:rPr>
          <w:rFonts w:ascii="宋体" w:hAnsi="宋体" w:cs="宋体"/>
          <w:sz w:val="24"/>
        </w:rPr>
      </w:pPr>
    </w:p>
    <w:p>
      <w:pPr>
        <w:spacing w:line="300" w:lineRule="auto"/>
        <w:ind w:left="1696"/>
        <w:rPr>
          <w:rFonts w:ascii="宋体" w:hAnsi="宋体" w:cs="宋体"/>
          <w:sz w:val="24"/>
          <w:u w:val="single"/>
        </w:rPr>
      </w:pPr>
      <w:r>
        <w:rPr>
          <w:rFonts w:hint="eastAsia" w:ascii="宋体" w:hAnsi="宋体" w:cs="宋体"/>
          <w:sz w:val="24"/>
        </w:rPr>
        <w:t>代理人：</w:t>
      </w:r>
      <w:r>
        <w:rPr>
          <w:rFonts w:hint="eastAsia" w:ascii="宋体" w:hAnsi="宋体" w:cs="宋体"/>
          <w:sz w:val="24"/>
          <w:u w:val="single"/>
        </w:rPr>
        <w:t xml:space="preserve">   （签名或签名并盖章）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年龄：_______</w:t>
      </w:r>
    </w:p>
    <w:p>
      <w:pPr>
        <w:spacing w:line="300" w:lineRule="auto"/>
        <w:ind w:left="2699"/>
        <w:rPr>
          <w:rFonts w:ascii="宋体" w:hAnsi="宋体" w:cs="宋体"/>
          <w:sz w:val="24"/>
        </w:rPr>
      </w:pPr>
    </w:p>
    <w:p>
      <w:pPr>
        <w:spacing w:line="300" w:lineRule="auto"/>
        <w:ind w:left="1696"/>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____         ___</w:t>
      </w:r>
    </w:p>
    <w:p>
      <w:pPr>
        <w:spacing w:line="300" w:lineRule="auto"/>
        <w:ind w:left="2699"/>
        <w:rPr>
          <w:rFonts w:ascii="宋体" w:hAnsi="宋体" w:cs="宋体"/>
          <w:sz w:val="24"/>
        </w:rPr>
      </w:pPr>
    </w:p>
    <w:p>
      <w:pPr>
        <w:spacing w:line="300" w:lineRule="auto"/>
        <w:ind w:left="1696"/>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（盖章）</w:t>
      </w:r>
    </w:p>
    <w:p>
      <w:pPr>
        <w:spacing w:line="300" w:lineRule="auto"/>
        <w:ind w:left="2699"/>
        <w:rPr>
          <w:rFonts w:ascii="宋体" w:hAnsi="宋体" w:cs="宋体"/>
          <w:sz w:val="24"/>
        </w:rPr>
      </w:pPr>
    </w:p>
    <w:p>
      <w:pPr>
        <w:spacing w:line="300" w:lineRule="auto"/>
        <w:ind w:left="1696"/>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（签名或签名并盖章）</w:t>
      </w:r>
    </w:p>
    <w:p>
      <w:pPr>
        <w:spacing w:line="300" w:lineRule="auto"/>
        <w:ind w:left="2699"/>
        <w:rPr>
          <w:rFonts w:ascii="宋体" w:hAnsi="宋体" w:cs="宋体"/>
          <w:sz w:val="24"/>
        </w:rPr>
      </w:pPr>
    </w:p>
    <w:p>
      <w:pPr>
        <w:spacing w:line="300" w:lineRule="auto"/>
        <w:ind w:left="2833" w:leftChars="1349" w:firstLine="2400" w:firstLineChars="1000"/>
        <w:rPr>
          <w:rFonts w:ascii="宋体" w:hAnsi="宋体" w:cs="宋体"/>
          <w:sz w:val="24"/>
        </w:rPr>
      </w:pPr>
    </w:p>
    <w:p>
      <w:pPr>
        <w:spacing w:line="300" w:lineRule="auto"/>
        <w:ind w:left="2833" w:leftChars="1349" w:firstLine="2400" w:firstLineChars="1000"/>
        <w:rPr>
          <w:rFonts w:ascii="宋体" w:hAnsi="宋体" w:cs="宋体"/>
          <w:sz w:val="24"/>
        </w:rPr>
      </w:pPr>
    </w:p>
    <w:p>
      <w:pPr>
        <w:spacing w:line="300" w:lineRule="auto"/>
        <w:ind w:firstLine="4320" w:firstLineChars="1800"/>
        <w:rPr>
          <w:rFonts w:ascii="宋体" w:hAnsi="宋体" w:cs="宋体"/>
          <w:sz w:val="24"/>
        </w:rPr>
      </w:pPr>
      <w:r>
        <w:rPr>
          <w:rFonts w:hint="eastAsia" w:ascii="宋体" w:hAnsi="宋体" w:cs="宋体"/>
          <w:sz w:val="24"/>
        </w:rPr>
        <w:t>授权委托日期：</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00" w:lineRule="auto"/>
        <w:ind w:left="2833" w:leftChars="1349" w:firstLine="2400" w:firstLineChars="1000"/>
        <w:rPr>
          <w:rFonts w:ascii="宋体" w:hAnsi="宋体" w:cs="宋体"/>
          <w:sz w:val="24"/>
        </w:rPr>
      </w:pPr>
    </w:p>
    <w:p>
      <w:pPr>
        <w:spacing w:line="300" w:lineRule="auto"/>
        <w:ind w:left="2833" w:leftChars="1349" w:firstLine="2400" w:firstLineChars="1000"/>
        <w:rPr>
          <w:rFonts w:ascii="宋体" w:hAnsi="宋体" w:cs="宋体"/>
          <w:sz w:val="24"/>
        </w:rPr>
      </w:pPr>
    </w:p>
    <w:p>
      <w:pPr>
        <w:autoSpaceDE w:val="0"/>
        <w:autoSpaceDN w:val="0"/>
        <w:spacing w:line="300" w:lineRule="auto"/>
        <w:ind w:firstLine="560" w:firstLineChars="200"/>
        <w:rPr>
          <w:rFonts w:ascii="宋体" w:hAnsi="宋体" w:cs="宋体"/>
          <w:spacing w:val="20"/>
          <w:sz w:val="24"/>
        </w:rPr>
      </w:pPr>
      <w:r>
        <w:rPr>
          <w:rFonts w:hint="eastAsia" w:ascii="宋体" w:hAnsi="宋体" w:cs="宋体"/>
          <w:spacing w:val="20"/>
          <w:sz w:val="24"/>
        </w:rPr>
        <w:t>备注：1、法定代表人不能亲自参加开标会议而由其授权的委托代理人参加的，还应提交有效的授权委托书及授权的委托代理人有效的身份证复印件。</w:t>
      </w:r>
    </w:p>
    <w:p>
      <w:pPr>
        <w:spacing w:line="300" w:lineRule="auto"/>
        <w:rPr>
          <w:rFonts w:ascii="宋体" w:hAnsi="宋体" w:cs="宋体"/>
          <w:spacing w:val="20"/>
          <w:sz w:val="24"/>
        </w:rPr>
      </w:pPr>
      <w:r>
        <w:rPr>
          <w:rFonts w:hint="eastAsia" w:ascii="宋体" w:hAnsi="宋体" w:cs="宋体"/>
          <w:spacing w:val="20"/>
          <w:sz w:val="24"/>
        </w:rPr>
        <w:t xml:space="preserve">    2、当</w:t>
      </w:r>
      <w:r>
        <w:rPr>
          <w:rFonts w:hint="eastAsia" w:ascii="宋体" w:hAnsi="宋体" w:cs="宋体"/>
          <w:sz w:val="24"/>
        </w:rPr>
        <w:t>供应商</w:t>
      </w:r>
      <w:r>
        <w:rPr>
          <w:rFonts w:hint="eastAsia" w:ascii="宋体" w:hAnsi="宋体" w:cs="宋体"/>
          <w:spacing w:val="20"/>
          <w:sz w:val="24"/>
        </w:rPr>
        <w:t>在</w:t>
      </w:r>
      <w:r>
        <w:rPr>
          <w:rFonts w:hint="eastAsia" w:ascii="宋体" w:hAnsi="宋体" w:cs="宋体"/>
          <w:sz w:val="24"/>
        </w:rPr>
        <w:t>响应文件</w:t>
      </w:r>
      <w:r>
        <w:rPr>
          <w:rFonts w:hint="eastAsia" w:ascii="宋体" w:hAnsi="宋体" w:cs="宋体"/>
          <w:spacing w:val="20"/>
          <w:sz w:val="24"/>
        </w:rPr>
        <w:t>副本以法定代表人（或授权的代理人）盖章代替法定代表人（或授权的代理人）签名时，本委托书必须加盖相应的印章。</w:t>
      </w:r>
    </w:p>
    <w:p>
      <w:pPr>
        <w:autoSpaceDE w:val="0"/>
        <w:autoSpaceDN w:val="0"/>
        <w:spacing w:line="300" w:lineRule="auto"/>
        <w:rPr>
          <w:rFonts w:ascii="宋体" w:hAnsi="宋体" w:cs="宋体"/>
        </w:rPr>
      </w:pPr>
      <w:bookmarkStart w:id="689" w:name="_Toc59820863"/>
    </w:p>
    <w:p>
      <w:pPr>
        <w:autoSpaceDE w:val="0"/>
        <w:autoSpaceDN w:val="0"/>
        <w:spacing w:line="300" w:lineRule="auto"/>
        <w:rPr>
          <w:rFonts w:ascii="宋体" w:hAnsi="宋体" w:cs="宋体"/>
        </w:rPr>
      </w:pPr>
    </w:p>
    <w:bookmarkEnd w:id="689"/>
    <w:p>
      <w:pPr>
        <w:spacing w:line="360" w:lineRule="auto"/>
        <w:rPr>
          <w:rFonts w:ascii="宋体" w:hAnsi="宋体" w:cs="宋体"/>
          <w:sz w:val="24"/>
        </w:rPr>
      </w:pPr>
      <w:r>
        <w:rPr>
          <w:rFonts w:hint="eastAsia" w:ascii="宋体" w:hAnsi="宋体" w:cs="宋体"/>
          <w:sz w:val="24"/>
        </w:rPr>
        <w:br w:type="page"/>
      </w:r>
    </w:p>
    <w:p>
      <w:pPr>
        <w:pStyle w:val="3"/>
        <w:spacing w:line="300" w:lineRule="auto"/>
        <w:rPr>
          <w:rFonts w:ascii="宋体" w:hAnsi="宋体" w:eastAsia="宋体" w:cs="宋体"/>
          <w:bCs w:val="0"/>
        </w:rPr>
      </w:pPr>
      <w:bookmarkStart w:id="690" w:name="_Toc8110"/>
      <w:bookmarkStart w:id="691" w:name="_Toc384891873"/>
      <w:bookmarkStart w:id="692" w:name="_Toc81461357"/>
      <w:bookmarkStart w:id="693" w:name="_Toc384892076"/>
      <w:bookmarkStart w:id="694" w:name="_Toc288490519"/>
      <w:r>
        <w:rPr>
          <w:rFonts w:hint="eastAsia" w:ascii="宋体" w:hAnsi="宋体" w:eastAsia="宋体" w:cs="宋体"/>
          <w:bCs w:val="0"/>
        </w:rPr>
        <w:t>法定代表人身份证明书</w:t>
      </w:r>
      <w:bookmarkEnd w:id="690"/>
      <w:bookmarkEnd w:id="691"/>
      <w:bookmarkEnd w:id="692"/>
      <w:bookmarkEnd w:id="693"/>
      <w:bookmarkEnd w:id="694"/>
    </w:p>
    <w:p>
      <w:pPr>
        <w:spacing w:line="300" w:lineRule="auto"/>
        <w:rPr>
          <w:rFonts w:ascii="宋体" w:hAnsi="宋体" w:cs="宋体"/>
        </w:rPr>
      </w:pPr>
    </w:p>
    <w:p>
      <w:pPr>
        <w:spacing w:line="30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00" w:lineRule="auto"/>
        <w:ind w:firstLine="612"/>
        <w:rPr>
          <w:rFonts w:ascii="宋体" w:hAnsi="宋体" w:cs="宋体"/>
          <w:sz w:val="24"/>
        </w:rPr>
      </w:pPr>
    </w:p>
    <w:p>
      <w:pPr>
        <w:spacing w:line="30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00" w:lineRule="auto"/>
        <w:ind w:firstLine="610"/>
        <w:rPr>
          <w:rFonts w:ascii="宋体" w:hAnsi="宋体" w:cs="宋体"/>
          <w:sz w:val="24"/>
        </w:rPr>
      </w:pPr>
    </w:p>
    <w:p>
      <w:pPr>
        <w:spacing w:line="30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00" w:lineRule="auto"/>
        <w:ind w:firstLine="610"/>
        <w:rPr>
          <w:rFonts w:ascii="宋体" w:hAnsi="宋体" w:cs="宋体"/>
          <w:sz w:val="24"/>
        </w:rPr>
      </w:pPr>
    </w:p>
    <w:p>
      <w:pPr>
        <w:spacing w:line="30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00" w:lineRule="auto"/>
        <w:ind w:firstLine="610"/>
        <w:rPr>
          <w:rFonts w:ascii="宋体" w:hAnsi="宋体" w:cs="宋体"/>
          <w:sz w:val="24"/>
        </w:rPr>
      </w:pPr>
    </w:p>
    <w:p>
      <w:pPr>
        <w:spacing w:line="30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pacing w:line="300" w:lineRule="auto"/>
        <w:ind w:firstLine="610"/>
        <w:rPr>
          <w:rFonts w:ascii="宋体" w:hAnsi="宋体" w:cs="宋体"/>
          <w:sz w:val="24"/>
        </w:rPr>
      </w:pPr>
    </w:p>
    <w:p>
      <w:pPr>
        <w:spacing w:line="30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firstLine="610"/>
        <w:rPr>
          <w:rFonts w:ascii="宋体" w:hAnsi="宋体" w:cs="宋体"/>
          <w:sz w:val="24"/>
        </w:rPr>
      </w:pPr>
    </w:p>
    <w:p>
      <w:pPr>
        <w:spacing w:line="30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w:t>
      </w:r>
      <w:r>
        <w:rPr>
          <w:rFonts w:hint="eastAsia" w:ascii="宋体" w:hAnsi="宋体" w:cs="宋体"/>
          <w:sz w:val="24"/>
          <w:u w:val="single"/>
        </w:rPr>
        <w:t xml:space="preserve">单位名称）         </w:t>
      </w:r>
      <w:r>
        <w:rPr>
          <w:rFonts w:hint="eastAsia" w:ascii="宋体" w:hAnsi="宋体" w:cs="宋体"/>
          <w:sz w:val="24"/>
        </w:rPr>
        <w:t>的法定代表人。</w:t>
      </w:r>
    </w:p>
    <w:p>
      <w:pPr>
        <w:spacing w:line="300" w:lineRule="auto"/>
        <w:ind w:firstLine="610"/>
        <w:rPr>
          <w:rFonts w:ascii="宋体" w:hAnsi="宋体" w:cs="宋体"/>
          <w:sz w:val="24"/>
        </w:rPr>
      </w:pPr>
    </w:p>
    <w:p>
      <w:pPr>
        <w:spacing w:line="300" w:lineRule="auto"/>
        <w:ind w:firstLine="610"/>
        <w:rPr>
          <w:rFonts w:ascii="宋体" w:hAnsi="宋体" w:cs="宋体"/>
          <w:sz w:val="24"/>
        </w:rPr>
      </w:pPr>
      <w:r>
        <w:rPr>
          <w:rFonts w:hint="eastAsia" w:ascii="宋体" w:hAnsi="宋体" w:cs="宋体"/>
          <w:sz w:val="24"/>
        </w:rPr>
        <w:t>特此证明。</w:t>
      </w:r>
    </w:p>
    <w:p>
      <w:pPr>
        <w:tabs>
          <w:tab w:val="left" w:pos="720"/>
          <w:tab w:val="left" w:pos="900"/>
        </w:tabs>
        <w:spacing w:line="300" w:lineRule="auto"/>
        <w:rPr>
          <w:rFonts w:ascii="宋体" w:hAnsi="宋体" w:cs="宋体"/>
          <w:sz w:val="24"/>
        </w:rPr>
      </w:pPr>
    </w:p>
    <w:p>
      <w:pPr>
        <w:tabs>
          <w:tab w:val="left" w:pos="720"/>
          <w:tab w:val="left" w:pos="900"/>
        </w:tabs>
        <w:spacing w:line="300" w:lineRule="auto"/>
        <w:ind w:firstLine="5040" w:firstLineChars="21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（盖 章）</w:t>
      </w:r>
    </w:p>
    <w:p>
      <w:pPr>
        <w:spacing w:line="300" w:lineRule="auto"/>
        <w:ind w:firstLine="5040" w:firstLineChars="21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00" w:lineRule="auto"/>
        <w:ind w:firstLine="5040" w:firstLineChars="2100"/>
        <w:rPr>
          <w:rFonts w:ascii="宋体" w:hAnsi="宋体" w:cs="宋体"/>
          <w:sz w:val="24"/>
        </w:rPr>
      </w:pPr>
    </w:p>
    <w:p>
      <w:pPr>
        <w:spacing w:line="300" w:lineRule="auto"/>
        <w:ind w:firstLine="5880" w:firstLineChars="2100"/>
        <w:rPr>
          <w:rFonts w:ascii="宋体" w:hAnsi="宋体" w:cs="宋体"/>
          <w:spacing w:val="20"/>
          <w:sz w:val="24"/>
          <w:u w:val="single"/>
        </w:rPr>
      </w:pPr>
    </w:p>
    <w:p>
      <w:pPr>
        <w:spacing w:line="300" w:lineRule="auto"/>
        <w:ind w:firstLine="560" w:firstLineChars="200"/>
        <w:rPr>
          <w:rFonts w:ascii="宋体" w:hAnsi="宋体" w:cs="宋体"/>
          <w:spacing w:val="20"/>
          <w:sz w:val="24"/>
        </w:rPr>
      </w:pPr>
      <w:r>
        <w:rPr>
          <w:rFonts w:hint="eastAsia" w:ascii="宋体" w:hAnsi="宋体" w:cs="宋体"/>
          <w:spacing w:val="20"/>
          <w:sz w:val="24"/>
        </w:rPr>
        <w:t>备注：法定代表人亲自参加开标会议的，应提交有效的法定代表人身份证明书及身份证复印件。</w:t>
      </w:r>
    </w:p>
    <w:p>
      <w:pPr>
        <w:spacing w:line="300" w:lineRule="auto"/>
        <w:ind w:firstLine="560" w:firstLineChars="200"/>
        <w:rPr>
          <w:rFonts w:ascii="宋体" w:hAnsi="宋体" w:cs="宋体"/>
          <w:spacing w:val="20"/>
          <w:sz w:val="24"/>
        </w:rPr>
      </w:pPr>
    </w:p>
    <w:p>
      <w:pPr>
        <w:spacing w:line="360" w:lineRule="auto"/>
        <w:rPr>
          <w:rFonts w:ascii="宋体" w:hAnsi="宋体" w:cs="宋体"/>
          <w:sz w:val="24"/>
        </w:rPr>
      </w:pPr>
      <w:bookmarkStart w:id="695" w:name="_Toc158458009"/>
      <w:bookmarkStart w:id="696" w:name="_Toc163270990"/>
      <w:bookmarkStart w:id="697" w:name="_Toc173558685"/>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bookmarkEnd w:id="695"/>
    <w:bookmarkEnd w:id="696"/>
    <w:bookmarkEnd w:id="697"/>
    <w:p>
      <w:pPr>
        <w:spacing w:line="360" w:lineRule="auto"/>
        <w:rPr>
          <w:rFonts w:ascii="宋体" w:hAnsi="宋体" w:cs="宋体"/>
          <w:sz w:val="24"/>
        </w:rPr>
      </w:pPr>
      <w:bookmarkStart w:id="698" w:name="_Toc158458012"/>
      <w:bookmarkStart w:id="699" w:name="_Toc163270993"/>
    </w:p>
    <w:p>
      <w:pPr>
        <w:spacing w:line="360" w:lineRule="auto"/>
        <w:rPr>
          <w:rFonts w:ascii="宋体" w:hAnsi="宋体" w:cs="宋体"/>
          <w:sz w:val="24"/>
        </w:rPr>
      </w:pPr>
    </w:p>
    <w:bookmarkEnd w:id="698"/>
    <w:bookmarkEnd w:id="699"/>
    <w:p>
      <w:pPr>
        <w:spacing w:line="360" w:lineRule="auto"/>
        <w:jc w:val="center"/>
        <w:rPr>
          <w:rFonts w:ascii="宋体" w:hAnsi="宋体" w:cs="宋体"/>
          <w:b/>
          <w:bCs/>
          <w:sz w:val="28"/>
          <w:szCs w:val="28"/>
        </w:rPr>
      </w:pPr>
      <w:r>
        <w:rPr>
          <w:rFonts w:hint="eastAsia" w:ascii="宋体" w:hAnsi="宋体" w:cs="宋体"/>
          <w:b/>
          <w:bCs/>
          <w:sz w:val="28"/>
          <w:szCs w:val="28"/>
        </w:rPr>
        <w:t>农民工工资保证金的交纳与使用承诺书；（加盖公章）（按桂劳社发［2009］50号文件执行）</w:t>
      </w:r>
    </w:p>
    <w:p>
      <w:pPr>
        <w:spacing w:line="36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（采购单位名称）    </w:t>
      </w:r>
    </w:p>
    <w:p>
      <w:pPr>
        <w:spacing w:line="480" w:lineRule="auto"/>
        <w:ind w:firstLine="480"/>
        <w:rPr>
          <w:rFonts w:ascii="宋体" w:hAnsi="宋体" w:cs="宋体"/>
          <w:sz w:val="24"/>
        </w:rPr>
      </w:pPr>
      <w:r>
        <w:rPr>
          <w:rFonts w:hint="eastAsia" w:ascii="宋体" w:hAnsi="宋体" w:cs="宋体"/>
          <w:sz w:val="24"/>
        </w:rPr>
        <w:t>根据按广西壮族自治区劳动和社会保障厅、广西壮族自治区建设厅桂劳社发［2009］50号文规定，我方在此向采购单位承诺：</w:t>
      </w:r>
    </w:p>
    <w:p>
      <w:pPr>
        <w:spacing w:line="480" w:lineRule="auto"/>
        <w:ind w:firstLine="480"/>
        <w:rPr>
          <w:rFonts w:ascii="宋体" w:hAnsi="宋体" w:cs="宋体"/>
          <w:sz w:val="24"/>
        </w:rPr>
      </w:pPr>
      <w:r>
        <w:rPr>
          <w:rFonts w:hint="eastAsia" w:ascii="宋体" w:hAnsi="宋体" w:cs="宋体"/>
          <w:sz w:val="24"/>
        </w:rPr>
        <w:t>1．我公司在以前承接的工程中从未有过拖欠农民工和工人工资情况。</w:t>
      </w:r>
    </w:p>
    <w:p>
      <w:pPr>
        <w:spacing w:line="480" w:lineRule="auto"/>
        <w:ind w:firstLine="480"/>
        <w:rPr>
          <w:rFonts w:ascii="宋体" w:hAnsi="宋体" w:cs="宋体"/>
          <w:kern w:val="0"/>
          <w:sz w:val="24"/>
        </w:rPr>
      </w:pPr>
      <w:r>
        <w:rPr>
          <w:rFonts w:hint="eastAsia" w:ascii="宋体" w:hAnsi="宋体" w:cs="宋体"/>
          <w:sz w:val="24"/>
        </w:rPr>
        <w:t xml:space="preserve">2．我方参与竞标的 </w:t>
      </w:r>
      <w:r>
        <w:rPr>
          <w:rFonts w:hint="eastAsia" w:ascii="宋体" w:hAnsi="宋体" w:cs="宋体"/>
          <w:sz w:val="24"/>
          <w:u w:val="single"/>
        </w:rPr>
        <w:t xml:space="preserve">   </w:t>
      </w:r>
      <w:r>
        <w:rPr>
          <w:rFonts w:hint="eastAsia" w:ascii="宋体" w:hAnsi="宋体" w:cs="宋体"/>
          <w:kern w:val="0"/>
          <w:sz w:val="24"/>
          <w:u w:val="single"/>
        </w:rPr>
        <w:t xml:space="preserve">(项目名称 )   </w:t>
      </w:r>
      <w:r>
        <w:rPr>
          <w:rFonts w:hint="eastAsia" w:ascii="宋体" w:hAnsi="宋体" w:cs="宋体"/>
          <w:sz w:val="24"/>
        </w:rPr>
        <w:t>项目，一旦成交，我方保证在收到成交通知书后7个工作日内，</w:t>
      </w:r>
      <w:r>
        <w:rPr>
          <w:rFonts w:hint="eastAsia" w:ascii="宋体" w:hAnsi="宋体" w:cs="宋体"/>
          <w:kern w:val="0"/>
          <w:sz w:val="24"/>
        </w:rPr>
        <w:t>足额将</w:t>
      </w:r>
      <w:r>
        <w:rPr>
          <w:rFonts w:hint="eastAsia" w:ascii="宋体" w:hAnsi="宋体" w:cs="宋体"/>
          <w:sz w:val="24"/>
        </w:rPr>
        <w:t>成交金额的2%且不多于80万元的</w:t>
      </w:r>
      <w:r>
        <w:rPr>
          <w:rFonts w:hint="eastAsia" w:ascii="宋体" w:hAnsi="宋体" w:cs="宋体"/>
          <w:kern w:val="0"/>
          <w:sz w:val="24"/>
        </w:rPr>
        <w:t>农民工工资保证金转入建设行政主管部门指定的账户，作为本工程农民工工资保证金。</w:t>
      </w:r>
    </w:p>
    <w:p>
      <w:pPr>
        <w:spacing w:line="480" w:lineRule="auto"/>
        <w:ind w:firstLine="480"/>
        <w:rPr>
          <w:rFonts w:ascii="宋体" w:hAnsi="宋体" w:cs="宋体"/>
          <w:sz w:val="24"/>
        </w:rPr>
      </w:pPr>
      <w:r>
        <w:rPr>
          <w:rFonts w:hint="eastAsia" w:ascii="宋体" w:hAnsi="宋体" w:cs="宋体"/>
          <w:sz w:val="24"/>
        </w:rPr>
        <w:t>3．如我方在承包的</w:t>
      </w:r>
      <w:r>
        <w:rPr>
          <w:rFonts w:hint="eastAsia" w:ascii="宋体" w:hAnsi="宋体" w:cs="宋体"/>
          <w:sz w:val="24"/>
          <w:u w:val="single"/>
        </w:rPr>
        <w:t xml:space="preserve">    </w:t>
      </w:r>
      <w:r>
        <w:rPr>
          <w:rFonts w:hint="eastAsia" w:ascii="宋体" w:hAnsi="宋体" w:cs="宋体"/>
          <w:kern w:val="0"/>
          <w:sz w:val="24"/>
          <w:u w:val="single"/>
        </w:rPr>
        <w:t xml:space="preserve">(项目名称 )   </w:t>
      </w:r>
      <w:r>
        <w:rPr>
          <w:rFonts w:hint="eastAsia" w:ascii="宋体" w:hAnsi="宋体" w:cs="宋体"/>
          <w:sz w:val="24"/>
        </w:rPr>
        <w:t>项目中出现拖欠农民工和工人工资情况的，由</w:t>
      </w:r>
      <w:r>
        <w:rPr>
          <w:rFonts w:hint="eastAsia" w:ascii="宋体" w:hAnsi="宋体" w:cs="宋体"/>
          <w:kern w:val="0"/>
          <w:sz w:val="24"/>
        </w:rPr>
        <w:t>建设行政主管部门</w:t>
      </w:r>
      <w:r>
        <w:rPr>
          <w:rFonts w:hint="eastAsia" w:ascii="宋体" w:hAnsi="宋体" w:cs="宋体"/>
          <w:sz w:val="24"/>
        </w:rPr>
        <w:t>从其农民工工资保证金中先予划支。</w:t>
      </w:r>
    </w:p>
    <w:p>
      <w:pPr>
        <w:spacing w:line="480" w:lineRule="auto"/>
        <w:ind w:firstLine="480"/>
        <w:rPr>
          <w:rFonts w:ascii="宋体" w:hAnsi="宋体" w:cs="宋体"/>
          <w:sz w:val="24"/>
        </w:rPr>
      </w:pPr>
      <w:r>
        <w:rPr>
          <w:rFonts w:hint="eastAsia" w:ascii="宋体" w:hAnsi="宋体" w:cs="宋体"/>
          <w:sz w:val="24"/>
        </w:rPr>
        <w:t>4．如我方在成交后不按时、足额存入农民工工资保证金的，将被取消成交资格。</w:t>
      </w:r>
    </w:p>
    <w:p>
      <w:pPr>
        <w:spacing w:line="480" w:lineRule="auto"/>
        <w:ind w:firstLine="480"/>
        <w:rPr>
          <w:rFonts w:ascii="宋体" w:hAnsi="宋体" w:cs="宋体"/>
          <w:sz w:val="24"/>
        </w:rPr>
      </w:pPr>
    </w:p>
    <w:p>
      <w:pPr>
        <w:spacing w:line="480" w:lineRule="auto"/>
        <w:ind w:firstLine="480"/>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（盖章）</w:t>
      </w:r>
    </w:p>
    <w:p>
      <w:pPr>
        <w:spacing w:line="480" w:lineRule="auto"/>
        <w:ind w:firstLine="480"/>
        <w:rPr>
          <w:rFonts w:ascii="宋体" w:hAnsi="宋体" w:cs="宋体"/>
          <w:sz w:val="24"/>
        </w:rPr>
      </w:pPr>
      <w:r>
        <w:rPr>
          <w:rFonts w:hint="eastAsia" w:ascii="宋体" w:hAnsi="宋体" w:cs="宋体"/>
          <w:sz w:val="24"/>
        </w:rPr>
        <w:t>法定代表人或授权的委托代理人：</w:t>
      </w:r>
      <w:r>
        <w:rPr>
          <w:rFonts w:hint="eastAsia" w:ascii="宋体" w:hAnsi="宋体" w:cs="宋体"/>
          <w:sz w:val="24"/>
          <w:u w:val="single"/>
        </w:rPr>
        <w:t xml:space="preserve">                           （签字）</w:t>
      </w:r>
    </w:p>
    <w:p>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年      月      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195"/>
        <w:adjustRightInd w:val="0"/>
        <w:spacing w:line="312" w:lineRule="atLeast"/>
        <w:ind w:firstLine="562"/>
        <w:textAlignment w:val="baseline"/>
        <w:rPr>
          <w:rFonts w:cs="宋体"/>
          <w:b/>
          <w:bCs/>
          <w:kern w:val="0"/>
          <w:sz w:val="28"/>
          <w:szCs w:val="28"/>
        </w:rPr>
      </w:pPr>
    </w:p>
    <w:p>
      <w:pPr>
        <w:pStyle w:val="195"/>
        <w:adjustRightInd w:val="0"/>
        <w:spacing w:line="312" w:lineRule="atLeast"/>
        <w:ind w:firstLine="562"/>
        <w:textAlignment w:val="baseline"/>
        <w:rPr>
          <w:rFonts w:cs="宋体"/>
          <w:b/>
          <w:bCs/>
          <w:sz w:val="28"/>
          <w:szCs w:val="28"/>
        </w:rPr>
      </w:pPr>
    </w:p>
    <w:p>
      <w:pPr>
        <w:jc w:val="center"/>
        <w:rPr>
          <w:rFonts w:ascii="宋体" w:hAnsi="宋体" w:cs="宋体"/>
          <w:sz w:val="28"/>
          <w:szCs w:val="28"/>
        </w:rPr>
      </w:pPr>
      <w:r>
        <w:rPr>
          <w:rFonts w:hint="eastAsia" w:ascii="宋体" w:hAnsi="宋体" w:cs="宋体"/>
          <w:sz w:val="28"/>
          <w:szCs w:val="28"/>
        </w:rPr>
        <w:t>建设工程项目管理承诺书</w:t>
      </w:r>
    </w:p>
    <w:p>
      <w:pPr>
        <w:spacing w:line="360" w:lineRule="auto"/>
        <w:rPr>
          <w:rFonts w:ascii="宋体" w:hAnsi="宋体" w:cs="宋体"/>
          <w:sz w:val="24"/>
        </w:rPr>
      </w:pPr>
    </w:p>
    <w:p>
      <w:pPr>
        <w:spacing w:line="480" w:lineRule="auto"/>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（采购单位名称）：</w:t>
      </w:r>
    </w:p>
    <w:p>
      <w:pPr>
        <w:spacing w:line="520" w:lineRule="exact"/>
        <w:ind w:left="-10" w:firstLine="520" w:firstLineChars="217"/>
        <w:jc w:val="left"/>
        <w:rPr>
          <w:rFonts w:ascii="宋体" w:hAnsi="宋体" w:cs="宋体"/>
          <w:sz w:val="24"/>
        </w:rPr>
      </w:pPr>
      <w:r>
        <w:rPr>
          <w:rFonts w:hint="eastAsia" w:ascii="宋体" w:hAnsi="宋体" w:cs="宋体"/>
          <w:sz w:val="24"/>
        </w:rPr>
        <w:t>作为参与</w:t>
      </w:r>
      <w:r>
        <w:rPr>
          <w:rFonts w:hint="eastAsia" w:ascii="宋体" w:hAnsi="宋体" w:cs="宋体"/>
          <w:sz w:val="24"/>
          <w:u w:val="single"/>
        </w:rPr>
        <w:t>                  </w:t>
      </w:r>
      <w:r>
        <w:rPr>
          <w:rFonts w:hint="eastAsia" w:ascii="宋体" w:hAnsi="宋体" w:cs="宋体"/>
          <w:sz w:val="24"/>
        </w:rPr>
        <w:t>（工程名称）项目的投标方，根据国家、自治区相关文件规定，我方在此向采购单位承诺：</w:t>
      </w:r>
    </w:p>
    <w:p>
      <w:pPr>
        <w:spacing w:line="520" w:lineRule="exact"/>
        <w:ind w:left="-10" w:firstLine="520" w:firstLineChars="217"/>
        <w:jc w:val="left"/>
        <w:rPr>
          <w:rFonts w:ascii="宋体" w:hAnsi="宋体" w:cs="宋体"/>
          <w:sz w:val="24"/>
        </w:rPr>
      </w:pPr>
      <w:r>
        <w:rPr>
          <w:rFonts w:hint="eastAsia" w:ascii="宋体" w:hAnsi="宋体" w:cs="宋体"/>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520" w:firstLineChars="217"/>
        <w:jc w:val="left"/>
        <w:rPr>
          <w:rFonts w:ascii="宋体" w:hAnsi="宋体" w:cs="宋体"/>
          <w:sz w:val="24"/>
        </w:rPr>
      </w:pPr>
      <w:r>
        <w:rPr>
          <w:rFonts w:hint="eastAsia" w:ascii="宋体" w:hAnsi="宋体" w:cs="宋体"/>
          <w:sz w:val="24"/>
        </w:rPr>
        <w:t>2、一旦成交，我方保证在施工过程中，严格执行《广西壮族自治区建设工程安全文明施工费使用管理细则》（</w:t>
      </w:r>
      <w:bookmarkStart w:id="700" w:name="OLE_LINK19"/>
      <w:r>
        <w:rPr>
          <w:rFonts w:hint="eastAsia" w:ascii="宋体" w:hAnsi="宋体" w:cs="宋体"/>
          <w:sz w:val="24"/>
        </w:rPr>
        <w:t>桂建质【2015】16号</w:t>
      </w:r>
      <w:bookmarkEnd w:id="700"/>
      <w:r>
        <w:rPr>
          <w:rFonts w:hint="eastAsia" w:ascii="宋体" w:hAnsi="宋体" w:cs="宋体"/>
          <w:sz w:val="24"/>
        </w:rPr>
        <w:t>）的有关规定，确保建设工程各项安全防护、文明施工措施落实到位。如我方在该项目的承包中出现未按桂建质【2015】16号文附件一规定执行的情形，我方愿意按照相关规定接受建设单位及有关主管部门的处罚。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513" w:firstLineChars="214"/>
        <w:jc w:val="left"/>
        <w:rPr>
          <w:rFonts w:ascii="宋体" w:hAnsi="宋体" w:cs="宋体"/>
          <w:sz w:val="24"/>
        </w:rPr>
      </w:pPr>
      <w:r>
        <w:rPr>
          <w:rFonts w:hint="eastAsia" w:ascii="宋体" w:hAnsi="宋体" w:cs="宋体"/>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520" w:firstLineChars="217"/>
        <w:jc w:val="left"/>
        <w:rPr>
          <w:rFonts w:ascii="宋体" w:hAnsi="宋体" w:cs="宋体"/>
          <w:sz w:val="24"/>
        </w:rPr>
      </w:pPr>
      <w:r>
        <w:rPr>
          <w:rFonts w:hint="eastAsia" w:ascii="宋体" w:hAnsi="宋体" w:cs="宋体"/>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采购单位及有关主管部门的处罚。</w:t>
      </w:r>
    </w:p>
    <w:p>
      <w:pPr>
        <w:spacing w:line="360" w:lineRule="auto"/>
        <w:jc w:val="left"/>
        <w:rPr>
          <w:rFonts w:ascii="宋体" w:hAnsi="宋体" w:cs="宋体"/>
          <w:sz w:val="24"/>
        </w:rPr>
      </w:pPr>
    </w:p>
    <w:p>
      <w:pPr>
        <w:spacing w:line="360" w:lineRule="auto"/>
        <w:jc w:val="right"/>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（盖单位章）</w:t>
      </w:r>
    </w:p>
    <w:p>
      <w:pPr>
        <w:spacing w:line="360" w:lineRule="auto"/>
        <w:jc w:val="right"/>
        <w:rPr>
          <w:rFonts w:ascii="宋体" w:hAnsi="宋体" w:cs="宋体"/>
          <w:sz w:val="24"/>
          <w:u w:val="single"/>
        </w:rPr>
      </w:pPr>
      <w:r>
        <w:rPr>
          <w:rFonts w:hint="eastAsia" w:ascii="宋体" w:hAnsi="宋体" w:cs="宋体"/>
          <w:sz w:val="24"/>
        </w:rPr>
        <w:t>法定代表人或授权代理人：</w:t>
      </w:r>
      <w:r>
        <w:rPr>
          <w:rFonts w:hint="eastAsia" w:ascii="宋体" w:hAnsi="宋体" w:cs="宋体"/>
          <w:sz w:val="24"/>
          <w:u w:val="single"/>
        </w:rPr>
        <w:t xml:space="preserve">              （签字或盖章）</w:t>
      </w:r>
    </w:p>
    <w:p>
      <w:pPr>
        <w:spacing w:line="360" w:lineRule="auto"/>
        <w:jc w:val="right"/>
        <w:rPr>
          <w:rFonts w:ascii="宋体" w:hAnsi="宋体" w:cs="宋体"/>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 w:firstLineChars="250"/>
        <w:jc w:val="center"/>
        <w:rPr>
          <w:rFonts w:ascii="宋体" w:hAnsi="宋体" w:cs="宋体"/>
          <w:sz w:val="28"/>
          <w:szCs w:val="28"/>
        </w:rPr>
      </w:pPr>
      <w:r>
        <w:rPr>
          <w:rFonts w:hint="eastAsia" w:ascii="宋体" w:hAnsi="宋体" w:cs="宋体"/>
          <w:szCs w:val="21"/>
        </w:rPr>
        <w:br w:type="page"/>
      </w:r>
      <w:r>
        <w:rPr>
          <w:rFonts w:hint="eastAsia" w:ascii="宋体" w:hAnsi="宋体" w:cs="宋体"/>
          <w:sz w:val="28"/>
          <w:szCs w:val="28"/>
        </w:rPr>
        <w:t>广西壮族自治区建筑工程安全文明施工措施项目清单内容</w:t>
      </w:r>
    </w:p>
    <w:p>
      <w:pPr>
        <w:pStyle w:val="169"/>
        <w:spacing w:line="360" w:lineRule="auto"/>
        <w:jc w:val="center"/>
        <w:rPr>
          <w:rFonts w:ascii="宋体" w:hAnsi="宋体" w:cs="宋体"/>
        </w:rPr>
      </w:pPr>
      <w:r>
        <w:rPr>
          <w:rFonts w:hint="eastAsia" w:ascii="宋体" w:hAnsi="宋体" w:cs="宋体"/>
          <w:sz w:val="24"/>
        </w:rPr>
        <w:t>（桂建质【2015】16号文附件一）</w:t>
      </w:r>
    </w:p>
    <w:p>
      <w:pPr>
        <w:pStyle w:val="184"/>
        <w:spacing w:line="0" w:lineRule="atLeast"/>
        <w:jc w:val="center"/>
        <w:rPr>
          <w:rFonts w:ascii="宋体" w:hAnsi="宋体" w:cs="宋体"/>
          <w:sz w:val="24"/>
        </w:rPr>
      </w:pPr>
      <w:r>
        <w:rPr>
          <w:rFonts w:hint="eastAsia" w:ascii="宋体" w:hAnsi="宋体" w:cs="宋体"/>
          <w:sz w:val="24"/>
        </w:rPr>
        <w:t>广西壮族自治区</w:t>
      </w:r>
    </w:p>
    <w:p>
      <w:pPr>
        <w:pStyle w:val="184"/>
        <w:spacing w:line="0" w:lineRule="atLeast"/>
        <w:jc w:val="center"/>
        <w:rPr>
          <w:rFonts w:ascii="宋体" w:hAnsi="宋体" w:cs="宋体"/>
          <w:w w:val="90"/>
          <w:sz w:val="24"/>
        </w:rPr>
      </w:pPr>
      <w:r>
        <w:rPr>
          <w:rFonts w:hint="eastAsia" w:ascii="宋体" w:hAnsi="宋体" w:cs="宋体"/>
          <w:w w:val="90"/>
          <w:sz w:val="24"/>
        </w:rPr>
        <w:t>建设工程安全文明施工措施项目清单内容</w:t>
      </w:r>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184"/>
              <w:spacing w:line="300" w:lineRule="exact"/>
              <w:jc w:val="center"/>
              <w:rPr>
                <w:rFonts w:ascii="宋体" w:hAnsi="宋体" w:cs="宋体"/>
                <w:szCs w:val="21"/>
              </w:rPr>
            </w:pPr>
            <w:r>
              <w:rPr>
                <w:rFonts w:hint="eastAsia" w:ascii="宋体" w:hAnsi="宋体" w:cs="宋体"/>
                <w:szCs w:val="21"/>
              </w:rPr>
              <w:t>类别</w:t>
            </w: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项目名称</w:t>
            </w:r>
          </w:p>
        </w:tc>
        <w:tc>
          <w:tcPr>
            <w:tcW w:w="6645" w:type="dxa"/>
            <w:vAlign w:val="center"/>
          </w:tcPr>
          <w:p>
            <w:pPr>
              <w:pStyle w:val="184"/>
              <w:spacing w:line="300" w:lineRule="exact"/>
              <w:jc w:val="center"/>
              <w:rPr>
                <w:rFonts w:ascii="宋体" w:hAnsi="宋体" w:cs="宋体"/>
                <w:szCs w:val="21"/>
              </w:rPr>
            </w:pPr>
            <w:r>
              <w:rPr>
                <w:rFonts w:hint="eastAsia" w:ascii="宋体" w:hAnsi="宋体" w:cs="宋体"/>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文明</w:t>
            </w:r>
          </w:p>
          <w:p>
            <w:pPr>
              <w:pStyle w:val="184"/>
              <w:spacing w:line="300" w:lineRule="exact"/>
              <w:jc w:val="center"/>
              <w:rPr>
                <w:rFonts w:ascii="宋体" w:hAnsi="宋体" w:cs="宋体"/>
                <w:szCs w:val="21"/>
              </w:rPr>
            </w:pPr>
            <w:r>
              <w:rPr>
                <w:rFonts w:hint="eastAsia" w:ascii="宋体" w:hAnsi="宋体" w:cs="宋体"/>
                <w:szCs w:val="21"/>
              </w:rPr>
              <w:t>施工</w:t>
            </w:r>
          </w:p>
          <w:p>
            <w:pPr>
              <w:pStyle w:val="184"/>
              <w:spacing w:line="300" w:lineRule="exact"/>
              <w:jc w:val="center"/>
              <w:rPr>
                <w:rFonts w:ascii="宋体" w:hAnsi="宋体" w:cs="宋体"/>
                <w:szCs w:val="21"/>
              </w:rPr>
            </w:pPr>
            <w:r>
              <w:rPr>
                <w:rFonts w:hint="eastAsia" w:ascii="宋体" w:hAnsi="宋体" w:cs="宋体"/>
                <w:szCs w:val="21"/>
              </w:rPr>
              <w:t>与</w:t>
            </w:r>
          </w:p>
          <w:p>
            <w:pPr>
              <w:pStyle w:val="184"/>
              <w:spacing w:line="300" w:lineRule="exact"/>
              <w:jc w:val="center"/>
              <w:rPr>
                <w:rFonts w:ascii="宋体" w:hAnsi="宋体" w:cs="宋体"/>
                <w:szCs w:val="21"/>
              </w:rPr>
            </w:pPr>
            <w:r>
              <w:rPr>
                <w:rFonts w:hint="eastAsia" w:ascii="宋体" w:hAnsi="宋体" w:cs="宋体"/>
                <w:szCs w:val="21"/>
              </w:rPr>
              <w:t>环境</w:t>
            </w:r>
          </w:p>
          <w:p>
            <w:pPr>
              <w:pStyle w:val="184"/>
              <w:spacing w:line="300" w:lineRule="exact"/>
              <w:jc w:val="center"/>
              <w:rPr>
                <w:rFonts w:ascii="宋体" w:hAnsi="宋体" w:cs="宋体"/>
                <w:szCs w:val="21"/>
              </w:rPr>
            </w:pPr>
            <w:r>
              <w:rPr>
                <w:rFonts w:hint="eastAsia" w:ascii="宋体" w:hAnsi="宋体" w:cs="宋体"/>
                <w:szCs w:val="21"/>
              </w:rPr>
              <w:t>保护</w:t>
            </w: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安全警示</w:t>
            </w:r>
          </w:p>
          <w:p>
            <w:pPr>
              <w:pStyle w:val="184"/>
              <w:spacing w:line="300" w:lineRule="exact"/>
              <w:jc w:val="center"/>
              <w:rPr>
                <w:rFonts w:ascii="宋体" w:hAnsi="宋体" w:cs="宋体"/>
                <w:szCs w:val="21"/>
              </w:rPr>
            </w:pPr>
            <w:r>
              <w:rPr>
                <w:rFonts w:hint="eastAsia" w:ascii="宋体" w:hAnsi="宋体" w:cs="宋体"/>
                <w:szCs w:val="21"/>
              </w:rPr>
              <w:t>标志牌</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现场围挡</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现场采用封闭围挡，高度不小于1.8m。</w:t>
            </w:r>
          </w:p>
          <w:p>
            <w:pPr>
              <w:pStyle w:val="184"/>
              <w:spacing w:line="300" w:lineRule="exact"/>
              <w:rPr>
                <w:rFonts w:ascii="宋体" w:hAnsi="宋体" w:cs="宋体"/>
                <w:szCs w:val="21"/>
              </w:rPr>
            </w:pPr>
            <w:r>
              <w:rPr>
                <w:rFonts w:hint="eastAsia" w:ascii="宋体" w:hAnsi="宋体" w:cs="宋体"/>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七牌二图</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企业标志</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场容场貌</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道路畅通。</w:t>
            </w:r>
          </w:p>
          <w:p>
            <w:pPr>
              <w:pStyle w:val="184"/>
              <w:spacing w:line="300" w:lineRule="exact"/>
              <w:rPr>
                <w:rFonts w:ascii="宋体" w:hAnsi="宋体" w:cs="宋体"/>
                <w:szCs w:val="21"/>
              </w:rPr>
            </w:pPr>
            <w:r>
              <w:rPr>
                <w:rFonts w:hint="eastAsia" w:ascii="宋体" w:hAnsi="宋体" w:cs="宋体"/>
                <w:szCs w:val="21"/>
              </w:rPr>
              <w:t>2. 排水设施齐全畅通。</w:t>
            </w:r>
          </w:p>
          <w:p>
            <w:pPr>
              <w:pStyle w:val="184"/>
              <w:spacing w:line="300" w:lineRule="exact"/>
              <w:rPr>
                <w:rFonts w:ascii="宋体" w:hAnsi="宋体" w:cs="宋体"/>
                <w:szCs w:val="21"/>
              </w:rPr>
            </w:pPr>
            <w:r>
              <w:rPr>
                <w:rFonts w:hint="eastAsia" w:ascii="宋体" w:hAnsi="宋体" w:cs="宋体"/>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材料堆放</w:t>
            </w:r>
          </w:p>
        </w:tc>
        <w:tc>
          <w:tcPr>
            <w:tcW w:w="6645" w:type="dxa"/>
            <w:vAlign w:val="center"/>
          </w:tcPr>
          <w:p>
            <w:pPr>
              <w:pStyle w:val="184"/>
              <w:numPr>
                <w:ilvl w:val="0"/>
                <w:numId w:val="2"/>
              </w:numPr>
              <w:spacing w:line="300" w:lineRule="exact"/>
              <w:rPr>
                <w:rFonts w:ascii="宋体" w:hAnsi="宋体" w:cs="宋体"/>
                <w:szCs w:val="21"/>
              </w:rPr>
            </w:pPr>
            <w:r>
              <w:rPr>
                <w:rFonts w:hint="eastAsia" w:ascii="宋体" w:hAnsi="宋体" w:cs="宋体"/>
                <w:szCs w:val="21"/>
              </w:rPr>
              <w:t>材料、构件、料具等堆放时，应有名称、品种、规格等标牌。</w:t>
            </w:r>
          </w:p>
          <w:p>
            <w:pPr>
              <w:pStyle w:val="184"/>
              <w:spacing w:line="300" w:lineRule="exact"/>
              <w:rPr>
                <w:rFonts w:ascii="宋体" w:hAnsi="宋体" w:cs="宋体"/>
                <w:szCs w:val="21"/>
              </w:rPr>
            </w:pPr>
            <w:r>
              <w:rPr>
                <w:rFonts w:hint="eastAsia" w:ascii="宋体" w:hAnsi="宋体" w:cs="宋体"/>
                <w:szCs w:val="21"/>
              </w:rPr>
              <w:t>2. 水泥和其它易飞扬细颗粒建筑材料应封闭存放或采取覆盖等措施。</w:t>
            </w:r>
          </w:p>
          <w:p>
            <w:pPr>
              <w:pStyle w:val="184"/>
              <w:spacing w:line="300" w:lineRule="exact"/>
              <w:rPr>
                <w:rFonts w:ascii="宋体" w:hAnsi="宋体" w:cs="宋体"/>
                <w:szCs w:val="21"/>
              </w:rPr>
            </w:pPr>
            <w:r>
              <w:rPr>
                <w:rFonts w:hint="eastAsia" w:ascii="宋体" w:hAnsi="宋体" w:cs="宋体"/>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现场防火</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垃圾清运</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施工现场应设置密闭式垃圾站，施工垃圾、生活垃圾应分类存放。</w:t>
            </w:r>
          </w:p>
          <w:p>
            <w:pPr>
              <w:pStyle w:val="184"/>
              <w:spacing w:line="300" w:lineRule="exact"/>
              <w:rPr>
                <w:rFonts w:ascii="宋体" w:hAnsi="宋体" w:cs="宋体"/>
                <w:szCs w:val="21"/>
              </w:rPr>
            </w:pPr>
            <w:r>
              <w:rPr>
                <w:rFonts w:hint="eastAsia" w:ascii="宋体" w:hAnsi="宋体" w:cs="宋体"/>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rPr>
                <w:rFonts w:ascii="宋体" w:hAnsi="宋体" w:cs="宋体"/>
                <w:szCs w:val="21"/>
              </w:rPr>
            </w:pPr>
            <w:r>
              <w:rPr>
                <w:rFonts w:hint="eastAsia" w:ascii="宋体" w:hAnsi="宋体" w:cs="宋体"/>
                <w:szCs w:val="21"/>
              </w:rPr>
              <w:t>宣传栏、环保及不扰民措施</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临时设施</w:t>
            </w: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现场办公</w:t>
            </w:r>
          </w:p>
          <w:p>
            <w:pPr>
              <w:pStyle w:val="184"/>
              <w:spacing w:line="300" w:lineRule="exact"/>
              <w:jc w:val="center"/>
              <w:rPr>
                <w:rFonts w:ascii="宋体" w:hAnsi="宋体" w:cs="宋体"/>
                <w:szCs w:val="21"/>
              </w:rPr>
            </w:pPr>
            <w:r>
              <w:rPr>
                <w:rFonts w:hint="eastAsia" w:ascii="宋体" w:hAnsi="宋体" w:cs="宋体"/>
                <w:szCs w:val="21"/>
              </w:rPr>
              <w:t>生活设施</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施工现场办公、生活区与作业区分开设置，保持安全距离。</w:t>
            </w:r>
          </w:p>
          <w:p>
            <w:pPr>
              <w:pStyle w:val="184"/>
              <w:spacing w:line="300" w:lineRule="exact"/>
              <w:rPr>
                <w:rFonts w:ascii="宋体" w:hAnsi="宋体" w:cs="宋体"/>
                <w:szCs w:val="21"/>
              </w:rPr>
            </w:pPr>
            <w:r>
              <w:rPr>
                <w:rFonts w:hint="eastAsia" w:ascii="宋体" w:hAnsi="宋体" w:cs="宋体"/>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施工现场</w:t>
            </w:r>
          </w:p>
          <w:p>
            <w:pPr>
              <w:pStyle w:val="184"/>
              <w:spacing w:line="300" w:lineRule="exact"/>
              <w:jc w:val="center"/>
              <w:rPr>
                <w:rFonts w:ascii="宋体" w:hAnsi="宋体" w:cs="宋体"/>
                <w:szCs w:val="21"/>
              </w:rPr>
            </w:pPr>
            <w:r>
              <w:rPr>
                <w:rFonts w:hint="eastAsia" w:ascii="宋体" w:hAnsi="宋体" w:cs="宋体"/>
                <w:szCs w:val="21"/>
              </w:rPr>
              <w:t>临时用电</w:t>
            </w: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配电线路</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按照TN-S系统要求配备五芯电缆、四芯电缆和三芯电缆。</w:t>
            </w:r>
          </w:p>
          <w:p>
            <w:pPr>
              <w:pStyle w:val="184"/>
              <w:spacing w:line="300" w:lineRule="exact"/>
              <w:rPr>
                <w:rFonts w:ascii="宋体" w:hAnsi="宋体" w:cs="宋体"/>
                <w:szCs w:val="21"/>
              </w:rPr>
            </w:pPr>
            <w:r>
              <w:rPr>
                <w:rFonts w:hint="eastAsia" w:ascii="宋体" w:hAnsi="宋体" w:cs="宋体"/>
                <w:szCs w:val="21"/>
              </w:rPr>
              <w:t>2. 按要求架设临时用电线路的电杆、横担、瓷夹、瓷瓶等，或电缆埋地的地沟。</w:t>
            </w:r>
          </w:p>
          <w:p>
            <w:pPr>
              <w:pStyle w:val="184"/>
              <w:spacing w:line="300" w:lineRule="exact"/>
              <w:rPr>
                <w:rFonts w:ascii="宋体" w:hAnsi="宋体" w:cs="宋体"/>
                <w:szCs w:val="21"/>
              </w:rPr>
            </w:pPr>
            <w:r>
              <w:rPr>
                <w:rFonts w:hint="eastAsia" w:ascii="宋体" w:hAnsi="宋体" w:cs="宋体"/>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配电箱</w:t>
            </w:r>
          </w:p>
          <w:p>
            <w:pPr>
              <w:pStyle w:val="184"/>
              <w:spacing w:line="300" w:lineRule="exact"/>
              <w:jc w:val="center"/>
              <w:rPr>
                <w:rFonts w:ascii="宋体" w:hAnsi="宋体" w:cs="宋体"/>
                <w:szCs w:val="21"/>
              </w:rPr>
            </w:pPr>
            <w:r>
              <w:rPr>
                <w:rFonts w:hint="eastAsia" w:ascii="宋体" w:hAnsi="宋体" w:cs="宋体"/>
                <w:szCs w:val="21"/>
              </w:rPr>
              <w:t>开关箱</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按三级配电要求，配备总配电箱、分配电箱、开关箱三类（铁质）标准电箱，开关箱应符合“一机、一箱、一闸、一漏”，三类电箱中的各类电器应是合格品。</w:t>
            </w:r>
          </w:p>
          <w:p>
            <w:pPr>
              <w:pStyle w:val="184"/>
              <w:spacing w:line="300" w:lineRule="exact"/>
              <w:rPr>
                <w:rFonts w:ascii="宋体" w:hAnsi="宋体" w:cs="宋体"/>
                <w:szCs w:val="21"/>
              </w:rPr>
            </w:pPr>
            <w:r>
              <w:rPr>
                <w:rFonts w:hint="eastAsia" w:ascii="宋体" w:hAnsi="宋体" w:cs="宋体"/>
                <w:szCs w:val="21"/>
              </w:rPr>
              <w:t>2. 按两级保护的要求，选取符合容量要求和质量合格的总配电箱和开关箱中的漏电保护器。</w:t>
            </w:r>
          </w:p>
          <w:p>
            <w:pPr>
              <w:pStyle w:val="184"/>
              <w:spacing w:line="300" w:lineRule="exact"/>
              <w:rPr>
                <w:rFonts w:ascii="宋体" w:hAnsi="宋体" w:cs="宋体"/>
                <w:szCs w:val="21"/>
              </w:rPr>
            </w:pPr>
            <w:r>
              <w:rPr>
                <w:rFonts w:hint="eastAsia" w:ascii="宋体" w:hAnsi="宋体" w:cs="宋体"/>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接地装置</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现场变配电装置</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184"/>
              <w:spacing w:line="300" w:lineRule="exact"/>
              <w:jc w:val="center"/>
              <w:rPr>
                <w:rFonts w:ascii="宋体" w:hAnsi="宋体" w:cs="宋体"/>
                <w:szCs w:val="21"/>
              </w:rPr>
            </w:pPr>
            <w:r>
              <w:rPr>
                <w:rFonts w:hint="eastAsia" w:ascii="宋体" w:hAnsi="宋体" w:cs="宋体"/>
                <w:szCs w:val="21"/>
              </w:rPr>
              <w:t>类别</w:t>
            </w: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项目名称</w:t>
            </w:r>
          </w:p>
        </w:tc>
        <w:tc>
          <w:tcPr>
            <w:tcW w:w="6645" w:type="dxa"/>
            <w:vAlign w:val="center"/>
          </w:tcPr>
          <w:p>
            <w:pPr>
              <w:pStyle w:val="184"/>
              <w:spacing w:line="300" w:lineRule="exact"/>
              <w:jc w:val="center"/>
              <w:rPr>
                <w:rFonts w:ascii="宋体" w:hAnsi="宋体" w:cs="宋体"/>
                <w:szCs w:val="21"/>
              </w:rPr>
            </w:pPr>
            <w:r>
              <w:rPr>
                <w:rFonts w:hint="eastAsia" w:ascii="宋体" w:hAnsi="宋体" w:cs="宋体"/>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安全施工</w:t>
            </w:r>
          </w:p>
        </w:tc>
        <w:tc>
          <w:tcPr>
            <w:tcW w:w="525"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高处作业防护</w:t>
            </w: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楼层、屋面、阳台等临边</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通道口</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预留洞口</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电梯井口</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楼梯边</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垂直方向交叉作业</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高处作业</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基坑、物料平台</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安全防护用品</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其它</w:t>
            </w:r>
          </w:p>
        </w:tc>
        <w:tc>
          <w:tcPr>
            <w:tcW w:w="525"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机械设备防护</w:t>
            </w: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中小型机械</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垂直运输设备</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垂直运输设备检测、检验、日常维护、保养等。</w:t>
            </w:r>
          </w:p>
          <w:p>
            <w:pPr>
              <w:pStyle w:val="184"/>
              <w:spacing w:line="300" w:lineRule="exact"/>
              <w:rPr>
                <w:rFonts w:ascii="宋体" w:hAnsi="宋体" w:cs="宋体"/>
                <w:szCs w:val="21"/>
              </w:rPr>
            </w:pPr>
            <w:r>
              <w:rPr>
                <w:rFonts w:hint="eastAsia" w:ascii="宋体" w:hAnsi="宋体" w:cs="宋体"/>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专家论证审查</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应急救援预案</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非正常情况施工</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其它特殊情况下的防护费用，如：城市主干道、人流密集、河边等处施工及文物、古建筑、古树保护等。</w:t>
            </w:r>
          </w:p>
        </w:tc>
      </w:tr>
    </w:tbl>
    <w:p>
      <w:pPr>
        <w:spacing w:line="360" w:lineRule="auto"/>
        <w:ind w:firstLine="720"/>
        <w:rPr>
          <w:rFonts w:ascii="宋体" w:hAnsi="宋体" w:cs="宋体"/>
          <w:sz w:val="24"/>
          <w:szCs w:val="32"/>
        </w:rPr>
      </w:pPr>
      <w:r>
        <w:rPr>
          <w:rFonts w:hint="eastAsia" w:ascii="宋体" w:hAnsi="宋体" w:cs="宋体"/>
          <w:szCs w:val="21"/>
        </w:rPr>
        <w:t>注：本表所列建设工程安全文明施工费，是依据现行法律法规及标准、规范确定的。如法律法规和标准、规范修订，本表所列项目应按照修订后的法律法规和标准规范进行调整。</w:t>
      </w:r>
    </w:p>
    <w:p>
      <w:pPr>
        <w:spacing w:line="360" w:lineRule="auto"/>
        <w:ind w:firstLine="720"/>
        <w:rPr>
          <w:rFonts w:ascii="宋体" w:hAnsi="宋体" w:cs="宋体"/>
          <w:sz w:val="28"/>
          <w:szCs w:val="32"/>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rPr>
          <w:rFonts w:ascii="宋体" w:hAnsi="宋体" w:cs="宋体"/>
          <w:szCs w:val="21"/>
        </w:rPr>
      </w:pPr>
    </w:p>
    <w:p>
      <w:pPr>
        <w:spacing w:line="300" w:lineRule="auto"/>
        <w:jc w:val="center"/>
        <w:rPr>
          <w:rFonts w:ascii="宋体" w:hAnsi="宋体" w:cs="宋体"/>
          <w:spacing w:val="20"/>
          <w:sz w:val="24"/>
        </w:rPr>
      </w:pPr>
      <w:bookmarkStart w:id="701" w:name="_Toc43034237"/>
      <w:r>
        <w:rPr>
          <w:rFonts w:hint="eastAsia" w:ascii="宋体" w:hAnsi="宋体" w:cs="宋体"/>
          <w:spacing w:val="20"/>
          <w:sz w:val="24"/>
        </w:rPr>
        <w:t>封面格式</w:t>
      </w:r>
      <w:bookmarkEnd w:id="701"/>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jc w:val="center"/>
        <w:rPr>
          <w:rFonts w:ascii="宋体" w:hAnsi="宋体" w:cs="宋体"/>
          <w:sz w:val="36"/>
          <w:szCs w:val="72"/>
          <w:u w:val="single"/>
        </w:rPr>
      </w:pPr>
      <w:bookmarkStart w:id="702" w:name="_Toc510263741"/>
      <w:bookmarkStart w:id="703" w:name="_Toc16311520"/>
      <w:r>
        <w:rPr>
          <w:rFonts w:hint="eastAsia" w:ascii="宋体" w:hAnsi="宋体" w:cs="宋体"/>
          <w:sz w:val="36"/>
          <w:u w:val="single"/>
        </w:rPr>
        <w:t xml:space="preserve">                                  工程</w:t>
      </w:r>
    </w:p>
    <w:p>
      <w:pPr>
        <w:spacing w:line="300" w:lineRule="auto"/>
        <w:jc w:val="center"/>
        <w:rPr>
          <w:rFonts w:ascii="宋体" w:hAnsi="宋体" w:cs="宋体"/>
          <w:sz w:val="44"/>
          <w:u w:val="single"/>
        </w:rPr>
      </w:pPr>
    </w:p>
    <w:bookmarkEnd w:id="702"/>
    <w:bookmarkEnd w:id="703"/>
    <w:p>
      <w:pPr>
        <w:spacing w:line="300" w:lineRule="auto"/>
        <w:jc w:val="center"/>
        <w:rPr>
          <w:rFonts w:ascii="宋体" w:hAnsi="宋体" w:cs="宋体"/>
          <w:sz w:val="72"/>
        </w:rPr>
      </w:pPr>
    </w:p>
    <w:p>
      <w:pPr>
        <w:spacing w:line="300" w:lineRule="auto"/>
        <w:jc w:val="center"/>
        <w:rPr>
          <w:rFonts w:ascii="宋体" w:hAnsi="宋体" w:cs="宋体"/>
          <w:sz w:val="44"/>
        </w:rPr>
      </w:pPr>
      <w:r>
        <w:rPr>
          <w:rFonts w:hint="eastAsia" w:ascii="宋体" w:hAnsi="宋体" w:cs="宋体"/>
          <w:sz w:val="72"/>
        </w:rPr>
        <w:t>响应文件</w:t>
      </w:r>
    </w:p>
    <w:p>
      <w:pPr>
        <w:spacing w:line="300" w:lineRule="auto"/>
        <w:jc w:val="center"/>
        <w:rPr>
          <w:rFonts w:ascii="宋体" w:hAnsi="宋体" w:cs="宋体"/>
          <w:sz w:val="28"/>
        </w:rPr>
      </w:pPr>
    </w:p>
    <w:p>
      <w:pPr>
        <w:spacing w:line="300" w:lineRule="auto"/>
        <w:jc w:val="center"/>
        <w:rPr>
          <w:rFonts w:ascii="宋体" w:hAnsi="宋体" w:cs="宋体"/>
          <w:sz w:val="28"/>
        </w:rPr>
      </w:pPr>
      <w:r>
        <w:rPr>
          <w:rFonts w:hint="eastAsia" w:ascii="宋体" w:hAnsi="宋体" w:cs="宋体"/>
          <w:sz w:val="28"/>
        </w:rPr>
        <w:t>（商务标  本）</w:t>
      </w:r>
    </w:p>
    <w:p>
      <w:pPr>
        <w:spacing w:line="300" w:lineRule="auto"/>
        <w:jc w:val="center"/>
        <w:rPr>
          <w:rFonts w:ascii="宋体" w:hAnsi="宋体" w:cs="宋体"/>
        </w:rPr>
      </w:pPr>
    </w:p>
    <w:p>
      <w:pPr>
        <w:spacing w:line="300" w:lineRule="auto"/>
        <w:jc w:val="center"/>
        <w:rPr>
          <w:rFonts w:ascii="宋体" w:hAnsi="宋体" w:cs="宋体"/>
        </w:rPr>
      </w:pPr>
    </w:p>
    <w:p>
      <w:pPr>
        <w:spacing w:line="300" w:lineRule="auto"/>
        <w:ind w:firstLine="2160" w:firstLineChars="600"/>
        <w:rPr>
          <w:rFonts w:ascii="宋体" w:hAnsi="宋体" w:cs="宋体"/>
          <w:spacing w:val="20"/>
          <w:sz w:val="32"/>
        </w:rPr>
      </w:pPr>
      <w:r>
        <w:rPr>
          <w:rFonts w:hint="eastAsia" w:ascii="宋体" w:hAnsi="宋体" w:cs="宋体"/>
          <w:spacing w:val="20"/>
          <w:sz w:val="32"/>
        </w:rPr>
        <w:t>项目编号：</w:t>
      </w:r>
      <w:r>
        <w:rPr>
          <w:rFonts w:hint="eastAsia" w:ascii="宋体" w:hAnsi="宋体" w:cs="宋体"/>
          <w:spacing w:val="20"/>
          <w:sz w:val="32"/>
          <w:u w:val="single"/>
        </w:rPr>
        <w:t xml:space="preserve">               </w:t>
      </w:r>
      <w:r>
        <w:rPr>
          <w:rFonts w:hint="eastAsia" w:ascii="宋体" w:hAnsi="宋体" w:cs="宋体"/>
          <w:spacing w:val="20"/>
          <w:sz w:val="32"/>
        </w:rPr>
        <w:t xml:space="preserve">    </w:t>
      </w: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napToGrid w:val="0"/>
        <w:spacing w:line="300" w:lineRule="auto"/>
        <w:rPr>
          <w:rFonts w:ascii="宋体" w:hAnsi="宋体" w:cs="宋体"/>
          <w:sz w:val="30"/>
        </w:rPr>
      </w:pPr>
      <w:r>
        <w:rPr>
          <w:rFonts w:hint="eastAsia" w:ascii="宋体" w:hAnsi="宋体" w:cs="宋体"/>
          <w:sz w:val="30"/>
        </w:rPr>
        <w:t>供应商：</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ab/>
      </w:r>
      <w:r>
        <w:rPr>
          <w:rFonts w:hint="eastAsia" w:ascii="宋体" w:hAnsi="宋体" w:cs="宋体"/>
          <w:sz w:val="30"/>
          <w:u w:val="single"/>
        </w:rPr>
        <w:t xml:space="preserve">                 （盖章）</w:t>
      </w:r>
    </w:p>
    <w:p>
      <w:pPr>
        <w:snapToGrid w:val="0"/>
        <w:spacing w:line="300" w:lineRule="auto"/>
        <w:rPr>
          <w:rFonts w:ascii="宋体" w:hAnsi="宋体" w:cs="宋体"/>
          <w:sz w:val="30"/>
        </w:rPr>
      </w:pPr>
      <w:r>
        <w:rPr>
          <w:rFonts w:hint="eastAsia" w:ascii="宋体" w:hAnsi="宋体" w:cs="宋体"/>
          <w:sz w:val="30"/>
        </w:rPr>
        <w:t>法 定 代 表 人</w:t>
      </w:r>
    </w:p>
    <w:p>
      <w:pPr>
        <w:snapToGrid w:val="0"/>
        <w:spacing w:line="300" w:lineRule="auto"/>
        <w:rPr>
          <w:rFonts w:ascii="宋体" w:hAnsi="宋体" w:cs="宋体"/>
          <w:sz w:val="30"/>
        </w:rPr>
      </w:pPr>
      <w:r>
        <w:rPr>
          <w:rFonts w:hint="eastAsia" w:ascii="宋体" w:hAnsi="宋体" w:cs="宋体"/>
          <w:sz w:val="30"/>
        </w:rPr>
        <w:t>或其委托代理人：</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 xml:space="preserve">          （签名）</w:t>
      </w:r>
    </w:p>
    <w:p>
      <w:pPr>
        <w:snapToGrid w:val="0"/>
        <w:spacing w:before="480" w:line="300" w:lineRule="auto"/>
        <w:jc w:val="center"/>
        <w:rPr>
          <w:rFonts w:ascii="宋体" w:hAnsi="宋体" w:cs="宋体"/>
          <w:sz w:val="24"/>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 xml:space="preserve"> 年</w:t>
      </w:r>
      <w:r>
        <w:rPr>
          <w:rFonts w:hint="eastAsia" w:ascii="宋体" w:hAnsi="宋体" w:cs="宋体"/>
          <w:sz w:val="30"/>
          <w:u w:val="single"/>
        </w:rPr>
        <w:t xml:space="preserve">     </w:t>
      </w:r>
      <w:r>
        <w:rPr>
          <w:rFonts w:hint="eastAsia" w:ascii="宋体" w:hAnsi="宋体" w:cs="宋体"/>
          <w:sz w:val="30"/>
        </w:rPr>
        <w:t xml:space="preserve"> 月</w:t>
      </w:r>
      <w:r>
        <w:rPr>
          <w:rFonts w:hint="eastAsia" w:ascii="宋体" w:hAnsi="宋体" w:cs="宋体"/>
          <w:sz w:val="30"/>
          <w:u w:val="single"/>
        </w:rPr>
        <w:t xml:space="preserve">     </w:t>
      </w:r>
      <w:r>
        <w:rPr>
          <w:rFonts w:hint="eastAsia" w:ascii="宋体" w:hAnsi="宋体" w:cs="宋体"/>
          <w:sz w:val="30"/>
        </w:rPr>
        <w:t>日</w:t>
      </w:r>
      <w:bookmarkStart w:id="704" w:name="_Toc49449943"/>
    </w:p>
    <w:p>
      <w:pPr>
        <w:snapToGrid w:val="0"/>
        <w:spacing w:before="480" w:line="300" w:lineRule="auto"/>
        <w:jc w:val="center"/>
        <w:rPr>
          <w:rFonts w:ascii="宋体" w:hAnsi="宋体" w:cs="宋体"/>
          <w:sz w:val="24"/>
        </w:rPr>
      </w:pPr>
    </w:p>
    <w:p>
      <w:pPr>
        <w:pStyle w:val="13"/>
      </w:pPr>
    </w:p>
    <w:p>
      <w:pPr>
        <w:pStyle w:val="4"/>
        <w:spacing w:line="300" w:lineRule="auto"/>
        <w:rPr>
          <w:rFonts w:hint="default" w:ascii="宋体" w:eastAsia="宋体" w:cs="宋体"/>
          <w:bCs w:val="0"/>
          <w:sz w:val="36"/>
        </w:rPr>
      </w:pPr>
      <w:bookmarkStart w:id="705" w:name="_Toc59820858"/>
      <w:bookmarkStart w:id="706" w:name="_Toc6411"/>
      <w:bookmarkStart w:id="707" w:name="_Toc384892079"/>
      <w:bookmarkStart w:id="708" w:name="_Toc81461356"/>
      <w:bookmarkStart w:id="709" w:name="_Toc384891876"/>
      <w:bookmarkStart w:id="710" w:name="_Toc73471026"/>
      <w:bookmarkStart w:id="711" w:name="_Toc288490523"/>
      <w:r>
        <w:rPr>
          <w:rFonts w:ascii="宋体" w:eastAsia="宋体" w:cs="宋体"/>
          <w:bCs w:val="0"/>
          <w:sz w:val="36"/>
        </w:rPr>
        <w:t>目    录</w:t>
      </w:r>
      <w:bookmarkEnd w:id="705"/>
      <w:bookmarkEnd w:id="706"/>
      <w:bookmarkEnd w:id="707"/>
      <w:bookmarkEnd w:id="708"/>
      <w:bookmarkEnd w:id="709"/>
      <w:bookmarkEnd w:id="710"/>
      <w:bookmarkEnd w:id="711"/>
    </w:p>
    <w:p>
      <w:pPr>
        <w:numPr>
          <w:ilvl w:val="1"/>
          <w:numId w:val="3"/>
        </w:numPr>
        <w:adjustRightInd w:val="0"/>
        <w:spacing w:line="300" w:lineRule="auto"/>
        <w:textAlignment w:val="baseline"/>
        <w:rPr>
          <w:rFonts w:ascii="宋体" w:hAnsi="宋体" w:cs="宋体"/>
          <w:sz w:val="24"/>
        </w:rPr>
      </w:pPr>
      <w:r>
        <w:rPr>
          <w:rFonts w:hint="eastAsia" w:ascii="宋体" w:hAnsi="宋体" w:cs="宋体"/>
          <w:sz w:val="24"/>
        </w:rPr>
        <w:t>竞标函；</w:t>
      </w:r>
    </w:p>
    <w:p>
      <w:pPr>
        <w:numPr>
          <w:ilvl w:val="1"/>
          <w:numId w:val="3"/>
        </w:numPr>
        <w:adjustRightInd w:val="0"/>
        <w:spacing w:line="300" w:lineRule="auto"/>
        <w:textAlignment w:val="baseline"/>
        <w:rPr>
          <w:rFonts w:ascii="宋体" w:hAnsi="宋体" w:cs="宋体"/>
          <w:sz w:val="24"/>
        </w:rPr>
      </w:pPr>
      <w:r>
        <w:rPr>
          <w:rFonts w:hint="eastAsia" w:ascii="宋体" w:hAnsi="宋体" w:cs="宋体"/>
          <w:sz w:val="24"/>
        </w:rPr>
        <w:t xml:space="preserve">竞标响应表； </w:t>
      </w:r>
    </w:p>
    <w:p>
      <w:pPr>
        <w:adjustRightInd w:val="0"/>
        <w:spacing w:line="300" w:lineRule="auto"/>
        <w:ind w:left="900"/>
        <w:textAlignment w:val="baseline"/>
        <w:rPr>
          <w:rFonts w:ascii="宋体" w:hAnsi="宋体" w:cs="宋体"/>
          <w:sz w:val="24"/>
        </w:rPr>
      </w:pPr>
      <w:r>
        <w:rPr>
          <w:rFonts w:hint="eastAsia" w:ascii="宋体" w:hAnsi="宋体" w:cs="宋体"/>
          <w:sz w:val="24"/>
        </w:rPr>
        <w:t>三、已标价工程量清单；</w:t>
      </w: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pStyle w:val="13"/>
      </w:pPr>
    </w:p>
    <w:bookmarkEnd w:id="704"/>
    <w:p>
      <w:pPr>
        <w:spacing w:line="300" w:lineRule="auto"/>
        <w:rPr>
          <w:rFonts w:ascii="宋体" w:hAnsi="宋体" w:cs="宋体"/>
          <w:spacing w:val="20"/>
          <w:sz w:val="24"/>
        </w:rPr>
      </w:pPr>
    </w:p>
    <w:p>
      <w:pPr>
        <w:pStyle w:val="3"/>
        <w:spacing w:line="300" w:lineRule="auto"/>
        <w:rPr>
          <w:rFonts w:ascii="宋体" w:hAnsi="宋体" w:eastAsia="宋体" w:cs="宋体"/>
          <w:bCs w:val="0"/>
          <w:spacing w:val="20"/>
          <w:kern w:val="0"/>
          <w:sz w:val="24"/>
          <w:szCs w:val="24"/>
        </w:rPr>
      </w:pPr>
      <w:bookmarkStart w:id="712" w:name="_Toc59820861"/>
      <w:bookmarkStart w:id="713" w:name="_Toc11205"/>
      <w:bookmarkStart w:id="714" w:name="_Toc81461359"/>
      <w:bookmarkStart w:id="715" w:name="_Toc288490524"/>
      <w:bookmarkStart w:id="716" w:name="_Toc384892080"/>
      <w:bookmarkStart w:id="717" w:name="_Toc384891877"/>
      <w:r>
        <w:rPr>
          <w:rFonts w:hint="eastAsia" w:ascii="宋体" w:hAnsi="宋体" w:eastAsia="宋体" w:cs="宋体"/>
          <w:bCs w:val="0"/>
        </w:rPr>
        <w:t>一、 竞  标  函</w:t>
      </w:r>
      <w:bookmarkEnd w:id="712"/>
      <w:bookmarkEnd w:id="713"/>
      <w:bookmarkEnd w:id="714"/>
      <w:bookmarkEnd w:id="715"/>
      <w:bookmarkEnd w:id="716"/>
      <w:bookmarkEnd w:id="717"/>
    </w:p>
    <w:p>
      <w:pPr>
        <w:autoSpaceDE w:val="0"/>
        <w:autoSpaceDN w:val="0"/>
        <w:spacing w:line="300" w:lineRule="auto"/>
        <w:rPr>
          <w:rFonts w:ascii="宋体" w:hAnsi="宋体" w:cs="宋体"/>
          <w:spacing w:val="20"/>
          <w:sz w:val="24"/>
        </w:rPr>
      </w:pPr>
      <w:r>
        <w:rPr>
          <w:rFonts w:hint="eastAsia" w:ascii="宋体" w:hAnsi="宋体" w:cs="宋体"/>
          <w:spacing w:val="20"/>
          <w:sz w:val="24"/>
        </w:rPr>
        <w:t>致：</w:t>
      </w:r>
      <w:r>
        <w:rPr>
          <w:rFonts w:hint="eastAsia" w:ascii="宋体" w:hAnsi="宋体" w:cs="宋体"/>
          <w:spacing w:val="20"/>
          <w:sz w:val="24"/>
          <w:u w:val="single"/>
        </w:rPr>
        <w:t xml:space="preserve">    （采购单位名称）  </w:t>
      </w:r>
      <w:r>
        <w:rPr>
          <w:rFonts w:hint="eastAsia" w:ascii="宋体" w:hAnsi="宋体" w:cs="宋体"/>
          <w:spacing w:val="20"/>
          <w:sz w:val="24"/>
        </w:rPr>
        <w:t xml:space="preserve">  </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1、根据你方采购工程项目编号为</w:t>
      </w:r>
      <w:r>
        <w:rPr>
          <w:rFonts w:hint="eastAsia" w:ascii="宋体" w:hAnsi="宋体" w:cs="宋体"/>
          <w:spacing w:val="20"/>
          <w:sz w:val="24"/>
          <w:u w:val="single"/>
        </w:rPr>
        <w:t xml:space="preserve">       </w:t>
      </w:r>
      <w:r>
        <w:rPr>
          <w:rFonts w:hint="eastAsia" w:ascii="宋体" w:hAnsi="宋体" w:cs="宋体"/>
          <w:spacing w:val="20"/>
          <w:sz w:val="24"/>
        </w:rPr>
        <w:t>的</w:t>
      </w:r>
      <w:r>
        <w:rPr>
          <w:rFonts w:hint="eastAsia" w:ascii="宋体" w:hAnsi="宋体" w:cs="宋体"/>
          <w:spacing w:val="20"/>
          <w:sz w:val="24"/>
          <w:u w:val="single"/>
        </w:rPr>
        <w:t xml:space="preserve">          </w:t>
      </w:r>
      <w:r>
        <w:rPr>
          <w:rFonts w:hint="eastAsia" w:ascii="宋体" w:hAnsi="宋体" w:cs="宋体"/>
          <w:spacing w:val="20"/>
          <w:sz w:val="24"/>
        </w:rPr>
        <w:t>工程</w:t>
      </w:r>
      <w:r>
        <w:rPr>
          <w:rFonts w:hint="eastAsia" w:ascii="宋体" w:hAnsi="宋体" w:cs="宋体"/>
          <w:spacing w:val="20"/>
          <w:sz w:val="24"/>
          <w:lang w:val="en-US" w:eastAsia="zh-CN"/>
        </w:rPr>
        <w:t>竞争性磋商</w:t>
      </w:r>
      <w:r>
        <w:rPr>
          <w:rFonts w:hint="eastAsia" w:ascii="宋体" w:hAnsi="宋体" w:cs="宋体"/>
          <w:spacing w:val="20"/>
          <w:sz w:val="24"/>
        </w:rPr>
        <w:t>文件，遵照《中华人民共和国政府采购法》等有关规定，经踏勘项目现场和研究上述竞争性谈判文件的竞标须知、合同条款、工程建设标准及其他有关文件后，我方愿以：</w:t>
      </w:r>
      <w:r>
        <w:rPr>
          <w:rFonts w:hint="eastAsia" w:ascii="宋体" w:hAnsi="宋体" w:cs="宋体"/>
          <w:spacing w:val="20"/>
          <w:sz w:val="24"/>
          <w:u w:val="single"/>
        </w:rPr>
        <w:t>（币种、大写金额、单位）</w:t>
      </w:r>
      <w:r>
        <w:rPr>
          <w:rFonts w:hint="eastAsia" w:ascii="宋体" w:hAnsi="宋体" w:cs="宋体"/>
          <w:spacing w:val="20"/>
          <w:sz w:val="24"/>
        </w:rPr>
        <w:t xml:space="preserve"> </w:t>
      </w:r>
      <w:r>
        <w:rPr>
          <w:rFonts w:hint="eastAsia" w:ascii="宋体" w:hAnsi="宋体" w:cs="宋体"/>
          <w:spacing w:val="20"/>
          <w:sz w:val="24"/>
          <w:u w:val="single"/>
        </w:rPr>
        <w:t>（小写）</w:t>
      </w:r>
      <w:r>
        <w:rPr>
          <w:rFonts w:hint="eastAsia" w:ascii="宋体" w:hAnsi="宋体" w:cs="宋体"/>
          <w:sz w:val="24"/>
        </w:rPr>
        <w:t>竞</w:t>
      </w:r>
      <w:r>
        <w:rPr>
          <w:rFonts w:hint="eastAsia" w:ascii="宋体" w:hAnsi="宋体" w:cs="宋体"/>
          <w:spacing w:val="20"/>
          <w:sz w:val="24"/>
        </w:rPr>
        <w:t>标报价按上述合同条款、工程建设标准和工程量清单的条件要求承包上述工程的施工、竣工，并承担任何质量缺陷责任。</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2、我方已详细审核全部竞争性谈判文件，包括修改文件（如有时）及有关附件。</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3、我方承认</w:t>
      </w:r>
      <w:r>
        <w:rPr>
          <w:rFonts w:hint="eastAsia" w:ascii="宋体" w:hAnsi="宋体" w:cs="宋体"/>
          <w:sz w:val="24"/>
        </w:rPr>
        <w:t>竞</w:t>
      </w:r>
      <w:r>
        <w:rPr>
          <w:rFonts w:hint="eastAsia" w:ascii="宋体" w:hAnsi="宋体" w:cs="宋体"/>
          <w:spacing w:val="20"/>
          <w:sz w:val="24"/>
        </w:rPr>
        <w:t>标函附录是我方</w:t>
      </w:r>
      <w:r>
        <w:rPr>
          <w:rFonts w:hint="eastAsia" w:ascii="宋体" w:hAnsi="宋体" w:cs="宋体"/>
          <w:sz w:val="24"/>
        </w:rPr>
        <w:t>竞</w:t>
      </w:r>
      <w:r>
        <w:rPr>
          <w:rFonts w:hint="eastAsia" w:ascii="宋体" w:hAnsi="宋体" w:cs="宋体"/>
          <w:spacing w:val="20"/>
          <w:sz w:val="24"/>
        </w:rPr>
        <w:t>标函的组成部分。</w:t>
      </w:r>
    </w:p>
    <w:p>
      <w:pPr>
        <w:autoSpaceDE w:val="0"/>
        <w:autoSpaceDN w:val="0"/>
        <w:spacing w:line="300" w:lineRule="auto"/>
        <w:ind w:firstLine="560" w:firstLineChars="200"/>
        <w:rPr>
          <w:rFonts w:ascii="宋体" w:hAnsi="宋体" w:cs="宋体"/>
          <w:spacing w:val="20"/>
          <w:sz w:val="24"/>
        </w:rPr>
      </w:pPr>
      <w:r>
        <w:rPr>
          <w:rFonts w:hint="eastAsia" w:ascii="宋体" w:hAnsi="宋体" w:cs="宋体"/>
          <w:spacing w:val="20"/>
          <w:sz w:val="24"/>
        </w:rPr>
        <w:t>4、一旦我方成交，我方保证按合同协议书中规定</w:t>
      </w:r>
      <w:r>
        <w:rPr>
          <w:rFonts w:hint="eastAsia" w:ascii="宋体" w:hAnsi="宋体" w:cs="宋体"/>
          <w:spacing w:val="20"/>
          <w:sz w:val="24"/>
          <w:u w:val="single"/>
        </w:rPr>
        <w:t xml:space="preserve">    </w:t>
      </w:r>
      <w:r>
        <w:rPr>
          <w:rFonts w:hint="eastAsia" w:ascii="宋体" w:hAnsi="宋体" w:cs="宋体"/>
          <w:spacing w:val="20"/>
          <w:sz w:val="24"/>
        </w:rPr>
        <w:t>日历天内完成并移交全部工程，保证工程质量</w:t>
      </w:r>
      <w:r>
        <w:rPr>
          <w:rFonts w:hint="eastAsia" w:ascii="宋体" w:hAnsi="宋体" w:cs="宋体"/>
          <w:spacing w:val="20"/>
          <w:sz w:val="24"/>
          <w:u w:val="single"/>
        </w:rPr>
        <w:t xml:space="preserve">        </w:t>
      </w:r>
      <w:r>
        <w:rPr>
          <w:rFonts w:hint="eastAsia" w:ascii="宋体" w:hAnsi="宋体" w:cs="宋体"/>
          <w:spacing w:val="20"/>
          <w:sz w:val="24"/>
        </w:rPr>
        <w:t>。</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5、我方同意所提交的</w:t>
      </w:r>
      <w:r>
        <w:rPr>
          <w:rFonts w:hint="eastAsia" w:ascii="宋体" w:hAnsi="宋体" w:cs="宋体"/>
          <w:sz w:val="24"/>
        </w:rPr>
        <w:t>响应文件</w:t>
      </w:r>
      <w:r>
        <w:rPr>
          <w:rFonts w:hint="eastAsia" w:ascii="宋体" w:hAnsi="宋体" w:cs="宋体"/>
          <w:spacing w:val="20"/>
          <w:sz w:val="24"/>
        </w:rPr>
        <w:t>在“</w:t>
      </w:r>
      <w:r>
        <w:rPr>
          <w:rFonts w:hint="eastAsia" w:ascii="宋体" w:hAnsi="宋体" w:cs="宋体"/>
          <w:sz w:val="24"/>
        </w:rPr>
        <w:t>竞</w:t>
      </w:r>
      <w:r>
        <w:rPr>
          <w:rFonts w:hint="eastAsia" w:ascii="宋体" w:hAnsi="宋体" w:cs="宋体"/>
          <w:spacing w:val="20"/>
          <w:sz w:val="24"/>
        </w:rPr>
        <w:t>标申请人</w:t>
      </w:r>
      <w:r>
        <w:rPr>
          <w:rFonts w:hint="eastAsia" w:ascii="宋体" w:hAnsi="宋体" w:cs="宋体"/>
          <w:sz w:val="24"/>
        </w:rPr>
        <w:t>竞</w:t>
      </w:r>
      <w:r>
        <w:rPr>
          <w:rFonts w:hint="eastAsia" w:ascii="宋体" w:hAnsi="宋体" w:cs="宋体"/>
          <w:spacing w:val="20"/>
          <w:sz w:val="24"/>
        </w:rPr>
        <w:t>标须知”第15条规定的</w:t>
      </w:r>
      <w:r>
        <w:rPr>
          <w:rFonts w:hint="eastAsia" w:ascii="宋体" w:hAnsi="宋体" w:cs="宋体"/>
          <w:sz w:val="24"/>
        </w:rPr>
        <w:t>竞</w:t>
      </w:r>
      <w:r>
        <w:rPr>
          <w:rFonts w:hint="eastAsia" w:ascii="宋体" w:hAnsi="宋体" w:cs="宋体"/>
          <w:spacing w:val="20"/>
          <w:sz w:val="24"/>
        </w:rPr>
        <w:t>标有效期内有效，在此期间内如果成交，我方将受此约束。</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6、除非另外达成协议并生效，你方的成交通知书和本</w:t>
      </w:r>
      <w:r>
        <w:rPr>
          <w:rFonts w:hint="eastAsia" w:ascii="宋体" w:hAnsi="宋体" w:cs="宋体"/>
          <w:sz w:val="24"/>
        </w:rPr>
        <w:t>响应文件</w:t>
      </w:r>
      <w:r>
        <w:rPr>
          <w:rFonts w:hint="eastAsia" w:ascii="宋体" w:hAnsi="宋体" w:cs="宋体"/>
          <w:spacing w:val="20"/>
          <w:sz w:val="24"/>
        </w:rPr>
        <w:t>将成为约束双方的合同文件的组成部分。</w:t>
      </w:r>
    </w:p>
    <w:p>
      <w:pPr>
        <w:spacing w:line="300" w:lineRule="auto"/>
        <w:ind w:firstLine="490"/>
        <w:rPr>
          <w:rFonts w:ascii="宋体" w:hAnsi="宋体" w:cs="宋体"/>
          <w:sz w:val="24"/>
        </w:rPr>
      </w:pPr>
      <w:r>
        <w:rPr>
          <w:rFonts w:hint="eastAsia" w:ascii="宋体" w:hAnsi="宋体" w:cs="宋体"/>
          <w:spacing w:val="20"/>
          <w:sz w:val="24"/>
        </w:rPr>
        <w:t>7、我方将与本</w:t>
      </w:r>
      <w:r>
        <w:rPr>
          <w:rFonts w:hint="eastAsia" w:ascii="宋体" w:hAnsi="宋体" w:cs="宋体"/>
          <w:sz w:val="24"/>
        </w:rPr>
        <w:t>竞</w:t>
      </w:r>
      <w:r>
        <w:rPr>
          <w:rFonts w:hint="eastAsia" w:ascii="宋体" w:hAnsi="宋体" w:cs="宋体"/>
          <w:spacing w:val="20"/>
          <w:sz w:val="24"/>
        </w:rPr>
        <w:t>标函一起，提交</w:t>
      </w:r>
      <w:r>
        <w:rPr>
          <w:rFonts w:hint="eastAsia" w:ascii="宋体" w:hAnsi="宋体" w:cs="宋体"/>
          <w:spacing w:val="20"/>
          <w:sz w:val="24"/>
          <w:u w:val="single"/>
        </w:rPr>
        <w:t xml:space="preserve">      </w:t>
      </w:r>
      <w:r>
        <w:rPr>
          <w:rFonts w:hint="eastAsia" w:ascii="宋体" w:hAnsi="宋体" w:cs="宋体"/>
          <w:spacing w:val="20"/>
          <w:sz w:val="24"/>
        </w:rPr>
        <w:t>元人民币作为</w:t>
      </w:r>
      <w:r>
        <w:rPr>
          <w:rFonts w:hint="eastAsia" w:ascii="宋体" w:hAnsi="宋体" w:cs="宋体"/>
          <w:sz w:val="24"/>
        </w:rPr>
        <w:t>竞</w:t>
      </w:r>
      <w:r>
        <w:rPr>
          <w:rFonts w:hint="eastAsia" w:ascii="宋体" w:hAnsi="宋体" w:cs="宋体"/>
          <w:spacing w:val="20"/>
          <w:sz w:val="24"/>
        </w:rPr>
        <w:t>标担保。</w:t>
      </w:r>
    </w:p>
    <w:p>
      <w:pPr>
        <w:spacing w:line="300" w:lineRule="auto"/>
        <w:ind w:firstLine="490"/>
        <w:rPr>
          <w:rFonts w:ascii="宋体" w:hAnsi="宋体" w:cs="宋体"/>
          <w:sz w:val="24"/>
        </w:rPr>
      </w:pPr>
      <w:r>
        <w:rPr>
          <w:rFonts w:hint="eastAsia" w:ascii="宋体" w:hAnsi="宋体" w:cs="宋体"/>
          <w:sz w:val="24"/>
        </w:rPr>
        <w:t xml:space="preserve">                    </w:t>
      </w:r>
    </w:p>
    <w:p>
      <w:pPr>
        <w:spacing w:line="300" w:lineRule="auto"/>
        <w:ind w:left="1000"/>
        <w:rPr>
          <w:rFonts w:ascii="宋体" w:hAnsi="宋体" w:cs="宋体"/>
          <w:sz w:val="24"/>
          <w:u w:val="single"/>
        </w:rPr>
      </w:pPr>
      <w:r>
        <w:rPr>
          <w:rFonts w:hint="eastAsia" w:ascii="宋体" w:hAnsi="宋体" w:cs="宋体"/>
          <w:sz w:val="24"/>
        </w:rPr>
        <w:t xml:space="preserve">         竞 标 人：</w:t>
      </w:r>
      <w:r>
        <w:rPr>
          <w:rFonts w:hint="eastAsia" w:ascii="宋体" w:hAnsi="宋体" w:cs="宋体"/>
          <w:sz w:val="24"/>
          <w:u w:val="single"/>
        </w:rPr>
        <w:t xml:space="preserve">                                     （盖章）   </w:t>
      </w:r>
    </w:p>
    <w:p>
      <w:pPr>
        <w:spacing w:line="300" w:lineRule="auto"/>
        <w:ind w:left="1000"/>
        <w:rPr>
          <w:rFonts w:ascii="宋体" w:hAnsi="宋体" w:cs="宋体"/>
          <w:sz w:val="24"/>
          <w:u w:val="single"/>
        </w:rPr>
      </w:pPr>
      <w:r>
        <w:rPr>
          <w:rFonts w:hint="eastAsia" w:ascii="宋体" w:hAnsi="宋体" w:cs="宋体"/>
          <w:sz w:val="24"/>
        </w:rPr>
        <w:t xml:space="preserve">         单位地址：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00" w:lineRule="auto"/>
        <w:ind w:left="1000"/>
        <w:rPr>
          <w:rFonts w:ascii="宋体" w:hAnsi="宋体" w:cs="宋体"/>
          <w:sz w:val="24"/>
          <w:u w:val="single"/>
        </w:rPr>
      </w:pPr>
      <w:r>
        <w:rPr>
          <w:rFonts w:hint="eastAsia" w:ascii="宋体" w:hAnsi="宋体" w:cs="宋体"/>
          <w:sz w:val="24"/>
        </w:rPr>
        <w:t xml:space="preserve">         法定代表人或其委托代理人：</w:t>
      </w:r>
      <w:r>
        <w:rPr>
          <w:rFonts w:hint="eastAsia" w:ascii="宋体" w:hAnsi="宋体" w:cs="宋体"/>
          <w:sz w:val="24"/>
          <w:u w:val="single"/>
        </w:rPr>
        <w:t xml:space="preserve">              （签名）</w:t>
      </w:r>
    </w:p>
    <w:p>
      <w:pPr>
        <w:spacing w:line="300" w:lineRule="auto"/>
        <w:ind w:left="1000"/>
        <w:rPr>
          <w:rFonts w:ascii="宋体" w:hAnsi="宋体" w:cs="宋体"/>
          <w:sz w:val="24"/>
        </w:rPr>
      </w:pPr>
      <w:r>
        <w:rPr>
          <w:rFonts w:hint="eastAsia" w:ascii="宋体" w:hAnsi="宋体" w:cs="宋体"/>
          <w:sz w:val="24"/>
        </w:rPr>
        <w:t xml:space="preserve">         邮政编码：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 传真：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left="1000"/>
        <w:rPr>
          <w:rFonts w:ascii="宋体" w:hAnsi="宋体" w:cs="宋体"/>
          <w:sz w:val="24"/>
        </w:rPr>
      </w:pPr>
      <w:r>
        <w:rPr>
          <w:rFonts w:hint="eastAsia" w:ascii="宋体" w:hAnsi="宋体" w:cs="宋体"/>
          <w:sz w:val="24"/>
        </w:rPr>
        <w:t xml:space="preserve">         开户银行名称：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left="1000"/>
        <w:rPr>
          <w:rFonts w:ascii="宋体" w:hAnsi="宋体" w:cs="宋体"/>
          <w:sz w:val="24"/>
        </w:rPr>
      </w:pPr>
      <w:r>
        <w:rPr>
          <w:rFonts w:hint="eastAsia" w:ascii="宋体" w:hAnsi="宋体" w:cs="宋体"/>
          <w:sz w:val="24"/>
        </w:rPr>
        <w:t xml:space="preserve">         开户银行账号：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left="1000"/>
        <w:rPr>
          <w:rFonts w:ascii="宋体" w:hAnsi="宋体" w:cs="宋体"/>
          <w:sz w:val="24"/>
        </w:rPr>
      </w:pPr>
      <w:r>
        <w:rPr>
          <w:rFonts w:hint="eastAsia" w:ascii="宋体" w:hAnsi="宋体" w:cs="宋体"/>
          <w:sz w:val="24"/>
        </w:rPr>
        <w:t xml:space="preserve">         开户银行地址：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left="1000"/>
        <w:rPr>
          <w:rFonts w:ascii="宋体" w:hAnsi="宋体" w:cs="宋体"/>
          <w:sz w:val="24"/>
        </w:rPr>
      </w:pPr>
      <w:r>
        <w:rPr>
          <w:rFonts w:hint="eastAsia" w:ascii="宋体" w:hAnsi="宋体" w:cs="宋体"/>
          <w:sz w:val="24"/>
        </w:rPr>
        <w:t xml:space="preserve">         开户银行电话：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pPr>
        <w:spacing w:line="300" w:lineRule="auto"/>
        <w:ind w:firstLine="6240" w:firstLineChars="2600"/>
        <w:rPr>
          <w:rFonts w:ascii="宋体" w:hAnsi="宋体" w:cs="宋体"/>
          <w:sz w:val="24"/>
        </w:rPr>
      </w:pPr>
    </w:p>
    <w:p>
      <w:pPr>
        <w:spacing w:line="300" w:lineRule="auto"/>
        <w:ind w:firstLine="5040" w:firstLineChars="2100"/>
        <w:rPr>
          <w:rFonts w:ascii="宋体" w:hAnsi="宋体" w:cs="宋体"/>
          <w:sz w:val="24"/>
        </w:rPr>
      </w:pPr>
      <w:r>
        <w:rPr>
          <w:rFonts w:hint="eastAsia" w:ascii="宋体" w:hAnsi="宋体" w:cs="宋体"/>
          <w:sz w:val="24"/>
        </w:rPr>
        <w:t>日期：_____年____月____日</w:t>
      </w:r>
    </w:p>
    <w:p>
      <w:pPr>
        <w:spacing w:line="300" w:lineRule="auto"/>
        <w:ind w:left="5292" w:leftChars="2520" w:firstLine="960" w:firstLineChars="400"/>
        <w:rPr>
          <w:rFonts w:ascii="宋体" w:hAnsi="宋体" w:cs="宋体"/>
          <w:sz w:val="24"/>
        </w:rPr>
      </w:pPr>
    </w:p>
    <w:p>
      <w:pPr>
        <w:spacing w:line="300" w:lineRule="auto"/>
        <w:ind w:left="5292" w:leftChars="2520" w:firstLine="960" w:firstLineChars="400"/>
        <w:rPr>
          <w:rFonts w:ascii="宋体" w:hAnsi="宋体" w:cs="宋体"/>
          <w:sz w:val="24"/>
        </w:rPr>
      </w:pPr>
    </w:p>
    <w:p>
      <w:pPr>
        <w:spacing w:line="300" w:lineRule="auto"/>
        <w:ind w:left="5292" w:leftChars="2520" w:firstLine="960" w:firstLineChars="400"/>
        <w:rPr>
          <w:rFonts w:ascii="宋体" w:hAnsi="宋体" w:cs="宋体"/>
          <w:sz w:val="24"/>
        </w:rPr>
      </w:pPr>
    </w:p>
    <w:p>
      <w:pPr>
        <w:spacing w:line="300" w:lineRule="auto"/>
        <w:ind w:left="5292" w:leftChars="2520" w:firstLine="840" w:firstLineChars="400"/>
        <w:rPr>
          <w:rFonts w:ascii="宋体" w:hAnsi="宋体" w:cs="宋体"/>
        </w:rPr>
      </w:pPr>
    </w:p>
    <w:p>
      <w:pPr>
        <w:pStyle w:val="3"/>
        <w:spacing w:line="300" w:lineRule="auto"/>
        <w:rPr>
          <w:rFonts w:ascii="宋体" w:hAnsi="宋体" w:eastAsia="宋体" w:cs="宋体"/>
          <w:bCs w:val="0"/>
        </w:rPr>
      </w:pPr>
      <w:bookmarkStart w:id="718" w:name="_Toc384891878"/>
      <w:bookmarkStart w:id="719" w:name="_Toc384892081"/>
      <w:bookmarkStart w:id="720" w:name="_Toc24794"/>
      <w:bookmarkStart w:id="721" w:name="_Toc288490525"/>
      <w:bookmarkStart w:id="722" w:name="_Toc81461360"/>
      <w:r>
        <w:rPr>
          <w:rFonts w:hint="eastAsia" w:ascii="宋体" w:hAnsi="宋体" w:eastAsia="宋体" w:cs="宋体"/>
          <w:bCs w:val="0"/>
        </w:rPr>
        <w:t>二、</w:t>
      </w:r>
      <w:r>
        <w:rPr>
          <w:rFonts w:hint="eastAsia" w:ascii="宋体" w:hAnsi="宋体" w:eastAsia="宋体" w:cs="宋体"/>
          <w:bCs w:val="0"/>
          <w:szCs w:val="21"/>
        </w:rPr>
        <w:t>竞</w:t>
      </w:r>
      <w:r>
        <w:rPr>
          <w:rFonts w:hint="eastAsia" w:ascii="宋体" w:hAnsi="宋体" w:eastAsia="宋体" w:cs="宋体"/>
          <w:bCs w:val="0"/>
        </w:rPr>
        <w:t>标响应表</w:t>
      </w:r>
      <w:bookmarkEnd w:id="718"/>
      <w:bookmarkEnd w:id="719"/>
      <w:bookmarkEnd w:id="720"/>
      <w:bookmarkEnd w:id="721"/>
      <w:bookmarkEnd w:id="722"/>
    </w:p>
    <w:p>
      <w:pPr>
        <w:spacing w:line="300" w:lineRule="auto"/>
        <w:rPr>
          <w:rFonts w:ascii="宋体" w:hAnsi="宋体" w:cs="宋体"/>
          <w:sz w:val="24"/>
        </w:rPr>
      </w:pPr>
      <w:r>
        <w:rPr>
          <w:rFonts w:hint="eastAsia" w:ascii="宋体" w:hAnsi="宋体" w:cs="宋体"/>
          <w:sz w:val="24"/>
        </w:rPr>
        <w:t>（对竞争性谈判文件有关工期、竞标有效期、质量要求、技术标准和要求、竞标范围等实质性内容作出响应，格式自行拟定）。</w:t>
      </w: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pStyle w:val="3"/>
        <w:spacing w:line="300" w:lineRule="auto"/>
        <w:rPr>
          <w:rFonts w:ascii="宋体" w:hAnsi="宋体" w:eastAsia="宋体" w:cs="宋体"/>
          <w:bCs w:val="0"/>
        </w:rPr>
      </w:pPr>
      <w:bookmarkStart w:id="723" w:name="_Toc31934"/>
      <w:bookmarkStart w:id="724" w:name="_Toc384892082"/>
      <w:bookmarkStart w:id="725" w:name="_Toc384891879"/>
      <w:bookmarkStart w:id="726" w:name="_Toc288490526"/>
      <w:r>
        <w:rPr>
          <w:rFonts w:hint="eastAsia" w:ascii="宋体" w:hAnsi="宋体" w:eastAsia="宋体" w:cs="宋体"/>
          <w:bCs w:val="0"/>
        </w:rPr>
        <w:t>三、已标价工程量清单</w:t>
      </w:r>
      <w:bookmarkEnd w:id="723"/>
    </w:p>
    <w:p>
      <w:pPr>
        <w:pStyle w:val="176"/>
        <w:jc w:val="center"/>
        <w:rPr>
          <w:rFonts w:ascii="宋体" w:hAnsi="宋体" w:cs="宋体"/>
          <w:sz w:val="28"/>
          <w:szCs w:val="28"/>
        </w:rPr>
      </w:pPr>
    </w:p>
    <w:p>
      <w:pPr>
        <w:spacing w:line="460" w:lineRule="exact"/>
        <w:ind w:firstLine="480" w:firstLineChars="200"/>
        <w:rPr>
          <w:rFonts w:ascii="宋体" w:hAnsi="宋体" w:cs="宋体"/>
          <w:sz w:val="24"/>
        </w:rPr>
      </w:pPr>
      <w:r>
        <w:rPr>
          <w:rFonts w:hint="eastAsia" w:ascii="宋体" w:hAnsi="宋体" w:cs="宋体"/>
          <w:sz w:val="24"/>
        </w:rPr>
        <w:t>1、说明：已标价工程量清单按规范中的“工程量清单”中的相关清单表格式填写。构成合同文件的已标价工程量清单包括规范中的“工程量清单”有关工程量清单、竞标报价以及其他说明的内容。</w:t>
      </w:r>
    </w:p>
    <w:bookmarkEnd w:id="724"/>
    <w:bookmarkEnd w:id="725"/>
    <w:bookmarkEnd w:id="726"/>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spacing w:line="300" w:lineRule="auto"/>
        <w:jc w:val="center"/>
        <w:rPr>
          <w:rFonts w:ascii="宋体" w:hAnsi="宋体" w:cs="宋体"/>
          <w:spacing w:val="20"/>
          <w:sz w:val="24"/>
        </w:rPr>
      </w:pPr>
    </w:p>
    <w:p>
      <w:pPr>
        <w:spacing w:line="300" w:lineRule="auto"/>
        <w:jc w:val="center"/>
        <w:rPr>
          <w:rFonts w:ascii="宋体" w:hAnsi="宋体" w:cs="宋体"/>
          <w:spacing w:val="20"/>
          <w:sz w:val="24"/>
        </w:rPr>
      </w:pPr>
    </w:p>
    <w:p>
      <w:pPr>
        <w:spacing w:line="300" w:lineRule="auto"/>
        <w:jc w:val="center"/>
        <w:rPr>
          <w:rFonts w:ascii="宋体" w:hAnsi="宋体" w:cs="宋体"/>
          <w:spacing w:val="20"/>
          <w:sz w:val="24"/>
        </w:rPr>
      </w:pPr>
      <w:r>
        <w:rPr>
          <w:rFonts w:hint="eastAsia" w:ascii="宋体" w:hAnsi="宋体" w:cs="宋体"/>
          <w:spacing w:val="20"/>
          <w:sz w:val="24"/>
        </w:rPr>
        <w:t>封面格式</w:t>
      </w: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jc w:val="center"/>
        <w:rPr>
          <w:rFonts w:ascii="宋体" w:hAnsi="宋体" w:cs="宋体"/>
          <w:sz w:val="36"/>
          <w:szCs w:val="72"/>
          <w:u w:val="single"/>
        </w:rPr>
      </w:pPr>
      <w:r>
        <w:rPr>
          <w:rFonts w:hint="eastAsia" w:ascii="宋体" w:hAnsi="宋体" w:cs="宋体"/>
          <w:sz w:val="36"/>
          <w:szCs w:val="72"/>
          <w:u w:val="single"/>
        </w:rPr>
        <w:t xml:space="preserve">                                    工程</w:t>
      </w:r>
    </w:p>
    <w:p>
      <w:pPr>
        <w:spacing w:line="300" w:lineRule="auto"/>
        <w:jc w:val="center"/>
        <w:rPr>
          <w:rFonts w:ascii="宋体" w:hAnsi="宋体" w:cs="宋体"/>
          <w:sz w:val="44"/>
        </w:rPr>
      </w:pPr>
    </w:p>
    <w:p>
      <w:pPr>
        <w:spacing w:line="300" w:lineRule="auto"/>
        <w:jc w:val="center"/>
        <w:rPr>
          <w:rFonts w:ascii="宋体" w:hAnsi="宋体" w:cs="宋体"/>
          <w:sz w:val="72"/>
        </w:rPr>
      </w:pPr>
    </w:p>
    <w:p>
      <w:pPr>
        <w:spacing w:line="300" w:lineRule="auto"/>
        <w:jc w:val="center"/>
        <w:rPr>
          <w:rFonts w:ascii="宋体" w:hAnsi="宋体" w:cs="宋体"/>
          <w:sz w:val="44"/>
        </w:rPr>
      </w:pPr>
      <w:r>
        <w:rPr>
          <w:rFonts w:hint="eastAsia" w:ascii="宋体" w:hAnsi="宋体" w:cs="宋体"/>
          <w:sz w:val="72"/>
        </w:rPr>
        <w:t>响应文件</w:t>
      </w:r>
    </w:p>
    <w:p>
      <w:pPr>
        <w:spacing w:line="300" w:lineRule="auto"/>
        <w:jc w:val="center"/>
        <w:rPr>
          <w:rFonts w:ascii="宋体" w:hAnsi="宋体" w:cs="宋体"/>
          <w:sz w:val="28"/>
        </w:rPr>
      </w:pPr>
    </w:p>
    <w:p>
      <w:pPr>
        <w:spacing w:line="300" w:lineRule="auto"/>
        <w:jc w:val="center"/>
        <w:rPr>
          <w:rFonts w:ascii="宋体" w:hAnsi="宋体" w:cs="宋体"/>
          <w:sz w:val="28"/>
        </w:rPr>
      </w:pPr>
      <w:r>
        <w:rPr>
          <w:rFonts w:hint="eastAsia" w:ascii="宋体" w:hAnsi="宋体" w:cs="宋体"/>
          <w:sz w:val="28"/>
        </w:rPr>
        <w:t>（技术标   本）</w:t>
      </w:r>
    </w:p>
    <w:p>
      <w:pPr>
        <w:spacing w:line="300" w:lineRule="auto"/>
        <w:jc w:val="center"/>
        <w:rPr>
          <w:rFonts w:ascii="宋体" w:hAnsi="宋体" w:cs="宋体"/>
        </w:rPr>
      </w:pPr>
    </w:p>
    <w:p>
      <w:pPr>
        <w:spacing w:line="300" w:lineRule="auto"/>
        <w:jc w:val="center"/>
        <w:rPr>
          <w:rFonts w:ascii="宋体" w:hAnsi="宋体" w:cs="宋体"/>
        </w:rPr>
      </w:pPr>
    </w:p>
    <w:p>
      <w:pPr>
        <w:spacing w:line="300" w:lineRule="auto"/>
        <w:ind w:firstLine="2160" w:firstLineChars="600"/>
        <w:rPr>
          <w:rFonts w:ascii="宋体" w:hAnsi="宋体" w:cs="宋体"/>
          <w:spacing w:val="20"/>
          <w:sz w:val="32"/>
        </w:rPr>
      </w:pPr>
      <w:r>
        <w:rPr>
          <w:rFonts w:hint="eastAsia" w:ascii="宋体" w:hAnsi="宋体" w:cs="宋体"/>
          <w:spacing w:val="20"/>
          <w:sz w:val="32"/>
        </w:rPr>
        <w:t>项目编号：</w:t>
      </w:r>
      <w:r>
        <w:rPr>
          <w:rFonts w:hint="eastAsia" w:ascii="宋体" w:hAnsi="宋体" w:cs="宋体"/>
          <w:spacing w:val="20"/>
          <w:sz w:val="32"/>
          <w:u w:val="single"/>
        </w:rPr>
        <w:t xml:space="preserve">               </w:t>
      </w:r>
      <w:r>
        <w:rPr>
          <w:rFonts w:hint="eastAsia" w:ascii="宋体" w:hAnsi="宋体" w:cs="宋体"/>
          <w:spacing w:val="20"/>
          <w:sz w:val="32"/>
        </w:rPr>
        <w:t xml:space="preserve">    </w:t>
      </w: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napToGrid w:val="0"/>
        <w:spacing w:line="300" w:lineRule="auto"/>
        <w:rPr>
          <w:rFonts w:ascii="宋体" w:hAnsi="宋体" w:cs="宋体"/>
          <w:sz w:val="30"/>
        </w:rPr>
      </w:pPr>
      <w:r>
        <w:rPr>
          <w:rFonts w:hint="eastAsia" w:ascii="宋体" w:hAnsi="宋体" w:cs="宋体"/>
          <w:sz w:val="30"/>
        </w:rPr>
        <w:t>供应商：</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ab/>
      </w:r>
      <w:r>
        <w:rPr>
          <w:rFonts w:hint="eastAsia" w:ascii="宋体" w:hAnsi="宋体" w:cs="宋体"/>
          <w:sz w:val="30"/>
          <w:u w:val="single"/>
        </w:rPr>
        <w:t xml:space="preserve">                 （盖章）</w:t>
      </w:r>
    </w:p>
    <w:p>
      <w:pPr>
        <w:snapToGrid w:val="0"/>
        <w:spacing w:line="300" w:lineRule="auto"/>
        <w:rPr>
          <w:rFonts w:ascii="宋体" w:hAnsi="宋体" w:cs="宋体"/>
          <w:sz w:val="30"/>
        </w:rPr>
      </w:pPr>
      <w:r>
        <w:rPr>
          <w:rFonts w:hint="eastAsia" w:ascii="宋体" w:hAnsi="宋体" w:cs="宋体"/>
          <w:sz w:val="30"/>
        </w:rPr>
        <w:t>法 定 代 表 人</w:t>
      </w:r>
    </w:p>
    <w:p>
      <w:pPr>
        <w:snapToGrid w:val="0"/>
        <w:spacing w:line="300" w:lineRule="auto"/>
        <w:rPr>
          <w:rFonts w:ascii="宋体" w:hAnsi="宋体" w:cs="宋体"/>
          <w:sz w:val="30"/>
        </w:rPr>
      </w:pPr>
      <w:r>
        <w:rPr>
          <w:rFonts w:hint="eastAsia" w:ascii="宋体" w:hAnsi="宋体" w:cs="宋体"/>
          <w:sz w:val="30"/>
        </w:rPr>
        <w:t>或其委托代理人：</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 xml:space="preserve">          （签名）</w:t>
      </w:r>
    </w:p>
    <w:p>
      <w:pPr>
        <w:pStyle w:val="23"/>
        <w:spacing w:line="380" w:lineRule="exact"/>
        <w:jc w:val="center"/>
        <w:rPr>
          <w:rFonts w:hAnsi="宋体" w:cs="宋体"/>
          <w:sz w:val="30"/>
        </w:rPr>
      </w:pPr>
    </w:p>
    <w:p>
      <w:pPr>
        <w:pStyle w:val="23"/>
        <w:spacing w:line="380" w:lineRule="exact"/>
        <w:jc w:val="center"/>
        <w:rPr>
          <w:rFonts w:hAnsi="宋体" w:cs="宋体"/>
          <w:szCs w:val="21"/>
        </w:rPr>
      </w:pPr>
      <w:r>
        <w:rPr>
          <w:rFonts w:hint="eastAsia" w:hAnsi="宋体" w:cs="宋体"/>
          <w:sz w:val="30"/>
        </w:rPr>
        <w:t>日  期：</w:t>
      </w:r>
      <w:r>
        <w:rPr>
          <w:rFonts w:hint="eastAsia" w:hAnsi="宋体" w:cs="宋体"/>
          <w:sz w:val="30"/>
          <w:u w:val="single"/>
        </w:rPr>
        <w:t xml:space="preserve">      </w:t>
      </w:r>
      <w:r>
        <w:rPr>
          <w:rFonts w:hint="eastAsia" w:hAnsi="宋体" w:cs="宋体"/>
          <w:sz w:val="30"/>
        </w:rPr>
        <w:t xml:space="preserve"> 年</w:t>
      </w:r>
      <w:r>
        <w:rPr>
          <w:rFonts w:hint="eastAsia" w:hAnsi="宋体" w:cs="宋体"/>
          <w:sz w:val="30"/>
          <w:u w:val="single"/>
        </w:rPr>
        <w:t xml:space="preserve">     </w:t>
      </w:r>
      <w:r>
        <w:rPr>
          <w:rFonts w:hint="eastAsia" w:hAnsi="宋体" w:cs="宋体"/>
          <w:sz w:val="30"/>
        </w:rPr>
        <w:t xml:space="preserve"> 月</w:t>
      </w:r>
      <w:r>
        <w:rPr>
          <w:rFonts w:hint="eastAsia" w:hAnsi="宋体" w:cs="宋体"/>
          <w:sz w:val="30"/>
          <w:u w:val="single"/>
        </w:rPr>
        <w:t xml:space="preserve">     </w:t>
      </w:r>
      <w:r>
        <w:rPr>
          <w:rFonts w:hint="eastAsia" w:hAnsi="宋体" w:cs="宋体"/>
          <w:sz w:val="30"/>
        </w:rPr>
        <w:t>日</w:t>
      </w: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4"/>
        <w:spacing w:line="300" w:lineRule="auto"/>
        <w:rPr>
          <w:rFonts w:hint="default" w:ascii="宋体" w:eastAsia="宋体" w:cs="宋体"/>
          <w:bCs w:val="0"/>
          <w:sz w:val="36"/>
        </w:rPr>
      </w:pPr>
      <w:bookmarkStart w:id="727" w:name="_Toc59820880"/>
      <w:bookmarkStart w:id="728" w:name="_Toc384891881"/>
      <w:bookmarkStart w:id="729" w:name="_Toc73471045"/>
      <w:bookmarkStart w:id="730" w:name="_Toc384892084"/>
      <w:bookmarkStart w:id="731" w:name="_Toc81461366"/>
      <w:bookmarkStart w:id="732" w:name="_Toc11991"/>
      <w:r>
        <w:rPr>
          <w:rFonts w:ascii="宋体" w:eastAsia="宋体" w:cs="宋体"/>
          <w:bCs w:val="0"/>
          <w:sz w:val="36"/>
        </w:rPr>
        <w:t>目     录</w:t>
      </w:r>
      <w:bookmarkEnd w:id="727"/>
      <w:bookmarkEnd w:id="728"/>
      <w:bookmarkEnd w:id="729"/>
      <w:bookmarkEnd w:id="730"/>
      <w:bookmarkEnd w:id="731"/>
      <w:bookmarkEnd w:id="732"/>
    </w:p>
    <w:p>
      <w:pPr>
        <w:tabs>
          <w:tab w:val="left" w:pos="0"/>
        </w:tabs>
        <w:spacing w:line="300" w:lineRule="auto"/>
        <w:ind w:right="-212"/>
        <w:jc w:val="center"/>
        <w:rPr>
          <w:rFonts w:ascii="宋体" w:hAnsi="宋体" w:cs="宋体"/>
        </w:rPr>
      </w:pPr>
    </w:p>
    <w:p>
      <w:pPr>
        <w:spacing w:line="300" w:lineRule="auto"/>
        <w:ind w:right="-210"/>
        <w:rPr>
          <w:rFonts w:ascii="宋体" w:hAnsi="宋体" w:cs="宋体"/>
          <w:sz w:val="24"/>
        </w:rPr>
      </w:pPr>
      <w:r>
        <w:rPr>
          <w:rFonts w:hint="eastAsia" w:ascii="宋体" w:hAnsi="宋体" w:cs="宋体"/>
          <w:sz w:val="24"/>
        </w:rPr>
        <w:t xml:space="preserve">    一、施工组织设计</w:t>
      </w:r>
    </w:p>
    <w:p>
      <w:pPr>
        <w:spacing w:line="300" w:lineRule="auto"/>
        <w:ind w:right="-210" w:firstLine="480"/>
        <w:rPr>
          <w:rFonts w:ascii="宋体" w:hAnsi="宋体" w:cs="宋体"/>
          <w:sz w:val="24"/>
        </w:rPr>
      </w:pPr>
      <w:r>
        <w:rPr>
          <w:rFonts w:hint="eastAsia" w:ascii="宋体" w:hAnsi="宋体" w:cs="宋体"/>
          <w:sz w:val="24"/>
        </w:rPr>
        <w:t>二、项目管理机构配备</w:t>
      </w:r>
    </w:p>
    <w:p>
      <w:pPr>
        <w:pStyle w:val="23"/>
        <w:spacing w:line="380" w:lineRule="exact"/>
        <w:ind w:firstLine="240" w:firstLineChars="100"/>
        <w:rPr>
          <w:rFonts w:hAnsi="宋体" w:cs="宋体"/>
          <w:sz w:val="24"/>
          <w:szCs w:val="24"/>
        </w:rPr>
      </w:pPr>
      <w:r>
        <w:rPr>
          <w:rFonts w:hint="eastAsia" w:hAnsi="宋体" w:cs="宋体"/>
          <w:sz w:val="24"/>
          <w:szCs w:val="24"/>
        </w:rPr>
        <w:t>（三）、（四）、（五）表及施工组织设计。</w:t>
      </w: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12"/>
        <w:ind w:left="2940"/>
      </w:pPr>
    </w:p>
    <w:p>
      <w:pPr>
        <w:pStyle w:val="3"/>
        <w:spacing w:line="300" w:lineRule="auto"/>
        <w:rPr>
          <w:rFonts w:ascii="宋体" w:hAnsi="宋体" w:eastAsia="宋体" w:cs="宋体"/>
          <w:b/>
        </w:rPr>
      </w:pPr>
      <w:bookmarkStart w:id="733" w:name="_Toc288490529"/>
      <w:bookmarkStart w:id="734" w:name="_Toc8624"/>
      <w:bookmarkStart w:id="735" w:name="_Toc81461367"/>
      <w:bookmarkStart w:id="736" w:name="_Toc384892085"/>
      <w:bookmarkStart w:id="737" w:name="_Toc384891882"/>
      <w:r>
        <w:rPr>
          <w:rFonts w:hint="eastAsia" w:ascii="宋体" w:hAnsi="宋体" w:eastAsia="宋体" w:cs="宋体"/>
          <w:b/>
        </w:rPr>
        <w:t>一、 施工组织设计</w:t>
      </w:r>
      <w:bookmarkEnd w:id="733"/>
      <w:bookmarkEnd w:id="734"/>
      <w:bookmarkEnd w:id="735"/>
      <w:bookmarkEnd w:id="736"/>
      <w:bookmarkEnd w:id="737"/>
    </w:p>
    <w:p>
      <w:pPr>
        <w:autoSpaceDE w:val="0"/>
        <w:autoSpaceDN w:val="0"/>
        <w:spacing w:line="300" w:lineRule="auto"/>
        <w:rPr>
          <w:rFonts w:ascii="宋体" w:hAnsi="宋体" w:cs="宋体"/>
          <w:spacing w:val="20"/>
          <w:sz w:val="24"/>
        </w:rPr>
      </w:pPr>
    </w:p>
    <w:p>
      <w:pPr>
        <w:autoSpaceDE w:val="0"/>
        <w:autoSpaceDN w:val="0"/>
        <w:spacing w:line="300" w:lineRule="auto"/>
        <w:ind w:firstLine="480" w:firstLineChars="200"/>
        <w:rPr>
          <w:rFonts w:ascii="宋体" w:hAnsi="宋体" w:cs="宋体"/>
          <w:spacing w:val="20"/>
          <w:sz w:val="24"/>
        </w:rPr>
      </w:pPr>
      <w:r>
        <w:rPr>
          <w:rFonts w:hint="eastAsia" w:ascii="宋体" w:hAnsi="宋体" w:cs="宋体"/>
          <w:sz w:val="24"/>
        </w:rPr>
        <w:t>供应商</w:t>
      </w:r>
      <w:r>
        <w:rPr>
          <w:rFonts w:hint="eastAsia" w:ascii="宋体" w:hAnsi="宋体" w:cs="宋体"/>
          <w:spacing w:val="20"/>
          <w:sz w:val="24"/>
        </w:rPr>
        <w:t>应编制完整的施工组织设计，说明各分部分项工程的施工方法和布置，编制具体要求是：编制时应采用文字并结合图表形式说明各分部分项工程的施工方法；结合采购工程特点提出切实可行的工程质量、安全生产、文明施工、工程进度、技术组织措施，同时应对关键工序、复杂环节重点提出相应技术措施，如雨季施工技术措施，减少扰民噪音、降低环境污染技术措施、地下管线及其他地上地下设施的保护加固措施等。</w:t>
      </w:r>
    </w:p>
    <w:p>
      <w:pPr>
        <w:autoSpaceDE w:val="0"/>
        <w:autoSpaceDN w:val="0"/>
        <w:spacing w:line="300" w:lineRule="auto"/>
        <w:ind w:firstLine="560" w:firstLineChars="200"/>
        <w:rPr>
          <w:rFonts w:ascii="宋体" w:hAnsi="宋体" w:cs="宋体"/>
          <w:spacing w:val="20"/>
          <w:sz w:val="24"/>
        </w:rPr>
      </w:pPr>
      <w:r>
        <w:rPr>
          <w:rFonts w:hint="eastAsia" w:ascii="宋体" w:hAnsi="宋体" w:cs="宋体"/>
          <w:spacing w:val="20"/>
          <w:sz w:val="24"/>
        </w:rPr>
        <w:t>施工组织设计除采用文字表述外应附下列图表：</w:t>
      </w:r>
    </w:p>
    <w:p>
      <w:pPr>
        <w:autoSpaceDE w:val="0"/>
        <w:autoSpaceDN w:val="0"/>
        <w:spacing w:line="300" w:lineRule="auto"/>
        <w:ind w:firstLine="560" w:firstLineChars="200"/>
        <w:rPr>
          <w:rFonts w:ascii="宋体" w:hAnsi="宋体" w:cs="宋体"/>
          <w:spacing w:val="20"/>
          <w:sz w:val="24"/>
        </w:rPr>
      </w:pPr>
      <w:r>
        <w:rPr>
          <w:rFonts w:hint="eastAsia" w:ascii="宋体" w:hAnsi="宋体" w:cs="宋体"/>
          <w:spacing w:val="20"/>
          <w:sz w:val="24"/>
        </w:rPr>
        <w:t>1、拟投入的主要施工机械设备表</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2、劳动力计划表；</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3、计划开、竣工日期和施工进度网络图；</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4、施工总平面图；</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5、临时用地表；</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6、保证安全、文明施工的措施。</w:t>
      </w:r>
    </w:p>
    <w:p>
      <w:pPr>
        <w:autoSpaceDE w:val="0"/>
        <w:autoSpaceDN w:val="0"/>
        <w:spacing w:line="300" w:lineRule="auto"/>
        <w:ind w:firstLine="560" w:firstLineChars="200"/>
        <w:rPr>
          <w:rFonts w:ascii="宋体" w:hAnsi="宋体" w:cs="宋体"/>
          <w:spacing w:val="20"/>
          <w:sz w:val="24"/>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spacing w:line="300" w:lineRule="auto"/>
        <w:rPr>
          <w:rFonts w:ascii="宋体" w:hAnsi="宋体" w:cs="宋体"/>
        </w:rPr>
      </w:pPr>
    </w:p>
    <w:p>
      <w:pPr>
        <w:pStyle w:val="5"/>
        <w:spacing w:line="300" w:lineRule="auto"/>
        <w:jc w:val="center"/>
        <w:rPr>
          <w:rFonts w:ascii="宋体" w:hAnsi="宋体" w:cs="宋体"/>
          <w:b w:val="0"/>
          <w:bCs w:val="0"/>
        </w:rPr>
      </w:pPr>
      <w:bookmarkStart w:id="738" w:name="_Toc384892086"/>
      <w:bookmarkStart w:id="739" w:name="_Toc384891883"/>
      <w:bookmarkStart w:id="740" w:name="_Toc59820882"/>
      <w:bookmarkStart w:id="741" w:name="_Toc288490530"/>
      <w:r>
        <w:rPr>
          <w:rFonts w:hint="eastAsia" w:ascii="宋体" w:hAnsi="宋体" w:cs="宋体"/>
          <w:b w:val="0"/>
          <w:bCs w:val="0"/>
        </w:rPr>
        <w:t>（1）拟投入的主要施工机械设备表</w:t>
      </w:r>
      <w:bookmarkEnd w:id="738"/>
      <w:bookmarkEnd w:id="739"/>
      <w:bookmarkEnd w:id="740"/>
      <w:bookmarkEnd w:id="741"/>
    </w:p>
    <w:p>
      <w:pPr>
        <w:spacing w:line="300" w:lineRule="auto"/>
        <w:rPr>
          <w:rFonts w:ascii="宋体" w:hAnsi="宋体" w:cs="宋体"/>
        </w:rPr>
      </w:pPr>
    </w:p>
    <w:p>
      <w:pPr>
        <w:tabs>
          <w:tab w:val="left" w:pos="0"/>
        </w:tabs>
        <w:spacing w:after="120" w:line="300" w:lineRule="auto"/>
        <w:ind w:right="153"/>
        <w:rPr>
          <w:rFonts w:ascii="宋体" w:hAnsi="宋体" w:cs="宋体"/>
          <w:sz w:val="36"/>
        </w:rPr>
      </w:pPr>
      <w:r>
        <w:rPr>
          <w:rFonts w:hint="eastAsia" w:ascii="宋体" w:hAnsi="宋体" w:cs="宋体"/>
          <w:sz w:val="24"/>
          <w:u w:val="single"/>
        </w:rPr>
        <w:t xml:space="preserve">     （采购项目名称）       </w:t>
      </w:r>
      <w:r>
        <w:rPr>
          <w:rFonts w:hint="eastAsia" w:ascii="宋体" w:hAnsi="宋体" w:cs="宋体"/>
          <w:sz w:val="24"/>
        </w:rPr>
        <w:t xml:space="preserve">                                        </w:t>
      </w:r>
      <w:r>
        <w:rPr>
          <w:rFonts w:hint="eastAsia" w:ascii="宋体" w:hAnsi="宋体" w:cs="宋体"/>
        </w:rPr>
        <w:t>表9.1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00" w:lineRule="auto"/>
              <w:jc w:val="center"/>
              <w:rPr>
                <w:rFonts w:ascii="宋体" w:hAnsi="宋体" w:cs="宋体"/>
              </w:rPr>
            </w:pPr>
            <w:r>
              <w:rPr>
                <w:rFonts w:hint="eastAsia" w:ascii="宋体" w:hAnsi="宋体" w:cs="宋体"/>
              </w:rPr>
              <w:t>序号</w:t>
            </w:r>
          </w:p>
        </w:tc>
        <w:tc>
          <w:tcPr>
            <w:tcW w:w="1500" w:type="dxa"/>
            <w:vAlign w:val="center"/>
          </w:tcPr>
          <w:p>
            <w:pPr>
              <w:spacing w:line="300" w:lineRule="auto"/>
              <w:jc w:val="center"/>
              <w:rPr>
                <w:rFonts w:ascii="宋体" w:hAnsi="宋体" w:cs="宋体"/>
              </w:rPr>
            </w:pPr>
            <w:r>
              <w:rPr>
                <w:rFonts w:hint="eastAsia" w:ascii="宋体" w:hAnsi="宋体" w:cs="宋体"/>
              </w:rPr>
              <w:t>机械或</w:t>
            </w:r>
          </w:p>
          <w:p>
            <w:pPr>
              <w:spacing w:line="300" w:lineRule="auto"/>
              <w:jc w:val="center"/>
              <w:rPr>
                <w:rFonts w:ascii="宋体" w:hAnsi="宋体" w:cs="宋体"/>
              </w:rPr>
            </w:pPr>
            <w:r>
              <w:rPr>
                <w:rFonts w:hint="eastAsia" w:ascii="宋体" w:hAnsi="宋体" w:cs="宋体"/>
              </w:rPr>
              <w:t>设备名称</w:t>
            </w:r>
          </w:p>
        </w:tc>
        <w:tc>
          <w:tcPr>
            <w:tcW w:w="979" w:type="dxa"/>
            <w:vAlign w:val="center"/>
          </w:tcPr>
          <w:p>
            <w:pPr>
              <w:spacing w:line="300" w:lineRule="auto"/>
              <w:jc w:val="center"/>
              <w:rPr>
                <w:rFonts w:ascii="宋体" w:hAnsi="宋体" w:cs="宋体"/>
              </w:rPr>
            </w:pPr>
            <w:r>
              <w:rPr>
                <w:rFonts w:hint="eastAsia" w:ascii="宋体" w:hAnsi="宋体" w:cs="宋体"/>
              </w:rPr>
              <w:t>型号</w:t>
            </w:r>
          </w:p>
          <w:p>
            <w:pPr>
              <w:spacing w:line="300" w:lineRule="auto"/>
              <w:jc w:val="center"/>
              <w:rPr>
                <w:rFonts w:ascii="宋体" w:hAnsi="宋体" w:cs="宋体"/>
              </w:rPr>
            </w:pPr>
            <w:r>
              <w:rPr>
                <w:rFonts w:hint="eastAsia" w:ascii="宋体" w:hAnsi="宋体" w:cs="宋体"/>
              </w:rPr>
              <w:t>规格</w:t>
            </w:r>
          </w:p>
        </w:tc>
        <w:tc>
          <w:tcPr>
            <w:tcW w:w="720" w:type="dxa"/>
            <w:vAlign w:val="center"/>
          </w:tcPr>
          <w:p>
            <w:pPr>
              <w:spacing w:line="300" w:lineRule="auto"/>
              <w:jc w:val="center"/>
              <w:rPr>
                <w:rFonts w:ascii="宋体" w:hAnsi="宋体" w:cs="宋体"/>
              </w:rPr>
            </w:pPr>
            <w:r>
              <w:rPr>
                <w:rFonts w:hint="eastAsia" w:ascii="宋体" w:hAnsi="宋体" w:cs="宋体"/>
              </w:rPr>
              <w:t>数量</w:t>
            </w:r>
          </w:p>
        </w:tc>
        <w:tc>
          <w:tcPr>
            <w:tcW w:w="801" w:type="dxa"/>
            <w:vAlign w:val="center"/>
          </w:tcPr>
          <w:p>
            <w:pPr>
              <w:spacing w:line="300" w:lineRule="auto"/>
              <w:jc w:val="center"/>
              <w:rPr>
                <w:rFonts w:ascii="宋体" w:hAnsi="宋体" w:cs="宋体"/>
              </w:rPr>
            </w:pPr>
            <w:r>
              <w:rPr>
                <w:rFonts w:hint="eastAsia" w:ascii="宋体" w:hAnsi="宋体" w:cs="宋体"/>
              </w:rPr>
              <w:t>国别产地</w:t>
            </w:r>
          </w:p>
        </w:tc>
        <w:tc>
          <w:tcPr>
            <w:tcW w:w="1100" w:type="dxa"/>
            <w:vAlign w:val="center"/>
          </w:tcPr>
          <w:p>
            <w:pPr>
              <w:spacing w:line="300" w:lineRule="auto"/>
              <w:jc w:val="center"/>
              <w:rPr>
                <w:rFonts w:ascii="宋体" w:hAnsi="宋体" w:cs="宋体"/>
              </w:rPr>
            </w:pPr>
            <w:r>
              <w:rPr>
                <w:rFonts w:hint="eastAsia" w:ascii="宋体" w:hAnsi="宋体" w:cs="宋体"/>
              </w:rPr>
              <w:t>制造年份</w:t>
            </w:r>
          </w:p>
        </w:tc>
        <w:tc>
          <w:tcPr>
            <w:tcW w:w="1100" w:type="dxa"/>
            <w:vAlign w:val="center"/>
          </w:tcPr>
          <w:p>
            <w:pPr>
              <w:spacing w:line="300" w:lineRule="auto"/>
              <w:jc w:val="center"/>
              <w:rPr>
                <w:rFonts w:ascii="宋体" w:hAnsi="宋体" w:cs="宋体"/>
              </w:rPr>
            </w:pPr>
            <w:r>
              <w:rPr>
                <w:rFonts w:hint="eastAsia" w:ascii="宋体" w:hAnsi="宋体" w:cs="宋体"/>
              </w:rPr>
              <w:t>额定功率（KW）</w:t>
            </w:r>
          </w:p>
        </w:tc>
        <w:tc>
          <w:tcPr>
            <w:tcW w:w="800" w:type="dxa"/>
            <w:vAlign w:val="center"/>
          </w:tcPr>
          <w:p>
            <w:pPr>
              <w:spacing w:line="300" w:lineRule="auto"/>
              <w:jc w:val="center"/>
              <w:rPr>
                <w:rFonts w:ascii="宋体" w:hAnsi="宋体" w:cs="宋体"/>
              </w:rPr>
            </w:pPr>
            <w:r>
              <w:rPr>
                <w:rFonts w:hint="eastAsia" w:ascii="宋体" w:hAnsi="宋体" w:cs="宋体"/>
              </w:rPr>
              <w:t>生产能力</w:t>
            </w:r>
          </w:p>
        </w:tc>
        <w:tc>
          <w:tcPr>
            <w:tcW w:w="1000" w:type="dxa"/>
            <w:tcBorders>
              <w:right w:val="single" w:color="auto" w:sz="4" w:space="0"/>
            </w:tcBorders>
            <w:vAlign w:val="center"/>
          </w:tcPr>
          <w:p>
            <w:pPr>
              <w:spacing w:line="300" w:lineRule="auto"/>
              <w:jc w:val="center"/>
              <w:rPr>
                <w:rFonts w:ascii="宋体" w:hAnsi="宋体" w:cs="宋体"/>
              </w:rPr>
            </w:pPr>
            <w:r>
              <w:rPr>
                <w:rFonts w:hint="eastAsia" w:ascii="宋体" w:hAnsi="宋体" w:cs="宋体"/>
              </w:rPr>
              <w:t>拟进场日期</w:t>
            </w:r>
          </w:p>
        </w:tc>
        <w:tc>
          <w:tcPr>
            <w:tcW w:w="945" w:type="dxa"/>
            <w:tcBorders>
              <w:left w:val="single" w:color="auto" w:sz="4" w:space="0"/>
            </w:tcBorders>
            <w:vAlign w:val="center"/>
          </w:tcPr>
          <w:p>
            <w:pPr>
              <w:spacing w:line="300" w:lineRule="auto"/>
              <w:jc w:val="center"/>
              <w:rPr>
                <w:rFonts w:ascii="宋体" w:hAnsi="宋体" w:cs="宋体"/>
              </w:rPr>
            </w:pPr>
            <w:r>
              <w:rPr>
                <w:rFonts w:hint="eastAsia" w:ascii="宋体" w:hAnsi="宋体" w:cs="宋体"/>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bl>
    <w:p>
      <w:pPr>
        <w:pStyle w:val="23"/>
        <w:spacing w:line="380" w:lineRule="exact"/>
        <w:rPr>
          <w:rFonts w:hAnsi="宋体" w:cs="宋体"/>
          <w:szCs w:val="21"/>
        </w:rPr>
      </w:pPr>
    </w:p>
    <w:p>
      <w:pPr>
        <w:pStyle w:val="4"/>
        <w:spacing w:line="300" w:lineRule="auto"/>
        <w:rPr>
          <w:rFonts w:hint="default" w:ascii="宋体" w:eastAsia="宋体" w:cs="宋体"/>
          <w:b/>
          <w:sz w:val="30"/>
          <w:szCs w:val="30"/>
        </w:rPr>
      </w:pPr>
      <w:bookmarkStart w:id="742" w:name="_Toc81461368"/>
      <w:bookmarkStart w:id="743" w:name="_Toc59820888"/>
      <w:bookmarkStart w:id="744" w:name="_Toc384891884"/>
      <w:bookmarkStart w:id="745" w:name="_Toc384892087"/>
      <w:bookmarkStart w:id="746" w:name="_Toc288490531"/>
      <w:bookmarkStart w:id="747" w:name="_Toc7785"/>
      <w:r>
        <w:rPr>
          <w:rFonts w:ascii="宋体" w:eastAsia="宋体" w:cs="宋体"/>
          <w:b/>
          <w:sz w:val="30"/>
          <w:szCs w:val="30"/>
        </w:rPr>
        <w:t>二、项目管理机构配备</w:t>
      </w:r>
      <w:bookmarkEnd w:id="742"/>
      <w:bookmarkEnd w:id="743"/>
      <w:bookmarkEnd w:id="744"/>
      <w:bookmarkEnd w:id="745"/>
      <w:bookmarkEnd w:id="746"/>
      <w:bookmarkEnd w:id="747"/>
    </w:p>
    <w:p>
      <w:pPr>
        <w:pStyle w:val="4"/>
        <w:spacing w:line="300" w:lineRule="auto"/>
        <w:rPr>
          <w:rFonts w:hint="default" w:ascii="宋体" w:eastAsia="宋体" w:cs="宋体"/>
          <w:bCs w:val="0"/>
          <w:sz w:val="24"/>
          <w:szCs w:val="24"/>
          <w:u w:val="single"/>
        </w:rPr>
      </w:pPr>
      <w:bookmarkStart w:id="748" w:name="_Toc5734"/>
      <w:bookmarkStart w:id="749" w:name="_Toc384891885"/>
      <w:bookmarkStart w:id="750" w:name="_Toc384892088"/>
      <w:bookmarkStart w:id="751" w:name="_Toc81461369"/>
      <w:bookmarkStart w:id="752" w:name="_Toc288490532"/>
      <w:r>
        <w:rPr>
          <w:rFonts w:ascii="宋体" w:eastAsia="宋体" w:cs="宋体"/>
          <w:bCs w:val="0"/>
          <w:sz w:val="24"/>
          <w:szCs w:val="24"/>
        </w:rPr>
        <w:t>（1）拟投入的主要管理人员情况表</w:t>
      </w:r>
      <w:bookmarkEnd w:id="748"/>
      <w:bookmarkEnd w:id="749"/>
      <w:bookmarkEnd w:id="750"/>
      <w:bookmarkEnd w:id="751"/>
      <w:bookmarkEnd w:id="752"/>
    </w:p>
    <w:p>
      <w:pPr>
        <w:spacing w:after="120" w:line="300" w:lineRule="auto"/>
        <w:rPr>
          <w:rFonts w:ascii="宋体" w:hAnsi="宋体" w:cs="宋体"/>
          <w:sz w:val="24"/>
        </w:rPr>
      </w:pPr>
      <w:r>
        <w:rPr>
          <w:rFonts w:hint="eastAsia" w:ascii="宋体" w:hAnsi="宋体" w:cs="宋体"/>
          <w:sz w:val="24"/>
          <w:u w:val="single"/>
        </w:rPr>
        <w:t xml:space="preserve">       （采购项目名称）       </w:t>
      </w:r>
      <w:r>
        <w:rPr>
          <w:rFonts w:hint="eastAsia" w:ascii="宋体" w:hAnsi="宋体" w:cs="宋体"/>
          <w:sz w:val="24"/>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14"/>
        <w:gridCol w:w="742"/>
        <w:gridCol w:w="1008"/>
        <w:gridCol w:w="478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934" w:type="dxa"/>
            <w:vAlign w:val="center"/>
          </w:tcPr>
          <w:p>
            <w:pPr>
              <w:spacing w:line="300" w:lineRule="auto"/>
              <w:jc w:val="center"/>
              <w:rPr>
                <w:rFonts w:ascii="宋体" w:hAnsi="宋体" w:cs="宋体"/>
                <w:sz w:val="24"/>
              </w:rPr>
            </w:pPr>
            <w:r>
              <w:rPr>
                <w:rFonts w:hint="eastAsia" w:ascii="宋体" w:hAnsi="宋体" w:cs="宋体"/>
                <w:sz w:val="24"/>
              </w:rPr>
              <w:t>姓名</w:t>
            </w:r>
          </w:p>
        </w:tc>
        <w:tc>
          <w:tcPr>
            <w:tcW w:w="714" w:type="dxa"/>
            <w:vAlign w:val="center"/>
          </w:tcPr>
          <w:p>
            <w:pPr>
              <w:spacing w:line="300" w:lineRule="auto"/>
              <w:jc w:val="center"/>
              <w:rPr>
                <w:rFonts w:ascii="宋体" w:hAnsi="宋体" w:cs="宋体"/>
                <w:sz w:val="24"/>
              </w:rPr>
            </w:pPr>
            <w:r>
              <w:rPr>
                <w:rFonts w:hint="eastAsia" w:ascii="宋体" w:hAnsi="宋体" w:cs="宋体"/>
                <w:sz w:val="24"/>
              </w:rPr>
              <w:t>性别</w:t>
            </w:r>
          </w:p>
        </w:tc>
        <w:tc>
          <w:tcPr>
            <w:tcW w:w="742" w:type="dxa"/>
            <w:vAlign w:val="center"/>
          </w:tcPr>
          <w:p>
            <w:pPr>
              <w:spacing w:line="300" w:lineRule="auto"/>
              <w:jc w:val="center"/>
              <w:rPr>
                <w:rFonts w:ascii="宋体" w:hAnsi="宋体" w:cs="宋体"/>
                <w:sz w:val="24"/>
              </w:rPr>
            </w:pPr>
            <w:r>
              <w:rPr>
                <w:rFonts w:hint="eastAsia" w:ascii="宋体" w:hAnsi="宋体" w:cs="宋体"/>
                <w:sz w:val="24"/>
              </w:rPr>
              <w:t>职务</w:t>
            </w:r>
          </w:p>
        </w:tc>
        <w:tc>
          <w:tcPr>
            <w:tcW w:w="1008" w:type="dxa"/>
            <w:vAlign w:val="center"/>
          </w:tcPr>
          <w:p>
            <w:pPr>
              <w:spacing w:line="300" w:lineRule="auto"/>
              <w:jc w:val="center"/>
              <w:rPr>
                <w:rFonts w:ascii="宋体" w:hAnsi="宋体" w:cs="宋体"/>
                <w:sz w:val="24"/>
              </w:rPr>
            </w:pPr>
            <w:r>
              <w:rPr>
                <w:rFonts w:hint="eastAsia" w:ascii="宋体" w:hAnsi="宋体" w:cs="宋体"/>
                <w:sz w:val="24"/>
              </w:rPr>
              <w:t>职称</w:t>
            </w:r>
          </w:p>
        </w:tc>
        <w:tc>
          <w:tcPr>
            <w:tcW w:w="4787" w:type="dxa"/>
            <w:vAlign w:val="center"/>
          </w:tcPr>
          <w:p>
            <w:pPr>
              <w:spacing w:line="300" w:lineRule="auto"/>
              <w:jc w:val="center"/>
              <w:rPr>
                <w:rFonts w:ascii="宋体" w:hAnsi="宋体" w:cs="宋体"/>
                <w:sz w:val="24"/>
              </w:rPr>
            </w:pPr>
            <w:r>
              <w:rPr>
                <w:rFonts w:hint="eastAsia" w:ascii="宋体" w:hAnsi="宋体" w:cs="宋体"/>
                <w:sz w:val="24"/>
              </w:rPr>
              <w:t>完成类似项目名称数量</w:t>
            </w:r>
          </w:p>
        </w:tc>
        <w:tc>
          <w:tcPr>
            <w:tcW w:w="1246" w:type="dxa"/>
            <w:vAlign w:val="center"/>
          </w:tcPr>
          <w:p>
            <w:pPr>
              <w:spacing w:line="30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bl>
    <w:p>
      <w:pPr>
        <w:pStyle w:val="23"/>
        <w:spacing w:line="380" w:lineRule="exact"/>
        <w:rPr>
          <w:rFonts w:hAnsi="宋体" w:cs="宋体"/>
          <w:sz w:val="24"/>
        </w:rPr>
      </w:pPr>
      <w:r>
        <w:rPr>
          <w:rFonts w:hint="eastAsia" w:hAnsi="宋体" w:cs="宋体"/>
          <w:sz w:val="24"/>
        </w:rPr>
        <w:t>一旦我单位成交，将实行项目经理负责制，我方保证并配备上述项目管理机构。若上述填报内容与实际入驻不符，愿按有关规定接受处理。</w:t>
      </w: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4"/>
        <w:spacing w:line="300" w:lineRule="auto"/>
        <w:rPr>
          <w:rFonts w:hint="default" w:ascii="宋体" w:eastAsia="宋体" w:cs="宋体"/>
          <w:bCs w:val="0"/>
          <w:sz w:val="24"/>
          <w:szCs w:val="24"/>
        </w:rPr>
      </w:pPr>
      <w:bookmarkStart w:id="753" w:name="_Toc384892089"/>
      <w:bookmarkStart w:id="754" w:name="_Toc81461370"/>
      <w:bookmarkStart w:id="755" w:name="_Toc288490533"/>
      <w:bookmarkStart w:id="756" w:name="_Toc59820889"/>
      <w:bookmarkStart w:id="757" w:name="_Toc23079"/>
      <w:bookmarkStart w:id="758" w:name="_Toc384891886"/>
      <w:r>
        <w:rPr>
          <w:rFonts w:ascii="宋体" w:eastAsia="宋体" w:cs="宋体"/>
          <w:bCs w:val="0"/>
          <w:sz w:val="24"/>
          <w:szCs w:val="24"/>
        </w:rPr>
        <w:t>（2）项目经理简历表</w:t>
      </w:r>
      <w:bookmarkEnd w:id="753"/>
      <w:bookmarkEnd w:id="754"/>
      <w:bookmarkEnd w:id="755"/>
      <w:bookmarkEnd w:id="756"/>
      <w:bookmarkEnd w:id="757"/>
      <w:bookmarkEnd w:id="758"/>
    </w:p>
    <w:p>
      <w:pPr>
        <w:spacing w:line="300" w:lineRule="auto"/>
        <w:ind w:right="658"/>
        <w:rPr>
          <w:rFonts w:ascii="宋体" w:hAnsi="宋体" w:cs="宋体"/>
          <w:sz w:val="24"/>
        </w:rPr>
      </w:pPr>
      <w:r>
        <w:rPr>
          <w:rFonts w:hint="eastAsia" w:ascii="宋体" w:hAnsi="宋体" w:cs="宋体"/>
          <w:sz w:val="24"/>
          <w:u w:val="single"/>
        </w:rPr>
        <w:t xml:space="preserve"> （采购项目名称）        </w:t>
      </w:r>
      <w:r>
        <w:rPr>
          <w:rFonts w:hint="eastAsia" w:ascii="宋体" w:hAnsi="宋体" w:cs="宋体"/>
          <w:sz w:val="24"/>
        </w:rPr>
        <w:t xml:space="preserve">                             表9.7</w:t>
      </w:r>
    </w:p>
    <w:tbl>
      <w:tblPr>
        <w:tblStyle w:val="44"/>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306"/>
        <w:gridCol w:w="774"/>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Align w:val="center"/>
          </w:tcPr>
          <w:p>
            <w:pPr>
              <w:spacing w:line="300" w:lineRule="auto"/>
              <w:jc w:val="center"/>
              <w:rPr>
                <w:rFonts w:ascii="宋体" w:hAnsi="宋体" w:cs="宋体"/>
                <w:sz w:val="24"/>
              </w:rPr>
            </w:pPr>
            <w:r>
              <w:rPr>
                <w:rFonts w:hint="eastAsia" w:ascii="宋体" w:hAnsi="宋体" w:cs="宋体"/>
                <w:sz w:val="24"/>
              </w:rPr>
              <w:t>姓名</w:t>
            </w:r>
          </w:p>
        </w:tc>
        <w:tc>
          <w:tcPr>
            <w:tcW w:w="2610" w:type="dxa"/>
            <w:gridSpan w:val="4"/>
            <w:vAlign w:val="center"/>
          </w:tcPr>
          <w:p>
            <w:pPr>
              <w:spacing w:line="300" w:lineRule="auto"/>
              <w:jc w:val="center"/>
              <w:rPr>
                <w:rFonts w:ascii="宋体" w:hAnsi="宋体" w:cs="宋体"/>
                <w:sz w:val="24"/>
              </w:rPr>
            </w:pPr>
          </w:p>
        </w:tc>
        <w:tc>
          <w:tcPr>
            <w:tcW w:w="840" w:type="dxa"/>
            <w:vAlign w:val="center"/>
          </w:tcPr>
          <w:p>
            <w:pPr>
              <w:spacing w:line="300" w:lineRule="auto"/>
              <w:jc w:val="center"/>
              <w:rPr>
                <w:rFonts w:ascii="宋体" w:hAnsi="宋体" w:cs="宋体"/>
                <w:sz w:val="24"/>
              </w:rPr>
            </w:pPr>
            <w:r>
              <w:rPr>
                <w:rFonts w:hint="eastAsia" w:ascii="宋体" w:hAnsi="宋体" w:cs="宋体"/>
                <w:sz w:val="24"/>
              </w:rPr>
              <w:t>性别</w:t>
            </w:r>
          </w:p>
        </w:tc>
        <w:tc>
          <w:tcPr>
            <w:tcW w:w="1680" w:type="dxa"/>
            <w:gridSpan w:val="3"/>
            <w:vAlign w:val="center"/>
          </w:tcPr>
          <w:p>
            <w:pPr>
              <w:spacing w:line="300" w:lineRule="auto"/>
              <w:jc w:val="center"/>
              <w:rPr>
                <w:rFonts w:ascii="宋体" w:hAnsi="宋体" w:cs="宋体"/>
                <w:sz w:val="24"/>
              </w:rPr>
            </w:pPr>
          </w:p>
        </w:tc>
        <w:tc>
          <w:tcPr>
            <w:tcW w:w="1080" w:type="dxa"/>
            <w:gridSpan w:val="2"/>
            <w:vAlign w:val="center"/>
          </w:tcPr>
          <w:p>
            <w:pPr>
              <w:spacing w:line="300" w:lineRule="auto"/>
              <w:jc w:val="center"/>
              <w:rPr>
                <w:rFonts w:ascii="宋体" w:hAnsi="宋体" w:cs="宋体"/>
                <w:sz w:val="24"/>
              </w:rPr>
            </w:pPr>
            <w:r>
              <w:rPr>
                <w:rFonts w:hint="eastAsia" w:ascii="宋体" w:hAnsi="宋体" w:cs="宋体"/>
                <w:sz w:val="24"/>
              </w:rPr>
              <w:t>年龄</w:t>
            </w:r>
          </w:p>
        </w:tc>
        <w:tc>
          <w:tcPr>
            <w:tcW w:w="1800" w:type="dxa"/>
            <w:gridSpan w:val="2"/>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pPr>
              <w:spacing w:line="300" w:lineRule="auto"/>
              <w:jc w:val="center"/>
              <w:rPr>
                <w:rFonts w:ascii="宋体" w:hAnsi="宋体" w:cs="宋体"/>
                <w:sz w:val="24"/>
              </w:rPr>
            </w:pPr>
            <w:r>
              <w:rPr>
                <w:rFonts w:hint="eastAsia" w:ascii="宋体" w:hAnsi="宋体" w:cs="宋体"/>
                <w:sz w:val="24"/>
              </w:rPr>
              <w:t>职务</w:t>
            </w:r>
          </w:p>
        </w:tc>
        <w:tc>
          <w:tcPr>
            <w:tcW w:w="2610" w:type="dxa"/>
            <w:gridSpan w:val="4"/>
            <w:vAlign w:val="center"/>
          </w:tcPr>
          <w:p>
            <w:pPr>
              <w:spacing w:line="300" w:lineRule="auto"/>
              <w:jc w:val="center"/>
              <w:rPr>
                <w:rFonts w:ascii="宋体" w:hAnsi="宋体" w:cs="宋体"/>
                <w:sz w:val="24"/>
              </w:rPr>
            </w:pPr>
          </w:p>
        </w:tc>
        <w:tc>
          <w:tcPr>
            <w:tcW w:w="840" w:type="dxa"/>
            <w:vAlign w:val="center"/>
          </w:tcPr>
          <w:p>
            <w:pPr>
              <w:spacing w:line="300" w:lineRule="auto"/>
              <w:jc w:val="center"/>
              <w:rPr>
                <w:rFonts w:ascii="宋体" w:hAnsi="宋体" w:cs="宋体"/>
                <w:sz w:val="24"/>
              </w:rPr>
            </w:pPr>
            <w:r>
              <w:rPr>
                <w:rFonts w:hint="eastAsia" w:ascii="宋体" w:hAnsi="宋体" w:cs="宋体"/>
                <w:sz w:val="24"/>
              </w:rPr>
              <w:t>职称</w:t>
            </w:r>
          </w:p>
        </w:tc>
        <w:tc>
          <w:tcPr>
            <w:tcW w:w="1680" w:type="dxa"/>
            <w:gridSpan w:val="3"/>
            <w:vAlign w:val="center"/>
          </w:tcPr>
          <w:p>
            <w:pPr>
              <w:spacing w:line="300" w:lineRule="auto"/>
              <w:jc w:val="center"/>
              <w:rPr>
                <w:rFonts w:ascii="宋体" w:hAnsi="宋体" w:cs="宋体"/>
                <w:sz w:val="24"/>
              </w:rPr>
            </w:pPr>
          </w:p>
        </w:tc>
        <w:tc>
          <w:tcPr>
            <w:tcW w:w="1080" w:type="dxa"/>
            <w:gridSpan w:val="2"/>
            <w:vAlign w:val="center"/>
          </w:tcPr>
          <w:p>
            <w:pPr>
              <w:spacing w:line="300" w:lineRule="auto"/>
              <w:jc w:val="center"/>
              <w:rPr>
                <w:rFonts w:ascii="宋体" w:hAnsi="宋体" w:cs="宋体"/>
                <w:sz w:val="24"/>
              </w:rPr>
            </w:pPr>
            <w:r>
              <w:rPr>
                <w:rFonts w:hint="eastAsia" w:ascii="宋体" w:hAnsi="宋体" w:cs="宋体"/>
                <w:sz w:val="24"/>
              </w:rPr>
              <w:t>学历</w:t>
            </w:r>
          </w:p>
        </w:tc>
        <w:tc>
          <w:tcPr>
            <w:tcW w:w="1800" w:type="dxa"/>
            <w:gridSpan w:val="2"/>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vAlign w:val="center"/>
          </w:tcPr>
          <w:p>
            <w:pPr>
              <w:spacing w:line="300" w:lineRule="auto"/>
              <w:jc w:val="center"/>
              <w:rPr>
                <w:rFonts w:ascii="宋体" w:hAnsi="宋体" w:cs="宋体"/>
                <w:sz w:val="24"/>
              </w:rPr>
            </w:pPr>
            <w:r>
              <w:rPr>
                <w:rFonts w:hint="eastAsia" w:ascii="宋体" w:hAnsi="宋体" w:cs="宋体"/>
                <w:sz w:val="24"/>
              </w:rPr>
              <w:t>参加工作时间</w:t>
            </w:r>
          </w:p>
        </w:tc>
        <w:tc>
          <w:tcPr>
            <w:tcW w:w="1890" w:type="dxa"/>
            <w:gridSpan w:val="4"/>
            <w:vAlign w:val="center"/>
          </w:tcPr>
          <w:p>
            <w:pPr>
              <w:spacing w:line="300" w:lineRule="auto"/>
              <w:jc w:val="center"/>
              <w:rPr>
                <w:rFonts w:ascii="宋体" w:hAnsi="宋体" w:cs="宋体"/>
                <w:sz w:val="24"/>
              </w:rPr>
            </w:pPr>
          </w:p>
        </w:tc>
        <w:tc>
          <w:tcPr>
            <w:tcW w:w="2625" w:type="dxa"/>
            <w:gridSpan w:val="5"/>
            <w:vAlign w:val="center"/>
          </w:tcPr>
          <w:p>
            <w:pPr>
              <w:spacing w:line="300" w:lineRule="auto"/>
              <w:jc w:val="center"/>
              <w:rPr>
                <w:rFonts w:ascii="宋体" w:hAnsi="宋体" w:cs="宋体"/>
                <w:sz w:val="24"/>
              </w:rPr>
            </w:pPr>
            <w:r>
              <w:rPr>
                <w:rFonts w:hint="eastAsia" w:ascii="宋体" w:hAnsi="宋体" w:cs="宋体"/>
                <w:sz w:val="24"/>
              </w:rPr>
              <w:t>担任项目经理年限</w:t>
            </w: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835" w:type="dxa"/>
            <w:gridSpan w:val="3"/>
            <w:vAlign w:val="center"/>
          </w:tcPr>
          <w:p>
            <w:pPr>
              <w:spacing w:line="300" w:lineRule="auto"/>
              <w:jc w:val="center"/>
              <w:rPr>
                <w:rFonts w:ascii="宋体" w:hAnsi="宋体" w:cs="宋体"/>
                <w:sz w:val="24"/>
              </w:rPr>
            </w:pPr>
            <w:r>
              <w:rPr>
                <w:rFonts w:hint="eastAsia" w:ascii="宋体" w:hAnsi="宋体" w:cs="宋体"/>
                <w:sz w:val="24"/>
              </w:rPr>
              <w:t>项目经理资格证书编号</w:t>
            </w:r>
          </w:p>
        </w:tc>
        <w:tc>
          <w:tcPr>
            <w:tcW w:w="5910" w:type="dxa"/>
            <w:gridSpan w:val="1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5" w:type="dxa"/>
            <w:gridSpan w:val="13"/>
            <w:vAlign w:val="center"/>
          </w:tcPr>
          <w:p>
            <w:pPr>
              <w:spacing w:line="300" w:lineRule="auto"/>
              <w:jc w:val="center"/>
              <w:rPr>
                <w:rFonts w:ascii="宋体" w:hAnsi="宋体" w:cs="宋体"/>
                <w:sz w:val="24"/>
              </w:rPr>
            </w:pPr>
            <w:r>
              <w:rPr>
                <w:rFonts w:hint="eastAsia" w:ascii="宋体" w:hAnsi="宋体" w:cs="宋体"/>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r>
              <w:rPr>
                <w:rFonts w:hint="eastAsia" w:ascii="宋体" w:hAnsi="宋体" w:cs="宋体"/>
                <w:sz w:val="24"/>
              </w:rPr>
              <w:t>建设单位</w:t>
            </w:r>
          </w:p>
        </w:tc>
        <w:tc>
          <w:tcPr>
            <w:tcW w:w="1680" w:type="dxa"/>
            <w:gridSpan w:val="2"/>
            <w:vAlign w:val="center"/>
          </w:tcPr>
          <w:p>
            <w:pPr>
              <w:spacing w:line="300" w:lineRule="auto"/>
              <w:jc w:val="center"/>
              <w:rPr>
                <w:rFonts w:ascii="宋体" w:hAnsi="宋体" w:cs="宋体"/>
                <w:sz w:val="24"/>
              </w:rPr>
            </w:pPr>
            <w:r>
              <w:rPr>
                <w:rFonts w:hint="eastAsia" w:ascii="宋体" w:hAnsi="宋体" w:cs="宋体"/>
                <w:sz w:val="24"/>
              </w:rPr>
              <w:t>项目名称</w:t>
            </w:r>
          </w:p>
        </w:tc>
        <w:tc>
          <w:tcPr>
            <w:tcW w:w="1580" w:type="dxa"/>
            <w:gridSpan w:val="4"/>
            <w:vAlign w:val="center"/>
          </w:tcPr>
          <w:p>
            <w:pPr>
              <w:spacing w:line="300" w:lineRule="auto"/>
              <w:jc w:val="center"/>
              <w:rPr>
                <w:rFonts w:ascii="宋体" w:hAnsi="宋体" w:cs="宋体"/>
                <w:sz w:val="24"/>
              </w:rPr>
            </w:pPr>
            <w:r>
              <w:rPr>
                <w:rFonts w:hint="eastAsia" w:ascii="宋体" w:hAnsi="宋体" w:cs="宋体"/>
                <w:sz w:val="24"/>
              </w:rPr>
              <w:t>规模</w:t>
            </w:r>
          </w:p>
        </w:tc>
        <w:tc>
          <w:tcPr>
            <w:tcW w:w="1431" w:type="dxa"/>
            <w:gridSpan w:val="2"/>
            <w:vAlign w:val="center"/>
          </w:tcPr>
          <w:p>
            <w:pPr>
              <w:spacing w:line="300" w:lineRule="auto"/>
              <w:jc w:val="center"/>
              <w:rPr>
                <w:rFonts w:ascii="宋体" w:hAnsi="宋体" w:cs="宋体"/>
                <w:sz w:val="24"/>
              </w:rPr>
            </w:pPr>
            <w:r>
              <w:rPr>
                <w:rFonts w:hint="eastAsia" w:ascii="宋体" w:hAnsi="宋体" w:cs="宋体"/>
                <w:sz w:val="24"/>
              </w:rPr>
              <w:t>开、竣工</w:t>
            </w:r>
          </w:p>
          <w:p>
            <w:pPr>
              <w:spacing w:line="300" w:lineRule="auto"/>
              <w:jc w:val="center"/>
              <w:rPr>
                <w:rFonts w:ascii="宋体" w:hAnsi="宋体" w:cs="宋体"/>
                <w:sz w:val="24"/>
              </w:rPr>
            </w:pPr>
            <w:r>
              <w:rPr>
                <w:rFonts w:hint="eastAsia" w:ascii="宋体" w:hAnsi="宋体" w:cs="宋体"/>
                <w:sz w:val="24"/>
              </w:rPr>
              <w:t>日期</w:t>
            </w:r>
          </w:p>
        </w:tc>
        <w:tc>
          <w:tcPr>
            <w:tcW w:w="1179" w:type="dxa"/>
            <w:gridSpan w:val="2"/>
            <w:vAlign w:val="center"/>
          </w:tcPr>
          <w:p>
            <w:pPr>
              <w:spacing w:line="300" w:lineRule="auto"/>
              <w:jc w:val="center"/>
              <w:rPr>
                <w:rFonts w:ascii="宋体" w:hAnsi="宋体" w:cs="宋体"/>
                <w:sz w:val="24"/>
              </w:rPr>
            </w:pPr>
            <w:r>
              <w:rPr>
                <w:rFonts w:hint="eastAsia" w:ascii="宋体" w:hAnsi="宋体" w:cs="宋体"/>
                <w:sz w:val="24"/>
              </w:rPr>
              <w:t>在施工或已 完</w:t>
            </w:r>
          </w:p>
        </w:tc>
        <w:tc>
          <w:tcPr>
            <w:tcW w:w="1395" w:type="dxa"/>
            <w:vAlign w:val="center"/>
          </w:tcPr>
          <w:p>
            <w:pPr>
              <w:spacing w:line="30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bl>
    <w:p>
      <w:pPr>
        <w:pStyle w:val="23"/>
        <w:spacing w:line="380" w:lineRule="exact"/>
        <w:rPr>
          <w:rFonts w:hAnsi="宋体" w:cs="宋体"/>
          <w:sz w:val="24"/>
        </w:rPr>
      </w:pPr>
      <w:r>
        <w:rPr>
          <w:rFonts w:hint="eastAsia" w:hAnsi="宋体" w:cs="宋体"/>
          <w:sz w:val="24"/>
        </w:rPr>
        <w:t>上述填报内容与实际入驻相符，否则愿按有关规定接受处理。</w:t>
      </w: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12"/>
        <w:ind w:left="2940"/>
      </w:pPr>
    </w:p>
    <w:p>
      <w:pPr>
        <w:pStyle w:val="23"/>
        <w:spacing w:line="380" w:lineRule="exact"/>
        <w:rPr>
          <w:rFonts w:hAnsi="宋体" w:cs="宋体"/>
          <w:szCs w:val="21"/>
        </w:rPr>
      </w:pPr>
    </w:p>
    <w:p>
      <w:pPr>
        <w:pStyle w:val="4"/>
        <w:spacing w:line="300" w:lineRule="auto"/>
        <w:rPr>
          <w:rFonts w:hint="default" w:ascii="宋体" w:eastAsia="宋体" w:cs="宋体"/>
          <w:bCs w:val="0"/>
        </w:rPr>
      </w:pPr>
      <w:bookmarkStart w:id="759" w:name="_Toc384891887"/>
      <w:bookmarkStart w:id="760" w:name="_Toc59820890"/>
      <w:bookmarkStart w:id="761" w:name="_Toc384892090"/>
      <w:bookmarkStart w:id="762" w:name="_Toc288490534"/>
      <w:bookmarkStart w:id="763" w:name="_Toc26921"/>
      <w:bookmarkStart w:id="764" w:name="_Toc81461371"/>
      <w:r>
        <w:rPr>
          <w:rFonts w:ascii="宋体" w:eastAsia="宋体" w:cs="宋体"/>
          <w:bCs w:val="0"/>
        </w:rPr>
        <w:t>（3）项目技术负责人简历表</w:t>
      </w:r>
      <w:bookmarkEnd w:id="759"/>
      <w:bookmarkEnd w:id="760"/>
      <w:bookmarkEnd w:id="761"/>
      <w:bookmarkEnd w:id="762"/>
      <w:bookmarkEnd w:id="763"/>
      <w:bookmarkEnd w:id="764"/>
    </w:p>
    <w:p>
      <w:pPr>
        <w:spacing w:line="300" w:lineRule="auto"/>
        <w:rPr>
          <w:rFonts w:ascii="宋体" w:hAnsi="宋体" w:cs="宋体"/>
        </w:rPr>
      </w:pPr>
      <w:r>
        <w:rPr>
          <w:rFonts w:hint="eastAsia" w:ascii="宋体" w:hAnsi="宋体" w:cs="宋体"/>
          <w:sz w:val="24"/>
          <w:u w:val="single"/>
        </w:rPr>
        <w:t xml:space="preserve">      （采购项目名称）  </w:t>
      </w:r>
      <w:r>
        <w:rPr>
          <w:rFonts w:hint="eastAsia" w:ascii="宋体" w:hAnsi="宋体" w:cs="宋体"/>
        </w:rPr>
        <w:t xml:space="preserve">                                                    表9．8</w:t>
      </w:r>
    </w:p>
    <w:tbl>
      <w:tblPr>
        <w:tblStyle w:val="4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Align w:val="center"/>
          </w:tcPr>
          <w:p>
            <w:pPr>
              <w:spacing w:line="300" w:lineRule="auto"/>
              <w:jc w:val="center"/>
              <w:rPr>
                <w:rFonts w:ascii="宋体" w:hAnsi="宋体" w:cs="宋体"/>
                <w:sz w:val="24"/>
              </w:rPr>
            </w:pPr>
            <w:r>
              <w:rPr>
                <w:rFonts w:hint="eastAsia" w:ascii="宋体" w:hAnsi="宋体" w:cs="宋体"/>
                <w:sz w:val="24"/>
              </w:rPr>
              <w:t>姓名</w:t>
            </w:r>
          </w:p>
        </w:tc>
        <w:tc>
          <w:tcPr>
            <w:tcW w:w="2610" w:type="dxa"/>
            <w:gridSpan w:val="4"/>
            <w:vAlign w:val="center"/>
          </w:tcPr>
          <w:p>
            <w:pPr>
              <w:spacing w:line="300" w:lineRule="auto"/>
              <w:jc w:val="center"/>
              <w:rPr>
                <w:rFonts w:ascii="宋体" w:hAnsi="宋体" w:cs="宋体"/>
                <w:sz w:val="24"/>
              </w:rPr>
            </w:pPr>
          </w:p>
        </w:tc>
        <w:tc>
          <w:tcPr>
            <w:tcW w:w="840" w:type="dxa"/>
            <w:vAlign w:val="center"/>
          </w:tcPr>
          <w:p>
            <w:pPr>
              <w:spacing w:line="300" w:lineRule="auto"/>
              <w:jc w:val="center"/>
              <w:rPr>
                <w:rFonts w:ascii="宋体" w:hAnsi="宋体" w:cs="宋体"/>
                <w:sz w:val="24"/>
              </w:rPr>
            </w:pPr>
            <w:r>
              <w:rPr>
                <w:rFonts w:hint="eastAsia" w:ascii="宋体" w:hAnsi="宋体" w:cs="宋体"/>
                <w:sz w:val="24"/>
              </w:rPr>
              <w:t>性别</w:t>
            </w:r>
          </w:p>
        </w:tc>
        <w:tc>
          <w:tcPr>
            <w:tcW w:w="2040" w:type="dxa"/>
            <w:gridSpan w:val="3"/>
            <w:vAlign w:val="center"/>
          </w:tcPr>
          <w:p>
            <w:pPr>
              <w:spacing w:line="300" w:lineRule="auto"/>
              <w:jc w:val="center"/>
              <w:rPr>
                <w:rFonts w:ascii="宋体" w:hAnsi="宋体" w:cs="宋体"/>
                <w:sz w:val="24"/>
              </w:rPr>
            </w:pPr>
          </w:p>
        </w:tc>
        <w:tc>
          <w:tcPr>
            <w:tcW w:w="900" w:type="dxa"/>
            <w:gridSpan w:val="2"/>
            <w:vAlign w:val="center"/>
          </w:tcPr>
          <w:p>
            <w:pPr>
              <w:spacing w:line="300" w:lineRule="auto"/>
              <w:jc w:val="center"/>
              <w:rPr>
                <w:rFonts w:ascii="宋体" w:hAnsi="宋体" w:cs="宋体"/>
                <w:sz w:val="24"/>
              </w:rPr>
            </w:pPr>
            <w:r>
              <w:rPr>
                <w:rFonts w:hint="eastAsia" w:ascii="宋体" w:hAnsi="宋体" w:cs="宋体"/>
                <w:sz w:val="24"/>
              </w:rPr>
              <w:t>年龄</w:t>
            </w:r>
          </w:p>
        </w:tc>
        <w:tc>
          <w:tcPr>
            <w:tcW w:w="2430" w:type="dxa"/>
            <w:gridSpan w:val="3"/>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pPr>
              <w:spacing w:line="300" w:lineRule="auto"/>
              <w:jc w:val="center"/>
              <w:rPr>
                <w:rFonts w:ascii="宋体" w:hAnsi="宋体" w:cs="宋体"/>
                <w:sz w:val="24"/>
              </w:rPr>
            </w:pPr>
            <w:r>
              <w:rPr>
                <w:rFonts w:hint="eastAsia" w:ascii="宋体" w:hAnsi="宋体" w:cs="宋体"/>
                <w:sz w:val="24"/>
              </w:rPr>
              <w:t>职务</w:t>
            </w:r>
          </w:p>
        </w:tc>
        <w:tc>
          <w:tcPr>
            <w:tcW w:w="2610" w:type="dxa"/>
            <w:gridSpan w:val="4"/>
            <w:vAlign w:val="center"/>
          </w:tcPr>
          <w:p>
            <w:pPr>
              <w:spacing w:line="300" w:lineRule="auto"/>
              <w:jc w:val="center"/>
              <w:rPr>
                <w:rFonts w:ascii="宋体" w:hAnsi="宋体" w:cs="宋体"/>
                <w:sz w:val="24"/>
              </w:rPr>
            </w:pPr>
          </w:p>
        </w:tc>
        <w:tc>
          <w:tcPr>
            <w:tcW w:w="840" w:type="dxa"/>
            <w:vAlign w:val="center"/>
          </w:tcPr>
          <w:p>
            <w:pPr>
              <w:spacing w:line="300" w:lineRule="auto"/>
              <w:jc w:val="center"/>
              <w:rPr>
                <w:rFonts w:ascii="宋体" w:hAnsi="宋体" w:cs="宋体"/>
                <w:sz w:val="24"/>
              </w:rPr>
            </w:pPr>
            <w:r>
              <w:rPr>
                <w:rFonts w:hint="eastAsia" w:ascii="宋体" w:hAnsi="宋体" w:cs="宋体"/>
                <w:sz w:val="24"/>
              </w:rPr>
              <w:t>职称</w:t>
            </w:r>
          </w:p>
        </w:tc>
        <w:tc>
          <w:tcPr>
            <w:tcW w:w="2040" w:type="dxa"/>
            <w:gridSpan w:val="3"/>
            <w:vAlign w:val="center"/>
          </w:tcPr>
          <w:p>
            <w:pPr>
              <w:spacing w:line="300" w:lineRule="auto"/>
              <w:jc w:val="center"/>
              <w:rPr>
                <w:rFonts w:ascii="宋体" w:hAnsi="宋体" w:cs="宋体"/>
                <w:sz w:val="24"/>
              </w:rPr>
            </w:pPr>
          </w:p>
        </w:tc>
        <w:tc>
          <w:tcPr>
            <w:tcW w:w="900" w:type="dxa"/>
            <w:gridSpan w:val="2"/>
            <w:vAlign w:val="center"/>
          </w:tcPr>
          <w:p>
            <w:pPr>
              <w:spacing w:line="300" w:lineRule="auto"/>
              <w:jc w:val="center"/>
              <w:rPr>
                <w:rFonts w:ascii="宋体" w:hAnsi="宋体" w:cs="宋体"/>
                <w:sz w:val="24"/>
              </w:rPr>
            </w:pPr>
            <w:r>
              <w:rPr>
                <w:rFonts w:hint="eastAsia" w:ascii="宋体" w:hAnsi="宋体" w:cs="宋体"/>
                <w:sz w:val="24"/>
              </w:rPr>
              <w:t>学历</w:t>
            </w:r>
          </w:p>
        </w:tc>
        <w:tc>
          <w:tcPr>
            <w:tcW w:w="2430" w:type="dxa"/>
            <w:gridSpan w:val="3"/>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vAlign w:val="center"/>
          </w:tcPr>
          <w:p>
            <w:pPr>
              <w:spacing w:line="300" w:lineRule="auto"/>
              <w:jc w:val="center"/>
              <w:rPr>
                <w:rFonts w:ascii="宋体" w:hAnsi="宋体" w:cs="宋体"/>
                <w:sz w:val="24"/>
              </w:rPr>
            </w:pPr>
            <w:r>
              <w:rPr>
                <w:rFonts w:hint="eastAsia" w:ascii="宋体" w:hAnsi="宋体" w:cs="宋体"/>
                <w:sz w:val="24"/>
              </w:rPr>
              <w:t>参加工作时间</w:t>
            </w:r>
          </w:p>
        </w:tc>
        <w:tc>
          <w:tcPr>
            <w:tcW w:w="2310" w:type="dxa"/>
            <w:gridSpan w:val="4"/>
            <w:vAlign w:val="center"/>
          </w:tcPr>
          <w:p>
            <w:pPr>
              <w:spacing w:line="300" w:lineRule="auto"/>
              <w:jc w:val="center"/>
              <w:rPr>
                <w:rFonts w:ascii="宋体" w:hAnsi="宋体" w:cs="宋体"/>
                <w:sz w:val="24"/>
              </w:rPr>
            </w:pPr>
          </w:p>
        </w:tc>
        <w:tc>
          <w:tcPr>
            <w:tcW w:w="2625" w:type="dxa"/>
            <w:gridSpan w:val="5"/>
            <w:vAlign w:val="center"/>
          </w:tcPr>
          <w:p>
            <w:pPr>
              <w:spacing w:line="300" w:lineRule="auto"/>
              <w:jc w:val="center"/>
              <w:rPr>
                <w:rFonts w:ascii="宋体" w:hAnsi="宋体" w:cs="宋体"/>
                <w:sz w:val="24"/>
              </w:rPr>
            </w:pPr>
            <w:r>
              <w:rPr>
                <w:rFonts w:hint="eastAsia" w:ascii="宋体" w:hAnsi="宋体" w:cs="宋体"/>
                <w:sz w:val="24"/>
              </w:rPr>
              <w:t>担任技术负责人年限</w:t>
            </w:r>
          </w:p>
        </w:tc>
        <w:tc>
          <w:tcPr>
            <w:tcW w:w="2205" w:type="dxa"/>
            <w:gridSpan w:val="2"/>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55" w:type="dxa"/>
            <w:gridSpan w:val="14"/>
            <w:vAlign w:val="center"/>
          </w:tcPr>
          <w:p>
            <w:pPr>
              <w:spacing w:line="300" w:lineRule="auto"/>
              <w:jc w:val="center"/>
              <w:rPr>
                <w:rFonts w:ascii="宋体" w:hAnsi="宋体" w:cs="宋体"/>
                <w:sz w:val="24"/>
              </w:rPr>
            </w:pPr>
            <w:r>
              <w:rPr>
                <w:rFonts w:hint="eastAsia" w:ascii="宋体" w:hAnsi="宋体" w:cs="宋体"/>
                <w:sz w:val="24"/>
              </w:rPr>
              <w:t>在施工和已完工程项目情况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r>
              <w:rPr>
                <w:rFonts w:hint="eastAsia" w:ascii="宋体" w:hAnsi="宋体" w:cs="宋体"/>
                <w:sz w:val="24"/>
              </w:rPr>
              <w:t>建设单位</w:t>
            </w:r>
          </w:p>
        </w:tc>
        <w:tc>
          <w:tcPr>
            <w:tcW w:w="1680" w:type="dxa"/>
            <w:gridSpan w:val="2"/>
            <w:vAlign w:val="center"/>
          </w:tcPr>
          <w:p>
            <w:pPr>
              <w:spacing w:line="300" w:lineRule="auto"/>
              <w:jc w:val="center"/>
              <w:rPr>
                <w:rFonts w:ascii="宋体" w:hAnsi="宋体" w:cs="宋体"/>
                <w:sz w:val="24"/>
              </w:rPr>
            </w:pPr>
            <w:r>
              <w:rPr>
                <w:rFonts w:hint="eastAsia" w:ascii="宋体" w:hAnsi="宋体" w:cs="宋体"/>
                <w:sz w:val="24"/>
              </w:rPr>
              <w:t>项目名称</w:t>
            </w:r>
          </w:p>
        </w:tc>
        <w:tc>
          <w:tcPr>
            <w:tcW w:w="1580" w:type="dxa"/>
            <w:gridSpan w:val="4"/>
            <w:vAlign w:val="center"/>
          </w:tcPr>
          <w:p>
            <w:pPr>
              <w:spacing w:line="300" w:lineRule="auto"/>
              <w:jc w:val="center"/>
              <w:rPr>
                <w:rFonts w:ascii="宋体" w:hAnsi="宋体" w:cs="宋体"/>
                <w:sz w:val="24"/>
              </w:rPr>
            </w:pPr>
            <w:r>
              <w:rPr>
                <w:rFonts w:hint="eastAsia" w:ascii="宋体" w:hAnsi="宋体" w:cs="宋体"/>
                <w:sz w:val="24"/>
              </w:rPr>
              <w:t>规模</w:t>
            </w:r>
          </w:p>
        </w:tc>
        <w:tc>
          <w:tcPr>
            <w:tcW w:w="1560" w:type="dxa"/>
            <w:gridSpan w:val="2"/>
            <w:vAlign w:val="center"/>
          </w:tcPr>
          <w:p>
            <w:pPr>
              <w:spacing w:line="300" w:lineRule="auto"/>
              <w:jc w:val="center"/>
              <w:rPr>
                <w:rFonts w:ascii="宋体" w:hAnsi="宋体" w:cs="宋体"/>
                <w:sz w:val="24"/>
              </w:rPr>
            </w:pPr>
            <w:r>
              <w:rPr>
                <w:rFonts w:hint="eastAsia" w:ascii="宋体" w:hAnsi="宋体" w:cs="宋体"/>
                <w:sz w:val="24"/>
              </w:rPr>
              <w:t>开、竣工</w:t>
            </w:r>
          </w:p>
          <w:p>
            <w:pPr>
              <w:spacing w:line="300" w:lineRule="auto"/>
              <w:jc w:val="center"/>
              <w:rPr>
                <w:rFonts w:ascii="宋体" w:hAnsi="宋体" w:cs="宋体"/>
                <w:sz w:val="24"/>
              </w:rPr>
            </w:pPr>
            <w:r>
              <w:rPr>
                <w:rFonts w:hint="eastAsia" w:ascii="宋体" w:hAnsi="宋体" w:cs="宋体"/>
                <w:sz w:val="24"/>
              </w:rPr>
              <w:t>日期</w:t>
            </w:r>
          </w:p>
        </w:tc>
        <w:tc>
          <w:tcPr>
            <w:tcW w:w="1365" w:type="dxa"/>
            <w:gridSpan w:val="3"/>
            <w:vAlign w:val="center"/>
          </w:tcPr>
          <w:p>
            <w:pPr>
              <w:spacing w:line="300" w:lineRule="auto"/>
              <w:jc w:val="center"/>
              <w:rPr>
                <w:rFonts w:ascii="宋体" w:hAnsi="宋体" w:cs="宋体"/>
                <w:sz w:val="24"/>
              </w:rPr>
            </w:pPr>
            <w:r>
              <w:rPr>
                <w:rFonts w:hint="eastAsia" w:ascii="宋体" w:hAnsi="宋体" w:cs="宋体"/>
                <w:sz w:val="24"/>
              </w:rPr>
              <w:t>在施工或已 完</w:t>
            </w:r>
          </w:p>
        </w:tc>
        <w:tc>
          <w:tcPr>
            <w:tcW w:w="1890" w:type="dxa"/>
            <w:vAlign w:val="center"/>
          </w:tcPr>
          <w:p>
            <w:pPr>
              <w:spacing w:line="30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bl>
    <w:p>
      <w:pPr>
        <w:pStyle w:val="23"/>
        <w:spacing w:line="380" w:lineRule="exact"/>
        <w:rPr>
          <w:rFonts w:hAnsi="宋体" w:cs="宋体"/>
          <w:sz w:val="24"/>
        </w:rPr>
      </w:pPr>
      <w:r>
        <w:rPr>
          <w:rFonts w:hint="eastAsia" w:hAnsi="宋体" w:cs="宋体"/>
          <w:sz w:val="24"/>
        </w:rPr>
        <w:t>上述填报内容与实际入驻相符，否则愿按有关规定接受处理。</w:t>
      </w: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tabs>
          <w:tab w:val="left" w:pos="826"/>
          <w:tab w:val="left" w:pos="1342"/>
          <w:tab w:val="left" w:pos="1388"/>
        </w:tabs>
        <w:spacing w:line="360" w:lineRule="auto"/>
        <w:rPr>
          <w:rFonts w:ascii="宋体" w:hAnsi="宋体" w:cs="宋体"/>
          <w:sz w:val="24"/>
        </w:rPr>
      </w:pPr>
      <w:r>
        <w:rPr>
          <w:rFonts w:hint="eastAsia" w:ascii="宋体" w:hAnsi="宋体" w:cs="宋体"/>
          <w:sz w:val="24"/>
        </w:rPr>
        <w:t>（4）项目管理机构最低人员配备表（以下为最低配置要求，低于要求的竞标无效；竞标时根据具体实际配置自行填写并提供相关材料）</w:t>
      </w:r>
    </w:p>
    <w:p>
      <w:pPr>
        <w:tabs>
          <w:tab w:val="left" w:pos="826"/>
          <w:tab w:val="left" w:pos="1342"/>
          <w:tab w:val="left" w:pos="1388"/>
        </w:tabs>
        <w:spacing w:line="360" w:lineRule="auto"/>
        <w:jc w:val="center"/>
        <w:rPr>
          <w:rFonts w:ascii="宋体" w:hAnsi="宋体" w:cs="宋体"/>
          <w:sz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1734"/>
        <w:gridCol w:w="1216"/>
        <w:gridCol w:w="5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序号</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人员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人数</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资历要求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项目经理</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FF0000"/>
                <w:sz w:val="24"/>
              </w:rPr>
            </w:pPr>
            <w:r>
              <w:rPr>
                <w:rFonts w:hint="eastAsia" w:ascii="宋体" w:hAnsi="宋体" w:cs="宋体"/>
                <w:color w:val="FF0000"/>
                <w:sz w:val="24"/>
              </w:rPr>
              <w:t>市政公用工程专业贰级（含贰级）及以上注册建造师资格，并具备有效的安全生产考核合格证书（B证）。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2</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项目技术负责人</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FF0000"/>
                <w:sz w:val="24"/>
              </w:rPr>
            </w:pPr>
            <w:r>
              <w:rPr>
                <w:rFonts w:hint="eastAsia" w:ascii="宋体" w:hAnsi="宋体" w:cs="宋体"/>
                <w:color w:val="FF0000"/>
                <w:sz w:val="24"/>
              </w:rPr>
              <w:t>具备市政公用工程专业中级及以上职称。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3</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施工员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FF0000"/>
                <w:sz w:val="24"/>
              </w:rPr>
            </w:pPr>
            <w:r>
              <w:rPr>
                <w:rFonts w:hint="eastAsia" w:ascii="宋体" w:hAnsi="宋体" w:cs="宋体"/>
                <w:color w:val="FF0000"/>
                <w:sz w:val="24"/>
              </w:rPr>
              <w:t>持有施工员上岗证。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4</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安全员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FF0000"/>
                <w:sz w:val="24"/>
              </w:rPr>
            </w:pPr>
            <w:r>
              <w:rPr>
                <w:rFonts w:hint="eastAsia" w:ascii="宋体" w:hAnsi="宋体" w:cs="宋体"/>
                <w:color w:val="FF0000"/>
                <w:sz w:val="24"/>
              </w:rPr>
              <w:t>持有安全员上岗证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5</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质检员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持有质检员上岗证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6</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材料员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rPr>
          <w:rFonts w:ascii="宋体" w:hAnsi="宋体" w:cs="宋体"/>
          <w:sz w:val="24"/>
        </w:rPr>
      </w:pPr>
      <w:r>
        <w:rPr>
          <w:rFonts w:hint="eastAsia" w:ascii="宋体" w:hAnsi="宋体" w:cs="宋体"/>
          <w:sz w:val="24"/>
        </w:rPr>
        <w:t>上述人员应附与资历要求相对应的资格证、职称证或相关证书的复印件（原件备查），竞标时注明相关人员姓名，否则竞标无效。</w:t>
      </w:r>
    </w:p>
    <w:p>
      <w:pPr>
        <w:pStyle w:val="23"/>
        <w:spacing w:line="380" w:lineRule="exact"/>
        <w:rPr>
          <w:rFonts w:hAnsi="宋体" w:cs="宋体"/>
          <w:sz w:val="24"/>
        </w:rPr>
      </w:pPr>
      <w:r>
        <w:rPr>
          <w:rFonts w:hint="eastAsia" w:hAnsi="宋体" w:cs="宋体"/>
          <w:sz w:val="24"/>
        </w:rPr>
        <w:t>并承诺一旦成交，项目班子人员原则上不可替换，否则，愿意接受建设行政主管部门依据有关法律法规给予的处罚。如供应商的响应文件没有提交上述承诺的，视为无效响应文件，取消其竞标资格。</w:t>
      </w: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4"/>
        <w:spacing w:line="300" w:lineRule="auto"/>
        <w:rPr>
          <w:rFonts w:hint="default" w:ascii="宋体" w:eastAsia="宋体" w:cs="宋体"/>
          <w:bCs w:val="0"/>
        </w:rPr>
      </w:pPr>
      <w:bookmarkStart w:id="765" w:name="_Toc21762"/>
      <w:bookmarkStart w:id="766" w:name="_Toc384892091"/>
      <w:bookmarkStart w:id="767" w:name="_Toc288490535"/>
      <w:bookmarkStart w:id="768" w:name="_Toc81461372"/>
      <w:bookmarkStart w:id="769" w:name="_Toc384891888"/>
      <w:r>
        <w:rPr>
          <w:rFonts w:ascii="宋体" w:eastAsia="宋体" w:cs="宋体"/>
          <w:bCs w:val="0"/>
        </w:rPr>
        <w:t>（5）主要竣工工程情况表</w:t>
      </w:r>
      <w:bookmarkEnd w:id="765"/>
      <w:bookmarkEnd w:id="766"/>
      <w:bookmarkEnd w:id="767"/>
      <w:bookmarkEnd w:id="768"/>
      <w:bookmarkEnd w:id="769"/>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69"/>
        <w:gridCol w:w="1483"/>
        <w:gridCol w:w="1274"/>
        <w:gridCol w:w="1650"/>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建设单位</w:t>
            </w:r>
          </w:p>
          <w:p>
            <w:pPr>
              <w:spacing w:line="300" w:lineRule="auto"/>
              <w:ind w:left="94" w:leftChars="45"/>
              <w:jc w:val="center"/>
              <w:rPr>
                <w:rFonts w:ascii="宋体" w:hAnsi="宋体" w:cs="宋体"/>
                <w:sz w:val="24"/>
              </w:rPr>
            </w:pPr>
          </w:p>
        </w:tc>
        <w:tc>
          <w:tcPr>
            <w:tcW w:w="1483"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项目名称</w:t>
            </w:r>
          </w:p>
        </w:tc>
        <w:tc>
          <w:tcPr>
            <w:tcW w:w="1274"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规模</w:t>
            </w:r>
          </w:p>
        </w:tc>
        <w:tc>
          <w:tcPr>
            <w:tcW w:w="1650"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开、竣工日期</w:t>
            </w:r>
          </w:p>
        </w:tc>
        <w:tc>
          <w:tcPr>
            <w:tcW w:w="1276"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合同价款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rPr>
                <w:rFonts w:ascii="宋体" w:hAnsi="宋体" w:cs="宋体"/>
                <w:sz w:val="24"/>
              </w:rPr>
            </w:pPr>
          </w:p>
          <w:p>
            <w:pPr>
              <w:spacing w:line="300" w:lineRule="auto"/>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bl>
    <w:p>
      <w:pPr>
        <w:spacing w:line="300" w:lineRule="auto"/>
        <w:rPr>
          <w:rFonts w:ascii="宋体" w:hAnsi="宋体" w:cs="宋体"/>
          <w:sz w:val="24"/>
        </w:rPr>
      </w:pPr>
    </w:p>
    <w:p>
      <w:pPr>
        <w:pStyle w:val="23"/>
        <w:spacing w:line="380" w:lineRule="exact"/>
        <w:rPr>
          <w:rFonts w:hAnsi="宋体" w:cs="宋体"/>
          <w:szCs w:val="21"/>
        </w:rPr>
      </w:pPr>
      <w:r>
        <w:rPr>
          <w:rFonts w:hint="eastAsia" w:hAnsi="宋体" w:cs="宋体"/>
          <w:sz w:val="24"/>
        </w:rPr>
        <w:t xml:space="preserve">    [备注：在建业绩提供中标通知书和合同协议书复印件；已完成的业绩提供中标通知书或合同协议书和竣工验收证明复印件，以竣工验收证明时间为准。]。</w:t>
      </w:r>
    </w:p>
    <w:p>
      <w:pPr>
        <w:pStyle w:val="23"/>
        <w:spacing w:line="380" w:lineRule="exact"/>
        <w:rPr>
          <w:rFonts w:hAnsi="宋体" w:cs="宋体"/>
          <w:szCs w:val="21"/>
        </w:rPr>
      </w:pPr>
    </w:p>
    <w:p>
      <w:pPr>
        <w:pStyle w:val="4"/>
        <w:spacing w:line="300" w:lineRule="auto"/>
        <w:rPr>
          <w:rFonts w:hint="default" w:ascii="宋体" w:eastAsia="宋体" w:cs="宋体"/>
          <w:bCs w:val="0"/>
        </w:rPr>
      </w:pPr>
      <w:bookmarkStart w:id="770" w:name="_Toc4045"/>
      <w:bookmarkStart w:id="771" w:name="_Toc384892092"/>
      <w:bookmarkStart w:id="772" w:name="_Toc81461373"/>
      <w:bookmarkStart w:id="773" w:name="_Toc384891889"/>
      <w:r>
        <w:rPr>
          <w:rFonts w:ascii="宋体" w:eastAsia="宋体" w:cs="宋体"/>
          <w:bCs w:val="0"/>
        </w:rPr>
        <w:t>（6）辅助说明资料</w:t>
      </w:r>
      <w:bookmarkEnd w:id="770"/>
      <w:bookmarkEnd w:id="771"/>
      <w:bookmarkEnd w:id="772"/>
      <w:bookmarkEnd w:id="773"/>
    </w:p>
    <w:p>
      <w:pPr>
        <w:spacing w:line="300" w:lineRule="auto"/>
        <w:rPr>
          <w:rFonts w:ascii="宋体" w:hAnsi="宋体" w:cs="宋体"/>
          <w:sz w:val="24"/>
        </w:rPr>
      </w:pPr>
      <w:r>
        <w:rPr>
          <w:rFonts w:hint="eastAsia" w:ascii="宋体" w:hAnsi="宋体" w:cs="宋体"/>
          <w:sz w:val="24"/>
          <w:u w:val="single"/>
        </w:rPr>
        <w:t xml:space="preserve">          （采购项目名称）        </w:t>
      </w:r>
      <w:r>
        <w:rPr>
          <w:rFonts w:hint="eastAsia" w:ascii="宋体" w:hAnsi="宋体" w:cs="宋体"/>
          <w:sz w:val="24"/>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1" w:hRule="atLeast"/>
        </w:trPr>
        <w:tc>
          <w:tcPr>
            <w:tcW w:w="9558" w:type="dxa"/>
          </w:tcPr>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rPr>
                <w:rFonts w:ascii="宋体" w:hAnsi="宋体" w:cs="宋体"/>
              </w:rPr>
            </w:pPr>
          </w:p>
        </w:tc>
      </w:tr>
    </w:tbl>
    <w:p>
      <w:pPr>
        <w:pStyle w:val="19"/>
        <w:spacing w:before="120" w:line="300" w:lineRule="auto"/>
        <w:ind w:left="697" w:right="34" w:hanging="697"/>
        <w:rPr>
          <w:rFonts w:ascii="宋体" w:hAnsi="宋体" w:cs="宋体"/>
          <w:szCs w:val="24"/>
        </w:rPr>
      </w:pPr>
      <w:r>
        <w:rPr>
          <w:rFonts w:hint="eastAsia" w:ascii="宋体" w:hAnsi="宋体" w:cs="宋体"/>
          <w:szCs w:val="24"/>
        </w:rPr>
        <w:t>注：1.辅助说明资料主要包括有关复印证明资料以及供应商认为有必要提供的资料。</w:t>
      </w:r>
    </w:p>
    <w:p>
      <w:pPr>
        <w:pStyle w:val="23"/>
        <w:spacing w:line="380" w:lineRule="exact"/>
        <w:rPr>
          <w:rFonts w:hAnsi="宋体" w:cs="宋体"/>
          <w:sz w:val="24"/>
        </w:rPr>
      </w:pPr>
      <w:r>
        <w:rPr>
          <w:rFonts w:hint="eastAsia" w:hAnsi="宋体" w:cs="宋体"/>
          <w:sz w:val="24"/>
        </w:rPr>
        <w:t>2.项目管理班子配备情况辅助说明资料另附（与本响应文件一起装订）。</w:t>
      </w:r>
    </w:p>
    <w:p>
      <w:pPr>
        <w:pStyle w:val="23"/>
        <w:spacing w:line="380" w:lineRule="exact"/>
        <w:rPr>
          <w:rFonts w:hAnsi="宋体" w:cs="宋体"/>
          <w:szCs w:val="21"/>
        </w:rPr>
      </w:pPr>
    </w:p>
    <w:p>
      <w:pPr>
        <w:pStyle w:val="23"/>
        <w:spacing w:line="380" w:lineRule="exact"/>
        <w:rPr>
          <w:rFonts w:hAnsi="宋体" w:cs="宋体"/>
          <w:szCs w:val="21"/>
        </w:rPr>
      </w:pPr>
    </w:p>
    <w:p>
      <w:pPr>
        <w:spacing w:line="520" w:lineRule="exact"/>
        <w:ind w:firstLine="723" w:firstLineChars="200"/>
        <w:jc w:val="center"/>
        <w:rPr>
          <w:rFonts w:ascii="宋体" w:hAnsi="宋体" w:cs="宋体"/>
          <w:b/>
          <w:bCs/>
          <w:sz w:val="36"/>
          <w:szCs w:val="36"/>
        </w:rPr>
      </w:pPr>
    </w:p>
    <w:p>
      <w:pPr>
        <w:spacing w:line="520" w:lineRule="exact"/>
        <w:ind w:firstLine="723" w:firstLineChars="200"/>
        <w:jc w:val="center"/>
        <w:rPr>
          <w:rFonts w:ascii="宋体" w:hAnsi="宋体" w:cs="宋体"/>
          <w:b/>
          <w:bCs/>
          <w:sz w:val="36"/>
          <w:szCs w:val="36"/>
        </w:rPr>
      </w:pPr>
      <w:r>
        <w:rPr>
          <w:rFonts w:hint="eastAsia" w:ascii="宋体" w:hAnsi="宋体" w:cs="宋体"/>
          <w:b/>
          <w:bCs/>
          <w:sz w:val="36"/>
          <w:szCs w:val="36"/>
        </w:rPr>
        <w:t>中小企业声明函（工程、服务）</w:t>
      </w:r>
    </w:p>
    <w:p>
      <w:pPr>
        <w:spacing w:line="520" w:lineRule="exact"/>
        <w:ind w:firstLine="482" w:firstLineChars="200"/>
        <w:jc w:val="left"/>
        <w:rPr>
          <w:rFonts w:ascii="宋体" w:hAnsi="宋体" w:cs="宋体"/>
          <w:b/>
          <w:bCs/>
          <w:sz w:val="24"/>
        </w:rPr>
      </w:pPr>
    </w:p>
    <w:p>
      <w:pPr>
        <w:spacing w:line="520" w:lineRule="exact"/>
        <w:ind w:firstLine="482" w:firstLineChars="200"/>
        <w:jc w:val="left"/>
        <w:rPr>
          <w:rFonts w:ascii="宋体" w:hAnsi="宋体" w:cs="宋体"/>
          <w:b/>
          <w:bCs/>
          <w:sz w:val="24"/>
        </w:rPr>
      </w:pPr>
      <w:r>
        <w:rPr>
          <w:rFonts w:hint="eastAsia" w:ascii="宋体" w:hAnsi="宋体" w:cs="宋体"/>
          <w:b/>
          <w:bCs/>
          <w:sz w:val="24"/>
        </w:rPr>
        <w:t>本公司（联合体）郑重声明，根据《政府采购促进中小企业发展管理办法》（财库﹝2020﹞46 号）的规定，本公司</w:t>
      </w:r>
    </w:p>
    <w:p>
      <w:pPr>
        <w:spacing w:line="520" w:lineRule="exact"/>
        <w:ind w:firstLine="482" w:firstLineChars="200"/>
        <w:jc w:val="left"/>
        <w:rPr>
          <w:rFonts w:ascii="宋体" w:hAnsi="宋体" w:cs="宋体"/>
          <w:b/>
          <w:bCs/>
          <w:sz w:val="24"/>
        </w:rPr>
      </w:pPr>
      <w:r>
        <w:rPr>
          <w:rFonts w:hint="eastAsia" w:ascii="宋体" w:hAnsi="宋体" w:cs="宋体"/>
          <w:b/>
          <w:bCs/>
          <w:sz w:val="24"/>
        </w:rPr>
        <w:t>（联合体）参加（单位名称）的（项目名称）采购活动，工程的施工单位全部为符合政策要求的中小企业（或者：服务全部由符合政策要求的中小企业承接）。相关企业（含联合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line="520" w:lineRule="exact"/>
        <w:ind w:firstLine="482" w:firstLineChars="200"/>
        <w:jc w:val="left"/>
        <w:rPr>
          <w:rFonts w:ascii="宋体" w:hAnsi="宋体" w:cs="宋体"/>
          <w:b/>
          <w:bCs/>
          <w:sz w:val="24"/>
        </w:rPr>
      </w:pPr>
      <w:r>
        <w:rPr>
          <w:rFonts w:hint="eastAsia" w:ascii="宋体" w:hAnsi="宋体" w:cs="宋体"/>
          <w:b/>
          <w:bCs/>
          <w:sz w:val="24"/>
        </w:rPr>
        <w:t>（标的名称），属于（采购文件中明确的所属行业）；</w:t>
      </w:r>
    </w:p>
    <w:p>
      <w:pPr>
        <w:spacing w:line="520" w:lineRule="exact"/>
        <w:ind w:firstLine="482" w:firstLineChars="200"/>
        <w:jc w:val="left"/>
        <w:rPr>
          <w:rFonts w:ascii="宋体" w:hAnsi="宋体" w:cs="宋体"/>
          <w:b/>
          <w:bCs/>
          <w:sz w:val="24"/>
        </w:rPr>
      </w:pPr>
      <w:r>
        <w:rPr>
          <w:rFonts w:hint="eastAsia" w:ascii="宋体" w:hAnsi="宋体" w:cs="宋体"/>
          <w:b/>
          <w:bCs/>
          <w:sz w:val="24"/>
        </w:rPr>
        <w:t xml:space="preserve">承建（承接）企业为（企业名称），从业人员 </w:t>
      </w:r>
      <w:r>
        <w:rPr>
          <w:rFonts w:hint="eastAsia" w:ascii="宋体" w:hAnsi="宋体" w:cs="宋体"/>
          <w:b/>
          <w:bCs/>
          <w:sz w:val="24"/>
        </w:rPr>
        <w:tab/>
      </w:r>
      <w:r>
        <w:rPr>
          <w:rFonts w:hint="eastAsia" w:ascii="宋体" w:hAnsi="宋体" w:cs="宋体"/>
          <w:b/>
          <w:bCs/>
          <w:sz w:val="24"/>
        </w:rPr>
        <w:t xml:space="preserve">人，营业收入为 </w:t>
      </w:r>
      <w:r>
        <w:rPr>
          <w:rFonts w:hint="eastAsia" w:ascii="宋体" w:hAnsi="宋体" w:cs="宋体"/>
          <w:b/>
          <w:bCs/>
          <w:sz w:val="24"/>
        </w:rPr>
        <w:tab/>
      </w:r>
      <w:r>
        <w:rPr>
          <w:rFonts w:hint="eastAsia" w:ascii="宋体" w:hAnsi="宋体" w:cs="宋体"/>
          <w:b/>
          <w:bCs/>
          <w:sz w:val="24"/>
        </w:rPr>
        <w:t xml:space="preserve">万元，资产总额为 </w:t>
      </w:r>
      <w:r>
        <w:rPr>
          <w:rFonts w:hint="eastAsia" w:ascii="宋体" w:hAnsi="宋体" w:cs="宋体"/>
          <w:b/>
          <w:bCs/>
          <w:sz w:val="24"/>
        </w:rPr>
        <w:tab/>
      </w:r>
      <w:r>
        <w:rPr>
          <w:rFonts w:hint="eastAsia" w:ascii="宋体" w:hAnsi="宋体" w:cs="宋体"/>
          <w:b/>
          <w:bCs/>
          <w:sz w:val="24"/>
        </w:rPr>
        <w:t>万元</w:t>
      </w:r>
      <w:r>
        <w:fldChar w:fldCharType="begin"/>
      </w:r>
      <w:r>
        <w:instrText xml:space="preserve"> HYPERLINK \l "_bookmark1" </w:instrText>
      </w:r>
      <w:r>
        <w:fldChar w:fldCharType="separate"/>
      </w:r>
      <w:r>
        <w:rPr>
          <w:rFonts w:hint="eastAsia" w:ascii="宋体" w:hAnsi="宋体" w:cs="宋体"/>
          <w:b/>
          <w:bCs/>
          <w:sz w:val="24"/>
        </w:rPr>
        <w:t>1</w:t>
      </w:r>
      <w:r>
        <w:rPr>
          <w:rFonts w:hint="eastAsia" w:ascii="宋体" w:hAnsi="宋体" w:cs="宋体"/>
          <w:b/>
          <w:bCs/>
          <w:sz w:val="24"/>
        </w:rPr>
        <w:fldChar w:fldCharType="end"/>
      </w:r>
      <w:r>
        <w:rPr>
          <w:rFonts w:hint="eastAsia" w:ascii="宋体" w:hAnsi="宋体" w:cs="宋体"/>
          <w:b/>
          <w:bCs/>
          <w:sz w:val="24"/>
        </w:rPr>
        <w:t>，属于（中型企业、小型企业、微型企业）；</w:t>
      </w:r>
    </w:p>
    <w:p>
      <w:pPr>
        <w:spacing w:line="520" w:lineRule="exact"/>
        <w:ind w:firstLine="482" w:firstLineChars="200"/>
        <w:jc w:val="left"/>
        <w:rPr>
          <w:rFonts w:ascii="宋体" w:hAnsi="宋体" w:cs="宋体"/>
          <w:b/>
          <w:bCs/>
          <w:sz w:val="24"/>
        </w:rPr>
      </w:pPr>
      <w:r>
        <w:rPr>
          <w:rFonts w:hint="eastAsia" w:ascii="宋体" w:hAnsi="宋体" w:cs="宋体"/>
          <w:b/>
          <w:bCs/>
          <w:sz w:val="24"/>
        </w:rPr>
        <w:t xml:space="preserve">（标的名称），属于（采购文件中明确的所属行业）；           承建（承接）企业为（企业名称），从业人员 </w:t>
      </w:r>
      <w:r>
        <w:rPr>
          <w:rFonts w:hint="eastAsia" w:ascii="宋体" w:hAnsi="宋体" w:cs="宋体"/>
          <w:b/>
          <w:bCs/>
          <w:sz w:val="24"/>
        </w:rPr>
        <w:tab/>
      </w:r>
      <w:r>
        <w:rPr>
          <w:rFonts w:hint="eastAsia" w:ascii="宋体" w:hAnsi="宋体" w:cs="宋体"/>
          <w:b/>
          <w:bCs/>
          <w:sz w:val="24"/>
        </w:rPr>
        <w:t xml:space="preserve">人，营业收入为 </w:t>
      </w:r>
      <w:r>
        <w:rPr>
          <w:rFonts w:hint="eastAsia" w:ascii="宋体" w:hAnsi="宋体" w:cs="宋体"/>
          <w:b/>
          <w:bCs/>
          <w:sz w:val="24"/>
        </w:rPr>
        <w:tab/>
      </w:r>
      <w:r>
        <w:rPr>
          <w:rFonts w:hint="eastAsia" w:ascii="宋体" w:hAnsi="宋体" w:cs="宋体"/>
          <w:b/>
          <w:bCs/>
          <w:sz w:val="24"/>
        </w:rPr>
        <w:t xml:space="preserve">万元，资产总额为 </w:t>
      </w:r>
      <w:r>
        <w:rPr>
          <w:rFonts w:hint="eastAsia" w:ascii="宋体" w:hAnsi="宋体" w:cs="宋体"/>
          <w:b/>
          <w:bCs/>
          <w:sz w:val="24"/>
        </w:rPr>
        <w:tab/>
      </w:r>
      <w:r>
        <w:rPr>
          <w:rFonts w:hint="eastAsia" w:ascii="宋体" w:hAnsi="宋体" w:cs="宋体"/>
          <w:b/>
          <w:bCs/>
          <w:sz w:val="24"/>
        </w:rPr>
        <w:t>万元，属于（中型企业、小型企业、微型企业）；</w:t>
      </w:r>
    </w:p>
    <w:p>
      <w:pPr>
        <w:spacing w:line="520" w:lineRule="exact"/>
        <w:ind w:firstLine="482" w:firstLineChars="200"/>
        <w:jc w:val="left"/>
        <w:rPr>
          <w:rFonts w:ascii="宋体" w:hAnsi="宋体" w:cs="宋体"/>
          <w:b/>
          <w:bCs/>
          <w:sz w:val="24"/>
        </w:rPr>
      </w:pPr>
      <w:r>
        <w:rPr>
          <w:rFonts w:hint="eastAsia" w:ascii="宋体" w:hAnsi="宋体" w:cs="宋体"/>
          <w:b/>
          <w:bCs/>
          <w:sz w:val="24"/>
        </w:rPr>
        <w:t>……</w:t>
      </w:r>
    </w:p>
    <w:p>
      <w:pPr>
        <w:spacing w:line="520" w:lineRule="exact"/>
        <w:ind w:firstLine="482" w:firstLineChars="200"/>
        <w:jc w:val="left"/>
        <w:rPr>
          <w:rFonts w:ascii="宋体" w:hAnsi="宋体" w:cs="宋体"/>
          <w:b/>
          <w:bCs/>
          <w:sz w:val="24"/>
        </w:rPr>
      </w:pPr>
      <w:r>
        <w:rPr>
          <w:rFonts w:hint="eastAsia" w:ascii="宋体" w:hAnsi="宋体" w:cs="宋体"/>
          <w:b/>
          <w:bCs/>
          <w:sz w:val="24"/>
        </w:rPr>
        <w:t>以上企业，不属于大企业的分支机构，不存在控股股东为大企业的情形，也不存在与大企业的负责人为同一人的情形。</w:t>
      </w:r>
    </w:p>
    <w:p>
      <w:pPr>
        <w:spacing w:line="520" w:lineRule="exact"/>
        <w:ind w:firstLine="482" w:firstLineChars="200"/>
        <w:jc w:val="left"/>
        <w:rPr>
          <w:rFonts w:ascii="宋体" w:hAnsi="宋体" w:cs="宋体"/>
          <w:b/>
          <w:bCs/>
          <w:sz w:val="24"/>
        </w:rPr>
      </w:pPr>
      <w:r>
        <w:rPr>
          <w:rFonts w:hint="eastAsia" w:ascii="宋体" w:hAnsi="宋体" w:cs="宋体"/>
          <w:b/>
          <w:bCs/>
          <w:sz w:val="24"/>
        </w:rPr>
        <w:t>本企业对上述声明内容的真实性负责。如有虚假，将依法承担相应责任。</w:t>
      </w:r>
    </w:p>
    <w:p>
      <w:pPr>
        <w:spacing w:line="460" w:lineRule="exact"/>
        <w:rPr>
          <w:rFonts w:ascii="宋体" w:hAnsi="宋体" w:cs="宋体"/>
          <w:sz w:val="24"/>
        </w:rPr>
      </w:pPr>
      <w:r>
        <w:rPr>
          <w:rFonts w:hint="eastAsia" w:ascii="宋体" w:hAnsi="宋体" w:cs="宋体"/>
          <w:b/>
          <w:bCs/>
          <w:sz w:val="24"/>
        </w:rPr>
        <w:t>企业名称（盖章）：日期：</w:t>
      </w: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spacing w:after="156" w:line="400" w:lineRule="exact"/>
        <w:ind w:right="-285"/>
        <w:rPr>
          <w:rFonts w:ascii="宋体" w:hAnsi="宋体" w:cs="宋体"/>
          <w:sz w:val="18"/>
        </w:rPr>
      </w:pPr>
    </w:p>
    <w:p>
      <w:pPr>
        <w:spacing w:line="588" w:lineRule="exact"/>
        <w:jc w:val="center"/>
        <w:rPr>
          <w:rFonts w:ascii="宋体" w:hAnsi="宋体" w:cs="宋体"/>
          <w:b/>
          <w:bCs/>
          <w:spacing w:val="6"/>
          <w:sz w:val="28"/>
          <w:szCs w:val="28"/>
        </w:rPr>
      </w:pPr>
      <w:r>
        <w:rPr>
          <w:rFonts w:hint="eastAsia" w:ascii="宋体" w:hAnsi="宋体" w:cs="宋体"/>
          <w:b/>
          <w:bCs/>
          <w:spacing w:val="6"/>
          <w:sz w:val="28"/>
          <w:szCs w:val="28"/>
        </w:rPr>
        <w:t>残疾人福利性单位声明函（如有）</w:t>
      </w:r>
    </w:p>
    <w:p>
      <w:pPr>
        <w:spacing w:line="588" w:lineRule="exact"/>
        <w:rPr>
          <w:rFonts w:ascii="宋体" w:hAnsi="宋体" w:cs="宋体"/>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日  期：</w:t>
      </w: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
        <w:rPr>
          <w:rFonts w:ascii="宋体" w:hAnsi="宋体" w:eastAsia="宋体" w:cs="宋体"/>
        </w:rPr>
      </w:pPr>
      <w:bookmarkStart w:id="774" w:name="_Toc18839"/>
      <w:r>
        <w:rPr>
          <w:rFonts w:hint="eastAsia" w:ascii="宋体" w:hAnsi="宋体" w:eastAsia="宋体" w:cs="宋体"/>
        </w:rPr>
        <w:t>第七章  技术规范</w:t>
      </w:r>
      <w:bookmarkEnd w:id="774"/>
    </w:p>
    <w:p>
      <w:pPr>
        <w:spacing w:afterLines="50" w:line="400" w:lineRule="exact"/>
        <w:rPr>
          <w:rFonts w:ascii="宋体" w:hAnsi="宋体" w:cs="宋体"/>
          <w:sz w:val="32"/>
          <w:szCs w:val="32"/>
        </w:rPr>
      </w:pPr>
    </w:p>
    <w:p>
      <w:pPr>
        <w:spacing w:line="420" w:lineRule="exact"/>
        <w:rPr>
          <w:rFonts w:ascii="宋体" w:hAnsi="宋体" w:cs="宋体"/>
          <w:sz w:val="28"/>
        </w:rPr>
      </w:pPr>
      <w:r>
        <w:rPr>
          <w:rFonts w:hint="eastAsia" w:ascii="宋体" w:hAnsi="宋体" w:cs="宋体"/>
          <w:sz w:val="28"/>
        </w:rPr>
        <w:t>一、工程建设地点的现场条件：</w:t>
      </w:r>
    </w:p>
    <w:p>
      <w:pPr>
        <w:spacing w:line="420" w:lineRule="exact"/>
        <w:rPr>
          <w:rFonts w:ascii="宋体" w:hAnsi="宋体" w:cs="宋体"/>
        </w:rPr>
      </w:pPr>
      <w:r>
        <w:rPr>
          <w:rFonts w:hint="eastAsia" w:ascii="宋体" w:hAnsi="宋体" w:cs="宋体"/>
        </w:rPr>
        <w:t>（一）现场自然条件</w:t>
      </w:r>
    </w:p>
    <w:p>
      <w:pPr>
        <w:spacing w:line="420" w:lineRule="exact"/>
        <w:ind w:firstLine="840" w:firstLineChars="300"/>
        <w:rPr>
          <w:rFonts w:ascii="宋体" w:hAnsi="宋体" w:cs="宋体"/>
          <w:sz w:val="28"/>
          <w:szCs w:val="28"/>
        </w:rPr>
      </w:pPr>
      <w:r>
        <w:rPr>
          <w:rFonts w:hint="eastAsia" w:ascii="宋体" w:hAnsi="宋体" w:cs="宋体"/>
          <w:sz w:val="28"/>
          <w:szCs w:val="28"/>
        </w:rPr>
        <w:t>满足施工要求。</w:t>
      </w:r>
    </w:p>
    <w:p>
      <w:pPr>
        <w:spacing w:line="420" w:lineRule="exact"/>
        <w:rPr>
          <w:rFonts w:ascii="宋体" w:hAnsi="宋体" w:cs="宋体"/>
        </w:rPr>
      </w:pPr>
      <w:r>
        <w:rPr>
          <w:rFonts w:hint="eastAsia" w:ascii="宋体" w:hAnsi="宋体" w:cs="宋体"/>
        </w:rPr>
        <w:t>（二）现场施工条件</w:t>
      </w:r>
    </w:p>
    <w:p>
      <w:pPr>
        <w:spacing w:line="420" w:lineRule="exact"/>
        <w:ind w:firstLine="840" w:firstLineChars="300"/>
        <w:rPr>
          <w:rFonts w:ascii="宋体" w:hAnsi="宋体" w:cs="宋体"/>
          <w:sz w:val="28"/>
          <w:szCs w:val="28"/>
        </w:rPr>
      </w:pPr>
      <w:r>
        <w:rPr>
          <w:rFonts w:hint="eastAsia" w:ascii="宋体" w:hAnsi="宋体" w:cs="宋体"/>
          <w:sz w:val="28"/>
          <w:szCs w:val="28"/>
        </w:rPr>
        <w:t>符合施工要求。</w:t>
      </w:r>
    </w:p>
    <w:p>
      <w:pPr>
        <w:spacing w:line="420" w:lineRule="exact"/>
        <w:rPr>
          <w:rFonts w:ascii="宋体" w:hAnsi="宋体" w:cs="宋体"/>
          <w:sz w:val="28"/>
        </w:rPr>
      </w:pPr>
      <w:r>
        <w:rPr>
          <w:rFonts w:hint="eastAsia" w:ascii="宋体" w:hAnsi="宋体" w:cs="宋体"/>
          <w:sz w:val="28"/>
        </w:rPr>
        <w:t>二、技术规范</w:t>
      </w:r>
    </w:p>
    <w:p>
      <w:pPr>
        <w:pStyle w:val="13"/>
        <w:spacing w:line="480" w:lineRule="auto"/>
        <w:ind w:firstLine="560" w:firstLineChars="200"/>
        <w:rPr>
          <w:rFonts w:ascii="宋体" w:hAnsi="宋体" w:cs="宋体"/>
          <w:sz w:val="21"/>
          <w:szCs w:val="21"/>
        </w:rPr>
      </w:pPr>
      <w:r>
        <w:rPr>
          <w:rFonts w:hint="eastAsia" w:ascii="宋体" w:hAnsi="宋体" w:cs="宋体"/>
          <w:sz w:val="28"/>
          <w:szCs w:val="28"/>
        </w:rPr>
        <w:t>本工程的技术规范采用国家现行的有关规范、标准和规定，工程建设性标准强制性条文，同时也要严格执行市政公用工程和各专业相关的现行标准和技术规范。</w:t>
      </w:r>
    </w:p>
    <w:p>
      <w:pPr>
        <w:pStyle w:val="13"/>
        <w:spacing w:line="480" w:lineRule="auto"/>
        <w:ind w:firstLineChars="200"/>
        <w:rPr>
          <w:rFonts w:ascii="宋体" w:hAnsi="宋体" w:cs="宋体"/>
        </w:rPr>
      </w:pPr>
      <w:r>
        <w:rPr>
          <w:rFonts w:hint="eastAsia" w:ascii="宋体" w:hAnsi="宋体" w:cs="宋体"/>
          <w:sz w:val="21"/>
          <w:szCs w:val="21"/>
        </w:rPr>
        <w:br w:type="page"/>
      </w:r>
    </w:p>
    <w:p>
      <w:pPr>
        <w:pStyle w:val="2"/>
        <w:spacing w:line="360" w:lineRule="auto"/>
        <w:rPr>
          <w:rFonts w:ascii="宋体" w:hAnsi="宋体" w:eastAsia="宋体" w:cs="宋体"/>
        </w:rPr>
      </w:pPr>
      <w:bookmarkStart w:id="775" w:name="_Toc28204"/>
      <w:r>
        <w:rPr>
          <w:rFonts w:hint="eastAsia" w:ascii="宋体" w:hAnsi="宋体" w:eastAsia="宋体" w:cs="宋体"/>
        </w:rPr>
        <w:t>第八章  图纸及工程量清单（另附）</w:t>
      </w:r>
      <w:bookmarkEnd w:id="775"/>
    </w:p>
    <w:p>
      <w:pPr>
        <w:pStyle w:val="2"/>
        <w:spacing w:line="360" w:lineRule="auto"/>
        <w:jc w:val="both"/>
        <w:rPr>
          <w:rFonts w:ascii="宋体" w:hAnsi="宋体" w:eastAsia="宋体" w:cs="宋体"/>
          <w:b/>
          <w:szCs w:val="21"/>
        </w:rPr>
      </w:pPr>
    </w:p>
    <w:sectPr>
      <w:footerReference r:id="rId13" w:type="first"/>
      <w:footerReference r:id="rId12" w:type="default"/>
      <w:pgSz w:w="11906" w:h="16838"/>
      <w:pgMar w:top="1304" w:right="1134" w:bottom="850" w:left="1418" w:header="851" w:footer="737"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0"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fldChar w:fldCharType="begin"/>
    </w:r>
    <w:r>
      <w:rPr>
        <w:rStyle w:val="48"/>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5431"/>
        <w:tab w:val="clear" w:pos="4153"/>
      </w:tabs>
    </w:pPr>
    <w:r>
      <w:pict>
        <v:shape id="_x0000_s11273" o:spid="_x0000_s112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16</w:t>
                </w:r>
                <w:r>
                  <w:fldChar w:fldCharType="end"/>
                </w: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1274" o:spid="_x0000_s112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52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1275" o:spid="_x0000_s112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93</w:t>
                </w:r>
                <w:r>
                  <w:fldChar w:fldCharType="end"/>
                </w:r>
              </w:p>
            </w:txbxContent>
          </v:textbox>
        </v:shape>
      </w:pict>
    </w:r>
  </w:p>
  <w:p>
    <w:pPr>
      <w:pStyle w:val="2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1272" o:spid="_x0000_s1127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400" w:lineRule="exact"/>
      <w:ind w:firstLine="0" w:firstLineChars="0"/>
      <w:jc w:val="left"/>
      <w:rPr>
        <w:sz w:val="18"/>
        <w:szCs w:val="18"/>
        <w:u w:val="single"/>
      </w:rPr>
    </w:pPr>
    <w:r>
      <w:rPr>
        <w:rFonts w:hint="eastAsia"/>
      </w:rPr>
      <w:t>百色市田阳区农副产品综合批发市场门前市政道路工程</w:t>
    </w:r>
    <w:r>
      <w:rPr>
        <w:rFonts w:hint="eastAsia" w:cs="宋体"/>
        <w:color w:val="000000" w:themeColor="text1"/>
        <w:spacing w:val="0"/>
        <w:sz w:val="20"/>
        <w:szCs w:val="20"/>
      </w:rPr>
      <w:t xml:space="preserve">             BSZC202</w:t>
    </w:r>
    <w:r>
      <w:rPr>
        <w:rFonts w:hint="eastAsia" w:cs="宋体"/>
        <w:color w:val="000000" w:themeColor="text1"/>
        <w:spacing w:val="0"/>
        <w:sz w:val="20"/>
        <w:szCs w:val="20"/>
        <w:lang w:val="en-US" w:eastAsia="zh-CN"/>
      </w:rPr>
      <w:t>4</w:t>
    </w:r>
    <w:r>
      <w:rPr>
        <w:rFonts w:hint="eastAsia" w:cs="宋体"/>
        <w:color w:val="000000" w:themeColor="text1"/>
        <w:spacing w:val="0"/>
        <w:sz w:val="20"/>
        <w:szCs w:val="20"/>
      </w:rPr>
      <w:t>-C2-210</w:t>
    </w:r>
    <w:r>
      <w:rPr>
        <w:rFonts w:hint="eastAsia" w:cs="宋体"/>
        <w:color w:val="000000" w:themeColor="text1"/>
        <w:spacing w:val="0"/>
        <w:sz w:val="20"/>
        <w:szCs w:val="20"/>
        <w:lang w:val="en-US" w:eastAsia="zh-CN"/>
      </w:rPr>
      <w:t>001</w:t>
    </w:r>
    <w:r>
      <w:rPr>
        <w:rFonts w:hint="eastAsia" w:cs="宋体"/>
        <w:color w:val="000000" w:themeColor="text1"/>
        <w:spacing w:val="0"/>
        <w:sz w:val="20"/>
        <w:szCs w:val="20"/>
      </w:rPr>
      <w:t>-GXSQ</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eastAsia" w:asciiTheme="majorEastAsia" w:hAnsiTheme="majorEastAsia" w:eastAsiaTheme="majorEastAsia" w:cstheme="majorEastAsia"/>
        <w:color w:val="000000" w:themeColor="text1"/>
        <w:sz w:val="18"/>
        <w:szCs w:val="18"/>
        <w:lang w:val="en-US" w:eastAsia="zh-CN"/>
      </w:rPr>
    </w:pPr>
    <w:r>
      <w:rPr>
        <w:rFonts w:hint="eastAsia" w:asciiTheme="majorEastAsia" w:hAnsiTheme="majorEastAsia" w:eastAsiaTheme="majorEastAsia" w:cstheme="majorEastAsia"/>
        <w:sz w:val="18"/>
        <w:szCs w:val="18"/>
        <w:lang w:eastAsia="zh-CN"/>
      </w:rPr>
      <w:t>田林县乐里镇新市社区、河南社区灯光改造工程项目（标段一）</w:t>
    </w:r>
    <w:r>
      <w:rPr>
        <w:rFonts w:hint="eastAsia" w:asciiTheme="majorEastAsia" w:hAnsiTheme="majorEastAsia" w:eastAsiaTheme="majorEastAsia" w:cstheme="majorEastAsia"/>
        <w:color w:val="000000" w:themeColor="text1"/>
        <w:sz w:val="18"/>
        <w:szCs w:val="18"/>
      </w:rPr>
      <w:t xml:space="preserve">  </w:t>
    </w:r>
    <w:r>
      <w:rPr>
        <w:rFonts w:hint="eastAsia" w:asciiTheme="majorEastAsia" w:hAnsiTheme="majorEastAsia" w:eastAsiaTheme="majorEastAsia" w:cstheme="majorEastAsia"/>
        <w:color w:val="000000" w:themeColor="text1"/>
        <w:sz w:val="18"/>
        <w:szCs w:val="18"/>
        <w:lang w:val="en-US" w:eastAsia="zh-CN"/>
      </w:rPr>
      <w:t xml:space="preserve"> </w:t>
    </w:r>
    <w:r>
      <w:rPr>
        <w:rFonts w:hint="eastAsia" w:asciiTheme="majorEastAsia" w:hAnsiTheme="majorEastAsia" w:eastAsiaTheme="majorEastAsia" w:cstheme="majorEastAsia"/>
        <w:color w:val="000000" w:themeColor="text1"/>
        <w:sz w:val="18"/>
        <w:szCs w:val="18"/>
      </w:rPr>
      <w:t xml:space="preserve">   </w:t>
    </w:r>
    <w:r>
      <w:rPr>
        <w:rFonts w:hint="eastAsia" w:asciiTheme="majorEastAsia" w:hAnsiTheme="majorEastAsia" w:eastAsiaTheme="majorEastAsia" w:cstheme="majorEastAsia"/>
        <w:color w:val="000000" w:themeColor="text1"/>
        <w:sz w:val="18"/>
        <w:szCs w:val="18"/>
        <w:lang w:val="en-US" w:eastAsia="zh-CN"/>
      </w:rPr>
      <w:t xml:space="preserve">            </w:t>
    </w:r>
    <w:r>
      <w:rPr>
        <w:rFonts w:hint="eastAsia" w:asciiTheme="majorEastAsia" w:hAnsiTheme="majorEastAsia" w:eastAsiaTheme="majorEastAsia" w:cstheme="majorEastAsia"/>
        <w:color w:val="000000" w:themeColor="text1"/>
        <w:sz w:val="18"/>
        <w:szCs w:val="18"/>
      </w:rPr>
      <w:t xml:space="preserve"> BSZC2024-C2-290001-GXYQ</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default" w:eastAsia="宋体"/>
        <w:color w:val="000000" w:themeColor="text1"/>
        <w:sz w:val="21"/>
        <w:szCs w:val="21"/>
        <w:lang w:val="en-US" w:eastAsia="zh-CN"/>
      </w:rPr>
    </w:pPr>
    <w:r>
      <w:rPr>
        <w:rFonts w:hint="eastAsia"/>
        <w:sz w:val="21"/>
        <w:szCs w:val="21"/>
      </w:rPr>
      <w:t xml:space="preserve">田林县乐里镇新市社区、河南社区灯光改造工程项目（标段一） </w:t>
    </w:r>
    <w:r>
      <w:rPr>
        <w:rFonts w:hint="eastAsia" w:ascii="宋体" w:hAnsi="宋体" w:cs="宋体"/>
        <w:color w:val="000000" w:themeColor="text1"/>
        <w:sz w:val="21"/>
        <w:szCs w:val="21"/>
      </w:rPr>
      <w:t xml:space="preserve"> </w:t>
    </w:r>
    <w:r>
      <w:rPr>
        <w:rFonts w:hint="eastAsia" w:cs="宋体"/>
        <w:color w:val="000000" w:themeColor="text1"/>
        <w:sz w:val="21"/>
        <w:szCs w:val="21"/>
      </w:rPr>
      <w:t xml:space="preserve">          </w:t>
    </w:r>
    <w:r>
      <w:rPr>
        <w:rFonts w:hint="eastAsia" w:cs="宋体"/>
        <w:color w:val="000000" w:themeColor="text1"/>
        <w:sz w:val="21"/>
        <w:szCs w:val="21"/>
        <w:lang w:val="en-US" w:eastAsia="zh-CN"/>
      </w:rPr>
      <w:t xml:space="preserve"> </w:t>
    </w:r>
    <w:r>
      <w:rPr>
        <w:rFonts w:hint="eastAsia" w:ascii="宋体" w:hAnsi="宋体" w:cs="宋体"/>
        <w:color w:val="000000" w:themeColor="text1"/>
        <w:sz w:val="21"/>
        <w:szCs w:val="21"/>
      </w:rPr>
      <w:t>BSZC2024-C2-290001-GXYQ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1"/>
    <w:multiLevelType w:val="multilevel"/>
    <w:tmpl w:val="00000011"/>
    <w:lvl w:ilvl="0" w:tentative="0">
      <w:start w:val="1"/>
      <w:numFmt w:val="decimal"/>
      <w:lvlText w:val="(%1)"/>
      <w:lvlJc w:val="left"/>
      <w:pPr>
        <w:tabs>
          <w:tab w:val="left" w:pos="960"/>
        </w:tabs>
        <w:ind w:left="960" w:hanging="480"/>
      </w:pPr>
      <w:rPr>
        <w:rFonts w:hint="eastAsia"/>
      </w:rPr>
    </w:lvl>
    <w:lvl w:ilvl="1" w:tentative="0">
      <w:start w:val="1"/>
      <w:numFmt w:val="japaneseCounting"/>
      <w:lvlText w:val="%2、"/>
      <w:lvlJc w:val="left"/>
      <w:pPr>
        <w:tabs>
          <w:tab w:val="left" w:pos="1380"/>
        </w:tabs>
        <w:ind w:left="1380" w:hanging="4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EDD6596"/>
    <w:multiLevelType w:val="singleLevel"/>
    <w:tmpl w:val="6EDD6596"/>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3,4,5,6,7,8,9,10,11"/>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FkNmI0N2EzMWJlMTY1Zjk2MDQ4MWM4YTVkNzA1OWQifQ=="/>
  </w:docVars>
  <w:rsids>
    <w:rsidRoot w:val="00172A27"/>
    <w:rsid w:val="00000F38"/>
    <w:rsid w:val="000023CD"/>
    <w:rsid w:val="0000241D"/>
    <w:rsid w:val="000029B3"/>
    <w:rsid w:val="00010E37"/>
    <w:rsid w:val="00013C67"/>
    <w:rsid w:val="00016146"/>
    <w:rsid w:val="00025A08"/>
    <w:rsid w:val="000269D9"/>
    <w:rsid w:val="0003657B"/>
    <w:rsid w:val="0003756B"/>
    <w:rsid w:val="00040821"/>
    <w:rsid w:val="00042B57"/>
    <w:rsid w:val="000464F5"/>
    <w:rsid w:val="00047B8C"/>
    <w:rsid w:val="00047E86"/>
    <w:rsid w:val="0005182F"/>
    <w:rsid w:val="00052489"/>
    <w:rsid w:val="000541C4"/>
    <w:rsid w:val="00061FB9"/>
    <w:rsid w:val="0006763C"/>
    <w:rsid w:val="0007443E"/>
    <w:rsid w:val="00075689"/>
    <w:rsid w:val="00080116"/>
    <w:rsid w:val="00087420"/>
    <w:rsid w:val="000951B0"/>
    <w:rsid w:val="000A3407"/>
    <w:rsid w:val="000A4036"/>
    <w:rsid w:val="000B4521"/>
    <w:rsid w:val="000B5204"/>
    <w:rsid w:val="000B659B"/>
    <w:rsid w:val="000C115D"/>
    <w:rsid w:val="000C2BDD"/>
    <w:rsid w:val="000C346C"/>
    <w:rsid w:val="000C4357"/>
    <w:rsid w:val="000C63CC"/>
    <w:rsid w:val="000D1181"/>
    <w:rsid w:val="000D3539"/>
    <w:rsid w:val="000D7EC2"/>
    <w:rsid w:val="000E21B5"/>
    <w:rsid w:val="000E54D5"/>
    <w:rsid w:val="000E704F"/>
    <w:rsid w:val="000F28D4"/>
    <w:rsid w:val="000F5985"/>
    <w:rsid w:val="00100DB7"/>
    <w:rsid w:val="00100F12"/>
    <w:rsid w:val="00106DEC"/>
    <w:rsid w:val="001070CB"/>
    <w:rsid w:val="0011191A"/>
    <w:rsid w:val="00113758"/>
    <w:rsid w:val="00114702"/>
    <w:rsid w:val="0011499D"/>
    <w:rsid w:val="0012050B"/>
    <w:rsid w:val="00120CA8"/>
    <w:rsid w:val="00121C9C"/>
    <w:rsid w:val="0013223F"/>
    <w:rsid w:val="00132841"/>
    <w:rsid w:val="00134C02"/>
    <w:rsid w:val="00143C43"/>
    <w:rsid w:val="00150833"/>
    <w:rsid w:val="001509E1"/>
    <w:rsid w:val="0015251B"/>
    <w:rsid w:val="001608D0"/>
    <w:rsid w:val="0016154B"/>
    <w:rsid w:val="001642F4"/>
    <w:rsid w:val="0016459F"/>
    <w:rsid w:val="0016675D"/>
    <w:rsid w:val="001714B6"/>
    <w:rsid w:val="00172682"/>
    <w:rsid w:val="00172A27"/>
    <w:rsid w:val="0017408F"/>
    <w:rsid w:val="001756B0"/>
    <w:rsid w:val="001769B3"/>
    <w:rsid w:val="00176FD4"/>
    <w:rsid w:val="001814D1"/>
    <w:rsid w:val="00187E3E"/>
    <w:rsid w:val="00194852"/>
    <w:rsid w:val="001A1450"/>
    <w:rsid w:val="001A6EC8"/>
    <w:rsid w:val="001B050D"/>
    <w:rsid w:val="001B4D53"/>
    <w:rsid w:val="001B6473"/>
    <w:rsid w:val="001C1178"/>
    <w:rsid w:val="001C3010"/>
    <w:rsid w:val="001C30BB"/>
    <w:rsid w:val="001C4A2E"/>
    <w:rsid w:val="001D0492"/>
    <w:rsid w:val="001D0627"/>
    <w:rsid w:val="001D0691"/>
    <w:rsid w:val="001D0ABE"/>
    <w:rsid w:val="001D13C7"/>
    <w:rsid w:val="001D75C2"/>
    <w:rsid w:val="001E0A7C"/>
    <w:rsid w:val="001E6C21"/>
    <w:rsid w:val="001F0871"/>
    <w:rsid w:val="001F1291"/>
    <w:rsid w:val="001F24BD"/>
    <w:rsid w:val="001F49A7"/>
    <w:rsid w:val="001F5EAB"/>
    <w:rsid w:val="00206FD3"/>
    <w:rsid w:val="00210D01"/>
    <w:rsid w:val="0021161D"/>
    <w:rsid w:val="00211D6E"/>
    <w:rsid w:val="00227458"/>
    <w:rsid w:val="00234B7F"/>
    <w:rsid w:val="002363A5"/>
    <w:rsid w:val="0023733A"/>
    <w:rsid w:val="002373D5"/>
    <w:rsid w:val="00243018"/>
    <w:rsid w:val="00243771"/>
    <w:rsid w:val="00243A4A"/>
    <w:rsid w:val="00243F6D"/>
    <w:rsid w:val="002455AE"/>
    <w:rsid w:val="00250C4B"/>
    <w:rsid w:val="00251323"/>
    <w:rsid w:val="00255E4D"/>
    <w:rsid w:val="00257EB2"/>
    <w:rsid w:val="00262943"/>
    <w:rsid w:val="00273EB3"/>
    <w:rsid w:val="00274628"/>
    <w:rsid w:val="00283139"/>
    <w:rsid w:val="00285790"/>
    <w:rsid w:val="00287256"/>
    <w:rsid w:val="00294976"/>
    <w:rsid w:val="00294980"/>
    <w:rsid w:val="002A2E47"/>
    <w:rsid w:val="002A4D83"/>
    <w:rsid w:val="002C0060"/>
    <w:rsid w:val="002C2F98"/>
    <w:rsid w:val="002C3A1D"/>
    <w:rsid w:val="002C3B4A"/>
    <w:rsid w:val="002D2865"/>
    <w:rsid w:val="002E1E84"/>
    <w:rsid w:val="002E4C16"/>
    <w:rsid w:val="002F02C8"/>
    <w:rsid w:val="002F0922"/>
    <w:rsid w:val="002F7CC8"/>
    <w:rsid w:val="003014D5"/>
    <w:rsid w:val="003036CE"/>
    <w:rsid w:val="0030658C"/>
    <w:rsid w:val="00325CAE"/>
    <w:rsid w:val="00327208"/>
    <w:rsid w:val="00342459"/>
    <w:rsid w:val="0036499E"/>
    <w:rsid w:val="00364DF3"/>
    <w:rsid w:val="00365CD9"/>
    <w:rsid w:val="00366977"/>
    <w:rsid w:val="00375592"/>
    <w:rsid w:val="003825E1"/>
    <w:rsid w:val="00390506"/>
    <w:rsid w:val="00390AE1"/>
    <w:rsid w:val="00391719"/>
    <w:rsid w:val="003933C9"/>
    <w:rsid w:val="00397003"/>
    <w:rsid w:val="003979F8"/>
    <w:rsid w:val="003A089C"/>
    <w:rsid w:val="003A2958"/>
    <w:rsid w:val="003A30A2"/>
    <w:rsid w:val="003B1707"/>
    <w:rsid w:val="003B5692"/>
    <w:rsid w:val="003C0CD6"/>
    <w:rsid w:val="003C1FDA"/>
    <w:rsid w:val="003C2912"/>
    <w:rsid w:val="003D0D61"/>
    <w:rsid w:val="003D7D20"/>
    <w:rsid w:val="003E05E8"/>
    <w:rsid w:val="003E4AA6"/>
    <w:rsid w:val="003E62B9"/>
    <w:rsid w:val="003F15E8"/>
    <w:rsid w:val="003F5573"/>
    <w:rsid w:val="003F5752"/>
    <w:rsid w:val="00415CBC"/>
    <w:rsid w:val="00421531"/>
    <w:rsid w:val="0042590D"/>
    <w:rsid w:val="0043412F"/>
    <w:rsid w:val="00437563"/>
    <w:rsid w:val="00444CBD"/>
    <w:rsid w:val="00444E5A"/>
    <w:rsid w:val="004704F1"/>
    <w:rsid w:val="00471B3E"/>
    <w:rsid w:val="00476513"/>
    <w:rsid w:val="00480F19"/>
    <w:rsid w:val="00483B25"/>
    <w:rsid w:val="0049050C"/>
    <w:rsid w:val="004916B8"/>
    <w:rsid w:val="004A7509"/>
    <w:rsid w:val="004B5CB1"/>
    <w:rsid w:val="004B78DE"/>
    <w:rsid w:val="004C320B"/>
    <w:rsid w:val="004D0146"/>
    <w:rsid w:val="004D67D0"/>
    <w:rsid w:val="004E63B0"/>
    <w:rsid w:val="004F49C3"/>
    <w:rsid w:val="004F601B"/>
    <w:rsid w:val="00500C7B"/>
    <w:rsid w:val="00503308"/>
    <w:rsid w:val="00503884"/>
    <w:rsid w:val="005069CC"/>
    <w:rsid w:val="00506D92"/>
    <w:rsid w:val="00507B1F"/>
    <w:rsid w:val="0051278A"/>
    <w:rsid w:val="00512FE4"/>
    <w:rsid w:val="00516628"/>
    <w:rsid w:val="0051715D"/>
    <w:rsid w:val="00522182"/>
    <w:rsid w:val="00524987"/>
    <w:rsid w:val="00525D94"/>
    <w:rsid w:val="005265AD"/>
    <w:rsid w:val="00527E76"/>
    <w:rsid w:val="00533680"/>
    <w:rsid w:val="00541DA9"/>
    <w:rsid w:val="00543C8E"/>
    <w:rsid w:val="005542A8"/>
    <w:rsid w:val="00565A61"/>
    <w:rsid w:val="00567308"/>
    <w:rsid w:val="00577C7C"/>
    <w:rsid w:val="005839C4"/>
    <w:rsid w:val="00583DB7"/>
    <w:rsid w:val="00590A86"/>
    <w:rsid w:val="00594415"/>
    <w:rsid w:val="0059497F"/>
    <w:rsid w:val="00596582"/>
    <w:rsid w:val="005A03CB"/>
    <w:rsid w:val="005A1C9D"/>
    <w:rsid w:val="005A2715"/>
    <w:rsid w:val="005A5F89"/>
    <w:rsid w:val="005B50F0"/>
    <w:rsid w:val="005D1540"/>
    <w:rsid w:val="005D6E75"/>
    <w:rsid w:val="005D7BBA"/>
    <w:rsid w:val="005E05F9"/>
    <w:rsid w:val="005E25E2"/>
    <w:rsid w:val="005E3D0C"/>
    <w:rsid w:val="005E6027"/>
    <w:rsid w:val="005E7FDB"/>
    <w:rsid w:val="005F188E"/>
    <w:rsid w:val="005F24D3"/>
    <w:rsid w:val="005F5E3C"/>
    <w:rsid w:val="00601DC3"/>
    <w:rsid w:val="00605502"/>
    <w:rsid w:val="00607B9A"/>
    <w:rsid w:val="00616D07"/>
    <w:rsid w:val="00617C25"/>
    <w:rsid w:val="00622BB8"/>
    <w:rsid w:val="00631891"/>
    <w:rsid w:val="0063792A"/>
    <w:rsid w:val="00641D1C"/>
    <w:rsid w:val="006430A9"/>
    <w:rsid w:val="0064523D"/>
    <w:rsid w:val="0064640F"/>
    <w:rsid w:val="006519F4"/>
    <w:rsid w:val="00653979"/>
    <w:rsid w:val="00656570"/>
    <w:rsid w:val="0066005E"/>
    <w:rsid w:val="00660BFB"/>
    <w:rsid w:val="00663645"/>
    <w:rsid w:val="00666F7E"/>
    <w:rsid w:val="0067068C"/>
    <w:rsid w:val="00676132"/>
    <w:rsid w:val="00677E52"/>
    <w:rsid w:val="006812C2"/>
    <w:rsid w:val="00686475"/>
    <w:rsid w:val="006916F8"/>
    <w:rsid w:val="00694BD4"/>
    <w:rsid w:val="00697030"/>
    <w:rsid w:val="006975C3"/>
    <w:rsid w:val="006A03F9"/>
    <w:rsid w:val="006A3470"/>
    <w:rsid w:val="006A44DA"/>
    <w:rsid w:val="006A7F95"/>
    <w:rsid w:val="006B6EBF"/>
    <w:rsid w:val="006C3EB9"/>
    <w:rsid w:val="006C6D7B"/>
    <w:rsid w:val="006C7FAB"/>
    <w:rsid w:val="006D2A69"/>
    <w:rsid w:val="006D2DD4"/>
    <w:rsid w:val="006D408D"/>
    <w:rsid w:val="006E0CD4"/>
    <w:rsid w:val="006E2491"/>
    <w:rsid w:val="006E2DB0"/>
    <w:rsid w:val="006F18D0"/>
    <w:rsid w:val="006F3205"/>
    <w:rsid w:val="006F6B4D"/>
    <w:rsid w:val="00704965"/>
    <w:rsid w:val="00705828"/>
    <w:rsid w:val="0070660B"/>
    <w:rsid w:val="007108B3"/>
    <w:rsid w:val="007109A8"/>
    <w:rsid w:val="00714029"/>
    <w:rsid w:val="007156A6"/>
    <w:rsid w:val="00724323"/>
    <w:rsid w:val="00734A75"/>
    <w:rsid w:val="007410E0"/>
    <w:rsid w:val="007456C0"/>
    <w:rsid w:val="00745EFD"/>
    <w:rsid w:val="00747627"/>
    <w:rsid w:val="00752517"/>
    <w:rsid w:val="0075587E"/>
    <w:rsid w:val="00757530"/>
    <w:rsid w:val="00757AE7"/>
    <w:rsid w:val="00763CEE"/>
    <w:rsid w:val="00767ACF"/>
    <w:rsid w:val="0077089B"/>
    <w:rsid w:val="00770C0F"/>
    <w:rsid w:val="00772B43"/>
    <w:rsid w:val="00773CD4"/>
    <w:rsid w:val="00774C0C"/>
    <w:rsid w:val="007765A2"/>
    <w:rsid w:val="0079531B"/>
    <w:rsid w:val="007B4D35"/>
    <w:rsid w:val="007B77A8"/>
    <w:rsid w:val="007C0460"/>
    <w:rsid w:val="007C19A1"/>
    <w:rsid w:val="007C236C"/>
    <w:rsid w:val="007C4B46"/>
    <w:rsid w:val="007C58BE"/>
    <w:rsid w:val="007D74AF"/>
    <w:rsid w:val="007E0A56"/>
    <w:rsid w:val="007E1337"/>
    <w:rsid w:val="007E2E98"/>
    <w:rsid w:val="007E5949"/>
    <w:rsid w:val="007E5BE6"/>
    <w:rsid w:val="008013E7"/>
    <w:rsid w:val="0080630D"/>
    <w:rsid w:val="00817549"/>
    <w:rsid w:val="00817DCB"/>
    <w:rsid w:val="00823ACA"/>
    <w:rsid w:val="00830AB6"/>
    <w:rsid w:val="00842DBA"/>
    <w:rsid w:val="00844AC0"/>
    <w:rsid w:val="00853D28"/>
    <w:rsid w:val="0085553D"/>
    <w:rsid w:val="00857523"/>
    <w:rsid w:val="00857A20"/>
    <w:rsid w:val="008603CA"/>
    <w:rsid w:val="00866C16"/>
    <w:rsid w:val="00867C88"/>
    <w:rsid w:val="008718A9"/>
    <w:rsid w:val="008720CD"/>
    <w:rsid w:val="00881E61"/>
    <w:rsid w:val="00890806"/>
    <w:rsid w:val="00895ABB"/>
    <w:rsid w:val="008B12C0"/>
    <w:rsid w:val="008B50AF"/>
    <w:rsid w:val="008B5408"/>
    <w:rsid w:val="008B6DB7"/>
    <w:rsid w:val="008B7E80"/>
    <w:rsid w:val="008C1888"/>
    <w:rsid w:val="008C354E"/>
    <w:rsid w:val="008C4321"/>
    <w:rsid w:val="008C6C2D"/>
    <w:rsid w:val="008C766D"/>
    <w:rsid w:val="008D1B8A"/>
    <w:rsid w:val="008D1D3E"/>
    <w:rsid w:val="008D522C"/>
    <w:rsid w:val="008D5DE7"/>
    <w:rsid w:val="008E7EE2"/>
    <w:rsid w:val="008F0F22"/>
    <w:rsid w:val="008F4CA8"/>
    <w:rsid w:val="008F4F37"/>
    <w:rsid w:val="0090090E"/>
    <w:rsid w:val="00901B6F"/>
    <w:rsid w:val="009072A4"/>
    <w:rsid w:val="00911B8E"/>
    <w:rsid w:val="00912078"/>
    <w:rsid w:val="00921CDB"/>
    <w:rsid w:val="0092217F"/>
    <w:rsid w:val="00923254"/>
    <w:rsid w:val="00925991"/>
    <w:rsid w:val="00926631"/>
    <w:rsid w:val="009342B1"/>
    <w:rsid w:val="00941A45"/>
    <w:rsid w:val="00943069"/>
    <w:rsid w:val="009462FA"/>
    <w:rsid w:val="00946536"/>
    <w:rsid w:val="00946F75"/>
    <w:rsid w:val="009536DA"/>
    <w:rsid w:val="00953750"/>
    <w:rsid w:val="00954F59"/>
    <w:rsid w:val="00965F5E"/>
    <w:rsid w:val="00973166"/>
    <w:rsid w:val="00974FDA"/>
    <w:rsid w:val="009755CB"/>
    <w:rsid w:val="009813A0"/>
    <w:rsid w:val="009813EB"/>
    <w:rsid w:val="009822BE"/>
    <w:rsid w:val="009841F4"/>
    <w:rsid w:val="0098423F"/>
    <w:rsid w:val="0099311D"/>
    <w:rsid w:val="009A0472"/>
    <w:rsid w:val="009A0712"/>
    <w:rsid w:val="009A2834"/>
    <w:rsid w:val="009A4658"/>
    <w:rsid w:val="009A5468"/>
    <w:rsid w:val="009A5636"/>
    <w:rsid w:val="009A7305"/>
    <w:rsid w:val="009C0D6C"/>
    <w:rsid w:val="009C3F14"/>
    <w:rsid w:val="009C4B13"/>
    <w:rsid w:val="009C5C23"/>
    <w:rsid w:val="009C7756"/>
    <w:rsid w:val="009C7944"/>
    <w:rsid w:val="009C7AFD"/>
    <w:rsid w:val="009D1389"/>
    <w:rsid w:val="009D74B4"/>
    <w:rsid w:val="009D7826"/>
    <w:rsid w:val="009E0471"/>
    <w:rsid w:val="009E5BC8"/>
    <w:rsid w:val="009F19FE"/>
    <w:rsid w:val="009F3E12"/>
    <w:rsid w:val="00A0281E"/>
    <w:rsid w:val="00A02D3E"/>
    <w:rsid w:val="00A034FE"/>
    <w:rsid w:val="00A12308"/>
    <w:rsid w:val="00A16955"/>
    <w:rsid w:val="00A172D8"/>
    <w:rsid w:val="00A20889"/>
    <w:rsid w:val="00A248E1"/>
    <w:rsid w:val="00A2741D"/>
    <w:rsid w:val="00A27AAD"/>
    <w:rsid w:val="00A35084"/>
    <w:rsid w:val="00A4576B"/>
    <w:rsid w:val="00A46C15"/>
    <w:rsid w:val="00A53142"/>
    <w:rsid w:val="00A54ABD"/>
    <w:rsid w:val="00A553C4"/>
    <w:rsid w:val="00A65BA7"/>
    <w:rsid w:val="00A71C3D"/>
    <w:rsid w:val="00A80B45"/>
    <w:rsid w:val="00A824F4"/>
    <w:rsid w:val="00AA1CFF"/>
    <w:rsid w:val="00AA29B5"/>
    <w:rsid w:val="00AA7CF8"/>
    <w:rsid w:val="00AB5DB7"/>
    <w:rsid w:val="00AD013D"/>
    <w:rsid w:val="00AD09E2"/>
    <w:rsid w:val="00AD3B17"/>
    <w:rsid w:val="00AD4632"/>
    <w:rsid w:val="00AE6EAD"/>
    <w:rsid w:val="00AE7F21"/>
    <w:rsid w:val="00AF38E2"/>
    <w:rsid w:val="00AF7C51"/>
    <w:rsid w:val="00B14BD5"/>
    <w:rsid w:val="00B22918"/>
    <w:rsid w:val="00B24539"/>
    <w:rsid w:val="00B24603"/>
    <w:rsid w:val="00B26463"/>
    <w:rsid w:val="00B27416"/>
    <w:rsid w:val="00B279BC"/>
    <w:rsid w:val="00B309A6"/>
    <w:rsid w:val="00B32BBB"/>
    <w:rsid w:val="00B36DD9"/>
    <w:rsid w:val="00B51F35"/>
    <w:rsid w:val="00B60B36"/>
    <w:rsid w:val="00B64A1F"/>
    <w:rsid w:val="00B65770"/>
    <w:rsid w:val="00B66AF9"/>
    <w:rsid w:val="00B71C37"/>
    <w:rsid w:val="00B762AD"/>
    <w:rsid w:val="00B81943"/>
    <w:rsid w:val="00B83032"/>
    <w:rsid w:val="00B855DF"/>
    <w:rsid w:val="00B91C0F"/>
    <w:rsid w:val="00B93A85"/>
    <w:rsid w:val="00B95E3D"/>
    <w:rsid w:val="00BA2628"/>
    <w:rsid w:val="00BA54EB"/>
    <w:rsid w:val="00BA5C40"/>
    <w:rsid w:val="00BB0A05"/>
    <w:rsid w:val="00BB3521"/>
    <w:rsid w:val="00BB7245"/>
    <w:rsid w:val="00BC5921"/>
    <w:rsid w:val="00BC707C"/>
    <w:rsid w:val="00BD505F"/>
    <w:rsid w:val="00BD66AF"/>
    <w:rsid w:val="00BE3FC2"/>
    <w:rsid w:val="00BF4734"/>
    <w:rsid w:val="00BF6A07"/>
    <w:rsid w:val="00BF6CA8"/>
    <w:rsid w:val="00BF7461"/>
    <w:rsid w:val="00C035A2"/>
    <w:rsid w:val="00C068C9"/>
    <w:rsid w:val="00C10719"/>
    <w:rsid w:val="00C115F4"/>
    <w:rsid w:val="00C223E0"/>
    <w:rsid w:val="00C2465F"/>
    <w:rsid w:val="00C2488C"/>
    <w:rsid w:val="00C3368E"/>
    <w:rsid w:val="00C3414E"/>
    <w:rsid w:val="00C4164C"/>
    <w:rsid w:val="00C5250E"/>
    <w:rsid w:val="00C52EFE"/>
    <w:rsid w:val="00C65321"/>
    <w:rsid w:val="00C65492"/>
    <w:rsid w:val="00C6719A"/>
    <w:rsid w:val="00C73841"/>
    <w:rsid w:val="00C80CC0"/>
    <w:rsid w:val="00C90BAB"/>
    <w:rsid w:val="00C979F1"/>
    <w:rsid w:val="00CA015A"/>
    <w:rsid w:val="00CA78D8"/>
    <w:rsid w:val="00CB530F"/>
    <w:rsid w:val="00CC2291"/>
    <w:rsid w:val="00CC75EA"/>
    <w:rsid w:val="00CD41EC"/>
    <w:rsid w:val="00CD53F8"/>
    <w:rsid w:val="00CD5BB2"/>
    <w:rsid w:val="00CD63A4"/>
    <w:rsid w:val="00CD675F"/>
    <w:rsid w:val="00CE2184"/>
    <w:rsid w:val="00CE32A3"/>
    <w:rsid w:val="00CE53C1"/>
    <w:rsid w:val="00CF1216"/>
    <w:rsid w:val="00CF3034"/>
    <w:rsid w:val="00CF3159"/>
    <w:rsid w:val="00CF43E6"/>
    <w:rsid w:val="00CF61F9"/>
    <w:rsid w:val="00D00BE9"/>
    <w:rsid w:val="00D06DF7"/>
    <w:rsid w:val="00D146E8"/>
    <w:rsid w:val="00D214EE"/>
    <w:rsid w:val="00D22A5C"/>
    <w:rsid w:val="00D24A19"/>
    <w:rsid w:val="00D324C6"/>
    <w:rsid w:val="00D33F80"/>
    <w:rsid w:val="00D34E18"/>
    <w:rsid w:val="00D4270B"/>
    <w:rsid w:val="00D44E97"/>
    <w:rsid w:val="00D46883"/>
    <w:rsid w:val="00D47AE8"/>
    <w:rsid w:val="00D50223"/>
    <w:rsid w:val="00D51000"/>
    <w:rsid w:val="00D516F6"/>
    <w:rsid w:val="00D62B31"/>
    <w:rsid w:val="00D630AB"/>
    <w:rsid w:val="00D63B44"/>
    <w:rsid w:val="00D63F3F"/>
    <w:rsid w:val="00D73F8E"/>
    <w:rsid w:val="00D75AA8"/>
    <w:rsid w:val="00D77B64"/>
    <w:rsid w:val="00D83769"/>
    <w:rsid w:val="00D92DBB"/>
    <w:rsid w:val="00D93895"/>
    <w:rsid w:val="00D93D06"/>
    <w:rsid w:val="00DA4289"/>
    <w:rsid w:val="00DA439B"/>
    <w:rsid w:val="00DA6F48"/>
    <w:rsid w:val="00DB28E2"/>
    <w:rsid w:val="00DC109B"/>
    <w:rsid w:val="00DD1EFA"/>
    <w:rsid w:val="00DE2687"/>
    <w:rsid w:val="00DE2A2D"/>
    <w:rsid w:val="00DE3548"/>
    <w:rsid w:val="00DE5C8D"/>
    <w:rsid w:val="00DF0DA0"/>
    <w:rsid w:val="00DF2831"/>
    <w:rsid w:val="00DF4826"/>
    <w:rsid w:val="00DF77BA"/>
    <w:rsid w:val="00E005A4"/>
    <w:rsid w:val="00E02E41"/>
    <w:rsid w:val="00E06998"/>
    <w:rsid w:val="00E1441D"/>
    <w:rsid w:val="00E15C4D"/>
    <w:rsid w:val="00E23AA1"/>
    <w:rsid w:val="00E316E8"/>
    <w:rsid w:val="00E372F5"/>
    <w:rsid w:val="00E423EA"/>
    <w:rsid w:val="00E5037D"/>
    <w:rsid w:val="00E51B54"/>
    <w:rsid w:val="00E62ECB"/>
    <w:rsid w:val="00E755E9"/>
    <w:rsid w:val="00E76F50"/>
    <w:rsid w:val="00E81B7A"/>
    <w:rsid w:val="00E8688B"/>
    <w:rsid w:val="00EA2AAB"/>
    <w:rsid w:val="00EA2FCF"/>
    <w:rsid w:val="00EA35BE"/>
    <w:rsid w:val="00EA4D3E"/>
    <w:rsid w:val="00EA6EB2"/>
    <w:rsid w:val="00EB363D"/>
    <w:rsid w:val="00EB4613"/>
    <w:rsid w:val="00EC06AF"/>
    <w:rsid w:val="00EC1476"/>
    <w:rsid w:val="00ED4191"/>
    <w:rsid w:val="00ED575E"/>
    <w:rsid w:val="00EE14D9"/>
    <w:rsid w:val="00EE6562"/>
    <w:rsid w:val="00EE7F96"/>
    <w:rsid w:val="00EF6014"/>
    <w:rsid w:val="00F00207"/>
    <w:rsid w:val="00F02992"/>
    <w:rsid w:val="00F04A1C"/>
    <w:rsid w:val="00F05B90"/>
    <w:rsid w:val="00F10EE6"/>
    <w:rsid w:val="00F11D86"/>
    <w:rsid w:val="00F22744"/>
    <w:rsid w:val="00F30685"/>
    <w:rsid w:val="00F34A61"/>
    <w:rsid w:val="00F42E12"/>
    <w:rsid w:val="00F46710"/>
    <w:rsid w:val="00F5692F"/>
    <w:rsid w:val="00F64102"/>
    <w:rsid w:val="00F66F3A"/>
    <w:rsid w:val="00F75276"/>
    <w:rsid w:val="00F812A8"/>
    <w:rsid w:val="00F9197B"/>
    <w:rsid w:val="00F92D04"/>
    <w:rsid w:val="00FA06CE"/>
    <w:rsid w:val="00FA21F2"/>
    <w:rsid w:val="00FB2347"/>
    <w:rsid w:val="00FB2883"/>
    <w:rsid w:val="00FB4BD4"/>
    <w:rsid w:val="00FC3ADD"/>
    <w:rsid w:val="00FC5955"/>
    <w:rsid w:val="00FC5A48"/>
    <w:rsid w:val="00FD09D8"/>
    <w:rsid w:val="00FE0316"/>
    <w:rsid w:val="00FE25A1"/>
    <w:rsid w:val="00FE6E37"/>
    <w:rsid w:val="00FF164A"/>
    <w:rsid w:val="00FF26F5"/>
    <w:rsid w:val="00FF2B88"/>
    <w:rsid w:val="00FF39B3"/>
    <w:rsid w:val="01F17501"/>
    <w:rsid w:val="02405F8A"/>
    <w:rsid w:val="025F682B"/>
    <w:rsid w:val="028765D9"/>
    <w:rsid w:val="02C5276D"/>
    <w:rsid w:val="02D55CA5"/>
    <w:rsid w:val="02D647D5"/>
    <w:rsid w:val="035B2FD9"/>
    <w:rsid w:val="03635085"/>
    <w:rsid w:val="04656FC2"/>
    <w:rsid w:val="04B017B9"/>
    <w:rsid w:val="04E907EE"/>
    <w:rsid w:val="05056ECB"/>
    <w:rsid w:val="058A61E4"/>
    <w:rsid w:val="059C6CEE"/>
    <w:rsid w:val="05DD7FBE"/>
    <w:rsid w:val="062261F6"/>
    <w:rsid w:val="06254319"/>
    <w:rsid w:val="06770FA6"/>
    <w:rsid w:val="06877400"/>
    <w:rsid w:val="070366C7"/>
    <w:rsid w:val="07355B0F"/>
    <w:rsid w:val="08083AA8"/>
    <w:rsid w:val="08876DEA"/>
    <w:rsid w:val="088D5F33"/>
    <w:rsid w:val="089543F6"/>
    <w:rsid w:val="089C324C"/>
    <w:rsid w:val="09041FA8"/>
    <w:rsid w:val="092976B8"/>
    <w:rsid w:val="095B4731"/>
    <w:rsid w:val="0975471D"/>
    <w:rsid w:val="0992395E"/>
    <w:rsid w:val="0999523A"/>
    <w:rsid w:val="09B86991"/>
    <w:rsid w:val="0A154C9B"/>
    <w:rsid w:val="0A2D1AB7"/>
    <w:rsid w:val="0A595E17"/>
    <w:rsid w:val="0AAF1AAA"/>
    <w:rsid w:val="0B380B10"/>
    <w:rsid w:val="0B684625"/>
    <w:rsid w:val="0BCC546F"/>
    <w:rsid w:val="0C78324E"/>
    <w:rsid w:val="0D946614"/>
    <w:rsid w:val="0DA30290"/>
    <w:rsid w:val="0DF163B5"/>
    <w:rsid w:val="0E170224"/>
    <w:rsid w:val="0E605CAA"/>
    <w:rsid w:val="0E7508B5"/>
    <w:rsid w:val="0F3271C5"/>
    <w:rsid w:val="0FFD0540"/>
    <w:rsid w:val="10535FA4"/>
    <w:rsid w:val="10776BE5"/>
    <w:rsid w:val="10817822"/>
    <w:rsid w:val="10B84070"/>
    <w:rsid w:val="1102640C"/>
    <w:rsid w:val="12101734"/>
    <w:rsid w:val="12413846"/>
    <w:rsid w:val="125A1AB9"/>
    <w:rsid w:val="12877E78"/>
    <w:rsid w:val="12CC690A"/>
    <w:rsid w:val="13393BB1"/>
    <w:rsid w:val="134621E5"/>
    <w:rsid w:val="13A22584"/>
    <w:rsid w:val="13B14526"/>
    <w:rsid w:val="14102A24"/>
    <w:rsid w:val="141802FB"/>
    <w:rsid w:val="14514F01"/>
    <w:rsid w:val="145D563E"/>
    <w:rsid w:val="146E34FA"/>
    <w:rsid w:val="14A51048"/>
    <w:rsid w:val="14BC294F"/>
    <w:rsid w:val="15070ADC"/>
    <w:rsid w:val="15433CFD"/>
    <w:rsid w:val="15454878"/>
    <w:rsid w:val="157C703F"/>
    <w:rsid w:val="15A86A0F"/>
    <w:rsid w:val="15B5003C"/>
    <w:rsid w:val="15CC1985"/>
    <w:rsid w:val="15CD5F82"/>
    <w:rsid w:val="162C198F"/>
    <w:rsid w:val="163B1DA9"/>
    <w:rsid w:val="165B5B02"/>
    <w:rsid w:val="16A72CF7"/>
    <w:rsid w:val="16D4192B"/>
    <w:rsid w:val="16FF0F47"/>
    <w:rsid w:val="17067453"/>
    <w:rsid w:val="170D0E31"/>
    <w:rsid w:val="175F3880"/>
    <w:rsid w:val="17AE4DCD"/>
    <w:rsid w:val="17C43994"/>
    <w:rsid w:val="17D6710A"/>
    <w:rsid w:val="17DB00B0"/>
    <w:rsid w:val="17EC21EB"/>
    <w:rsid w:val="18086883"/>
    <w:rsid w:val="182F418B"/>
    <w:rsid w:val="18665888"/>
    <w:rsid w:val="19251A0B"/>
    <w:rsid w:val="19EB749B"/>
    <w:rsid w:val="19F323AF"/>
    <w:rsid w:val="1A14083D"/>
    <w:rsid w:val="1A163B6E"/>
    <w:rsid w:val="1A3B4E5A"/>
    <w:rsid w:val="1AB11EB1"/>
    <w:rsid w:val="1AC52DC9"/>
    <w:rsid w:val="1AC72F62"/>
    <w:rsid w:val="1AEF056C"/>
    <w:rsid w:val="1AF37A06"/>
    <w:rsid w:val="1AF7270F"/>
    <w:rsid w:val="1B0162F1"/>
    <w:rsid w:val="1B667399"/>
    <w:rsid w:val="1B733E18"/>
    <w:rsid w:val="1BD64D4B"/>
    <w:rsid w:val="1C174462"/>
    <w:rsid w:val="1C4131F2"/>
    <w:rsid w:val="1C5068A8"/>
    <w:rsid w:val="1CB3441C"/>
    <w:rsid w:val="1CC34345"/>
    <w:rsid w:val="1CFA3745"/>
    <w:rsid w:val="1D08295B"/>
    <w:rsid w:val="1D132117"/>
    <w:rsid w:val="1D1A7519"/>
    <w:rsid w:val="1D3F4DED"/>
    <w:rsid w:val="1D416508"/>
    <w:rsid w:val="1D720EDA"/>
    <w:rsid w:val="1D845A31"/>
    <w:rsid w:val="1DA12787"/>
    <w:rsid w:val="1DAB1C24"/>
    <w:rsid w:val="1DCE5EE8"/>
    <w:rsid w:val="1E056AC2"/>
    <w:rsid w:val="1E0B320F"/>
    <w:rsid w:val="1E1E3758"/>
    <w:rsid w:val="1E7D00C1"/>
    <w:rsid w:val="1E8754B1"/>
    <w:rsid w:val="1ECB728D"/>
    <w:rsid w:val="1EF6721C"/>
    <w:rsid w:val="1F4533EF"/>
    <w:rsid w:val="1F540B1A"/>
    <w:rsid w:val="1FB14406"/>
    <w:rsid w:val="1FC6034A"/>
    <w:rsid w:val="20151107"/>
    <w:rsid w:val="202D7422"/>
    <w:rsid w:val="20642908"/>
    <w:rsid w:val="20764D5A"/>
    <w:rsid w:val="20B652A7"/>
    <w:rsid w:val="20D93916"/>
    <w:rsid w:val="20F35AFD"/>
    <w:rsid w:val="225423BA"/>
    <w:rsid w:val="227D23ED"/>
    <w:rsid w:val="23372DB6"/>
    <w:rsid w:val="233F5B6C"/>
    <w:rsid w:val="238828E7"/>
    <w:rsid w:val="239A6401"/>
    <w:rsid w:val="239E20FE"/>
    <w:rsid w:val="23B237B4"/>
    <w:rsid w:val="23BA3FF7"/>
    <w:rsid w:val="23C10881"/>
    <w:rsid w:val="240314C8"/>
    <w:rsid w:val="246102B6"/>
    <w:rsid w:val="246D2045"/>
    <w:rsid w:val="25C44B46"/>
    <w:rsid w:val="25EF7B35"/>
    <w:rsid w:val="262710A8"/>
    <w:rsid w:val="26941ADC"/>
    <w:rsid w:val="26CB0AEE"/>
    <w:rsid w:val="26EC26AC"/>
    <w:rsid w:val="271E795E"/>
    <w:rsid w:val="27401B78"/>
    <w:rsid w:val="27692517"/>
    <w:rsid w:val="27A01646"/>
    <w:rsid w:val="286B30FC"/>
    <w:rsid w:val="28A87475"/>
    <w:rsid w:val="28CF0FC3"/>
    <w:rsid w:val="28DD7617"/>
    <w:rsid w:val="28FF5728"/>
    <w:rsid w:val="29826579"/>
    <w:rsid w:val="29EA23A3"/>
    <w:rsid w:val="29EB412F"/>
    <w:rsid w:val="2A0F22F0"/>
    <w:rsid w:val="2A1E1B25"/>
    <w:rsid w:val="2A3F0609"/>
    <w:rsid w:val="2A4910DF"/>
    <w:rsid w:val="2A4A5280"/>
    <w:rsid w:val="2A4A56FF"/>
    <w:rsid w:val="2A682610"/>
    <w:rsid w:val="2AED61E8"/>
    <w:rsid w:val="2B093902"/>
    <w:rsid w:val="2B174ED9"/>
    <w:rsid w:val="2B1A5498"/>
    <w:rsid w:val="2B1E6352"/>
    <w:rsid w:val="2B6B5403"/>
    <w:rsid w:val="2B836D72"/>
    <w:rsid w:val="2B9B375C"/>
    <w:rsid w:val="2B9C1A58"/>
    <w:rsid w:val="2BE42370"/>
    <w:rsid w:val="2C3A4ED7"/>
    <w:rsid w:val="2C7F66F1"/>
    <w:rsid w:val="2CB12C03"/>
    <w:rsid w:val="2D2C65FB"/>
    <w:rsid w:val="2DB757FE"/>
    <w:rsid w:val="2DBE1D3C"/>
    <w:rsid w:val="2E3D5392"/>
    <w:rsid w:val="2E596B47"/>
    <w:rsid w:val="2E972374"/>
    <w:rsid w:val="2F0A1AF0"/>
    <w:rsid w:val="2F0D5684"/>
    <w:rsid w:val="2F3F2FA2"/>
    <w:rsid w:val="2F557B44"/>
    <w:rsid w:val="2F6E78E9"/>
    <w:rsid w:val="2F757116"/>
    <w:rsid w:val="2F8337D6"/>
    <w:rsid w:val="2F87706B"/>
    <w:rsid w:val="2FD1009E"/>
    <w:rsid w:val="2FE04F82"/>
    <w:rsid w:val="2FFB4F0A"/>
    <w:rsid w:val="30074E3A"/>
    <w:rsid w:val="30826A57"/>
    <w:rsid w:val="308C0F93"/>
    <w:rsid w:val="30973C4C"/>
    <w:rsid w:val="30BC4F6A"/>
    <w:rsid w:val="313D2D69"/>
    <w:rsid w:val="318D78A5"/>
    <w:rsid w:val="31B91294"/>
    <w:rsid w:val="31CB59CA"/>
    <w:rsid w:val="3215261C"/>
    <w:rsid w:val="322B579D"/>
    <w:rsid w:val="325E0686"/>
    <w:rsid w:val="334320BF"/>
    <w:rsid w:val="335347E3"/>
    <w:rsid w:val="33E7323F"/>
    <w:rsid w:val="350F5D76"/>
    <w:rsid w:val="352B62C0"/>
    <w:rsid w:val="35301E82"/>
    <w:rsid w:val="353A189B"/>
    <w:rsid w:val="356A4E44"/>
    <w:rsid w:val="35806611"/>
    <w:rsid w:val="35854BDC"/>
    <w:rsid w:val="35982470"/>
    <w:rsid w:val="35BD18FA"/>
    <w:rsid w:val="35FC5F84"/>
    <w:rsid w:val="363E6CE1"/>
    <w:rsid w:val="36AC0562"/>
    <w:rsid w:val="36D8206A"/>
    <w:rsid w:val="36E52B5A"/>
    <w:rsid w:val="37C40069"/>
    <w:rsid w:val="37E83A1F"/>
    <w:rsid w:val="380B117A"/>
    <w:rsid w:val="392410CF"/>
    <w:rsid w:val="393A32B9"/>
    <w:rsid w:val="398A46C5"/>
    <w:rsid w:val="3991437E"/>
    <w:rsid w:val="39C06505"/>
    <w:rsid w:val="3A2D5864"/>
    <w:rsid w:val="3A4F026B"/>
    <w:rsid w:val="3A6870E2"/>
    <w:rsid w:val="3ACD2C61"/>
    <w:rsid w:val="3AEE7DE7"/>
    <w:rsid w:val="3B1657D0"/>
    <w:rsid w:val="3BCD79B7"/>
    <w:rsid w:val="3C210159"/>
    <w:rsid w:val="3C892785"/>
    <w:rsid w:val="3C9A4C24"/>
    <w:rsid w:val="3CA45358"/>
    <w:rsid w:val="3CC4668D"/>
    <w:rsid w:val="3CD27CAF"/>
    <w:rsid w:val="3D00146B"/>
    <w:rsid w:val="3D4C3E31"/>
    <w:rsid w:val="3D5C1341"/>
    <w:rsid w:val="3D737738"/>
    <w:rsid w:val="3D7C4FB6"/>
    <w:rsid w:val="3DCB31C1"/>
    <w:rsid w:val="3DEA57E7"/>
    <w:rsid w:val="3E1F2A64"/>
    <w:rsid w:val="3ECF5177"/>
    <w:rsid w:val="3EE93C14"/>
    <w:rsid w:val="3EF5050D"/>
    <w:rsid w:val="3F1C2BEE"/>
    <w:rsid w:val="3F4926FA"/>
    <w:rsid w:val="3F5E6050"/>
    <w:rsid w:val="3F5F4D7F"/>
    <w:rsid w:val="3F776DF3"/>
    <w:rsid w:val="3FBA506B"/>
    <w:rsid w:val="3FBA5FCE"/>
    <w:rsid w:val="3FD23423"/>
    <w:rsid w:val="40262795"/>
    <w:rsid w:val="403416C5"/>
    <w:rsid w:val="403F7D25"/>
    <w:rsid w:val="409C50D1"/>
    <w:rsid w:val="40F41D3C"/>
    <w:rsid w:val="41030CC4"/>
    <w:rsid w:val="415F1B6C"/>
    <w:rsid w:val="41A97980"/>
    <w:rsid w:val="41D3504E"/>
    <w:rsid w:val="41E2145E"/>
    <w:rsid w:val="41EA4AB2"/>
    <w:rsid w:val="422773A1"/>
    <w:rsid w:val="42284221"/>
    <w:rsid w:val="42347E17"/>
    <w:rsid w:val="4253202A"/>
    <w:rsid w:val="435E5C7D"/>
    <w:rsid w:val="43746B40"/>
    <w:rsid w:val="439F1CD4"/>
    <w:rsid w:val="43F71B64"/>
    <w:rsid w:val="442D0BF4"/>
    <w:rsid w:val="443B38E7"/>
    <w:rsid w:val="4451187E"/>
    <w:rsid w:val="44725709"/>
    <w:rsid w:val="44AA1E80"/>
    <w:rsid w:val="44C41E53"/>
    <w:rsid w:val="44D80F70"/>
    <w:rsid w:val="44FE10E7"/>
    <w:rsid w:val="453B71E9"/>
    <w:rsid w:val="456C7DA5"/>
    <w:rsid w:val="457720EB"/>
    <w:rsid w:val="46895251"/>
    <w:rsid w:val="46D34CE4"/>
    <w:rsid w:val="46D7245C"/>
    <w:rsid w:val="46F36FA8"/>
    <w:rsid w:val="46FC7B14"/>
    <w:rsid w:val="470F62DC"/>
    <w:rsid w:val="475835C5"/>
    <w:rsid w:val="47AD78F7"/>
    <w:rsid w:val="47B43B4A"/>
    <w:rsid w:val="47C43225"/>
    <w:rsid w:val="47C74341"/>
    <w:rsid w:val="47CF01D3"/>
    <w:rsid w:val="47FA70BE"/>
    <w:rsid w:val="486E5274"/>
    <w:rsid w:val="4883712C"/>
    <w:rsid w:val="48952FA3"/>
    <w:rsid w:val="48AA7B51"/>
    <w:rsid w:val="48AB2646"/>
    <w:rsid w:val="49245160"/>
    <w:rsid w:val="495C442E"/>
    <w:rsid w:val="49611992"/>
    <w:rsid w:val="499E4F3A"/>
    <w:rsid w:val="49CC78DB"/>
    <w:rsid w:val="49F4624D"/>
    <w:rsid w:val="4A2C2B7E"/>
    <w:rsid w:val="4A737697"/>
    <w:rsid w:val="4AFD7F69"/>
    <w:rsid w:val="4B212104"/>
    <w:rsid w:val="4B5863CB"/>
    <w:rsid w:val="4BC15658"/>
    <w:rsid w:val="4BED164F"/>
    <w:rsid w:val="4BF55C26"/>
    <w:rsid w:val="4BF938FC"/>
    <w:rsid w:val="4C55277B"/>
    <w:rsid w:val="4C795B05"/>
    <w:rsid w:val="4CA51888"/>
    <w:rsid w:val="4D1D72E0"/>
    <w:rsid w:val="4D646F52"/>
    <w:rsid w:val="4D9A58D2"/>
    <w:rsid w:val="4DBB0DC6"/>
    <w:rsid w:val="4E140400"/>
    <w:rsid w:val="4E2D0AAB"/>
    <w:rsid w:val="4E5018E0"/>
    <w:rsid w:val="4E6D1315"/>
    <w:rsid w:val="4E6D2C0B"/>
    <w:rsid w:val="4E6F4BA5"/>
    <w:rsid w:val="4E7F4B61"/>
    <w:rsid w:val="4EDB2C34"/>
    <w:rsid w:val="4F2B52CA"/>
    <w:rsid w:val="4F5E4E5E"/>
    <w:rsid w:val="50014B84"/>
    <w:rsid w:val="50653CA1"/>
    <w:rsid w:val="50C16977"/>
    <w:rsid w:val="50CE47B9"/>
    <w:rsid w:val="50E13C2D"/>
    <w:rsid w:val="510E1E6E"/>
    <w:rsid w:val="513C6BFC"/>
    <w:rsid w:val="517B032B"/>
    <w:rsid w:val="5188373F"/>
    <w:rsid w:val="51913169"/>
    <w:rsid w:val="51A14978"/>
    <w:rsid w:val="51CB0A00"/>
    <w:rsid w:val="51CE66DB"/>
    <w:rsid w:val="51E00D79"/>
    <w:rsid w:val="52020E96"/>
    <w:rsid w:val="523B444D"/>
    <w:rsid w:val="52711408"/>
    <w:rsid w:val="52E567EF"/>
    <w:rsid w:val="53202F66"/>
    <w:rsid w:val="537D1D33"/>
    <w:rsid w:val="5396725B"/>
    <w:rsid w:val="53D25CC0"/>
    <w:rsid w:val="54074A0C"/>
    <w:rsid w:val="546D6705"/>
    <w:rsid w:val="54871988"/>
    <w:rsid w:val="553E1482"/>
    <w:rsid w:val="556D5BD2"/>
    <w:rsid w:val="55A526D2"/>
    <w:rsid w:val="55AB0340"/>
    <w:rsid w:val="55C75E6F"/>
    <w:rsid w:val="55F8673A"/>
    <w:rsid w:val="55FC2335"/>
    <w:rsid w:val="56197BC0"/>
    <w:rsid w:val="56326156"/>
    <w:rsid w:val="567E2CE7"/>
    <w:rsid w:val="56895194"/>
    <w:rsid w:val="56CA0AF8"/>
    <w:rsid w:val="56FC4022"/>
    <w:rsid w:val="5752216A"/>
    <w:rsid w:val="57526AAE"/>
    <w:rsid w:val="57B53161"/>
    <w:rsid w:val="57B746DD"/>
    <w:rsid w:val="57CC0FC7"/>
    <w:rsid w:val="57F81DBC"/>
    <w:rsid w:val="586B2DCD"/>
    <w:rsid w:val="58AC0B29"/>
    <w:rsid w:val="592777C7"/>
    <w:rsid w:val="596C23A1"/>
    <w:rsid w:val="59AF0BD3"/>
    <w:rsid w:val="59B7224B"/>
    <w:rsid w:val="59C253EF"/>
    <w:rsid w:val="59EA35DF"/>
    <w:rsid w:val="59F317B1"/>
    <w:rsid w:val="5A6501D4"/>
    <w:rsid w:val="5A9120FE"/>
    <w:rsid w:val="5AD26EC1"/>
    <w:rsid w:val="5AD87C08"/>
    <w:rsid w:val="5B212035"/>
    <w:rsid w:val="5B265C59"/>
    <w:rsid w:val="5B332ECE"/>
    <w:rsid w:val="5B41641E"/>
    <w:rsid w:val="5B4E67B0"/>
    <w:rsid w:val="5B696F22"/>
    <w:rsid w:val="5C28346A"/>
    <w:rsid w:val="5C630240"/>
    <w:rsid w:val="5C7D1751"/>
    <w:rsid w:val="5CB74F1A"/>
    <w:rsid w:val="5D197EA1"/>
    <w:rsid w:val="5D1B7B5A"/>
    <w:rsid w:val="5D626100"/>
    <w:rsid w:val="5DCF7882"/>
    <w:rsid w:val="5E480E6F"/>
    <w:rsid w:val="5EA95FDC"/>
    <w:rsid w:val="5ECF4EE1"/>
    <w:rsid w:val="5EF54451"/>
    <w:rsid w:val="5F035FEE"/>
    <w:rsid w:val="5F476A6C"/>
    <w:rsid w:val="5F9309F1"/>
    <w:rsid w:val="60356D90"/>
    <w:rsid w:val="609A51C9"/>
    <w:rsid w:val="60E9072A"/>
    <w:rsid w:val="60FB54EE"/>
    <w:rsid w:val="610D3DCE"/>
    <w:rsid w:val="614047CB"/>
    <w:rsid w:val="615D7E70"/>
    <w:rsid w:val="617D6DA2"/>
    <w:rsid w:val="61E567AC"/>
    <w:rsid w:val="61F37D5E"/>
    <w:rsid w:val="62015D11"/>
    <w:rsid w:val="623076FC"/>
    <w:rsid w:val="6233562A"/>
    <w:rsid w:val="62E46B89"/>
    <w:rsid w:val="63442DE9"/>
    <w:rsid w:val="63443474"/>
    <w:rsid w:val="640D7FC1"/>
    <w:rsid w:val="644443C3"/>
    <w:rsid w:val="64454915"/>
    <w:rsid w:val="64D37F68"/>
    <w:rsid w:val="64F84345"/>
    <w:rsid w:val="64FE3912"/>
    <w:rsid w:val="657B2CC7"/>
    <w:rsid w:val="65EF3A55"/>
    <w:rsid w:val="66164D0A"/>
    <w:rsid w:val="662D41EE"/>
    <w:rsid w:val="66477750"/>
    <w:rsid w:val="668A0AB2"/>
    <w:rsid w:val="66961FA2"/>
    <w:rsid w:val="66A53EB7"/>
    <w:rsid w:val="6710329A"/>
    <w:rsid w:val="671F1551"/>
    <w:rsid w:val="67454786"/>
    <w:rsid w:val="6761251C"/>
    <w:rsid w:val="67633A3C"/>
    <w:rsid w:val="67645933"/>
    <w:rsid w:val="676B41EC"/>
    <w:rsid w:val="67802BB5"/>
    <w:rsid w:val="67874559"/>
    <w:rsid w:val="679B5989"/>
    <w:rsid w:val="67AD32BD"/>
    <w:rsid w:val="68890E72"/>
    <w:rsid w:val="68895943"/>
    <w:rsid w:val="68A142B8"/>
    <w:rsid w:val="68C4297B"/>
    <w:rsid w:val="68CA0265"/>
    <w:rsid w:val="68CB656E"/>
    <w:rsid w:val="68D07031"/>
    <w:rsid w:val="68EE0351"/>
    <w:rsid w:val="69230108"/>
    <w:rsid w:val="69234D1D"/>
    <w:rsid w:val="69296A7E"/>
    <w:rsid w:val="69703F44"/>
    <w:rsid w:val="698C6808"/>
    <w:rsid w:val="699A10F5"/>
    <w:rsid w:val="69BF1E78"/>
    <w:rsid w:val="6A54784B"/>
    <w:rsid w:val="6A5E3FB0"/>
    <w:rsid w:val="6A8370F3"/>
    <w:rsid w:val="6A956106"/>
    <w:rsid w:val="6AAC30D0"/>
    <w:rsid w:val="6B122B76"/>
    <w:rsid w:val="6B2372B5"/>
    <w:rsid w:val="6B4952B6"/>
    <w:rsid w:val="6B744253"/>
    <w:rsid w:val="6B8027BB"/>
    <w:rsid w:val="6B8D4ACE"/>
    <w:rsid w:val="6BA72765"/>
    <w:rsid w:val="6BCD7796"/>
    <w:rsid w:val="6BD90D3E"/>
    <w:rsid w:val="6C896C87"/>
    <w:rsid w:val="6CC96D0C"/>
    <w:rsid w:val="6CF83795"/>
    <w:rsid w:val="6D0B29F6"/>
    <w:rsid w:val="6D531FE4"/>
    <w:rsid w:val="6D5D7E03"/>
    <w:rsid w:val="6E41545A"/>
    <w:rsid w:val="6EAF0FB3"/>
    <w:rsid w:val="6EC6204A"/>
    <w:rsid w:val="6F0505B7"/>
    <w:rsid w:val="6F474AA1"/>
    <w:rsid w:val="6F4A2296"/>
    <w:rsid w:val="6F685D4C"/>
    <w:rsid w:val="701A3041"/>
    <w:rsid w:val="704948B9"/>
    <w:rsid w:val="70522EF8"/>
    <w:rsid w:val="7097702E"/>
    <w:rsid w:val="70AC01C0"/>
    <w:rsid w:val="70AD0128"/>
    <w:rsid w:val="70C470CE"/>
    <w:rsid w:val="70CD7EBD"/>
    <w:rsid w:val="70D4589D"/>
    <w:rsid w:val="70DF5650"/>
    <w:rsid w:val="71157B9F"/>
    <w:rsid w:val="71755934"/>
    <w:rsid w:val="71DF1439"/>
    <w:rsid w:val="720F41D0"/>
    <w:rsid w:val="72140F08"/>
    <w:rsid w:val="722535E8"/>
    <w:rsid w:val="72411326"/>
    <w:rsid w:val="729641A8"/>
    <w:rsid w:val="72996A9D"/>
    <w:rsid w:val="73237019"/>
    <w:rsid w:val="73384935"/>
    <w:rsid w:val="735C6566"/>
    <w:rsid w:val="73745421"/>
    <w:rsid w:val="73771543"/>
    <w:rsid w:val="739B79BF"/>
    <w:rsid w:val="73F95E95"/>
    <w:rsid w:val="741C475E"/>
    <w:rsid w:val="74F26E7B"/>
    <w:rsid w:val="75081F71"/>
    <w:rsid w:val="750C7615"/>
    <w:rsid w:val="750F3A2A"/>
    <w:rsid w:val="758E3465"/>
    <w:rsid w:val="75AD1FE0"/>
    <w:rsid w:val="75DC45F5"/>
    <w:rsid w:val="75E874BC"/>
    <w:rsid w:val="75F27729"/>
    <w:rsid w:val="75F6688B"/>
    <w:rsid w:val="762966DD"/>
    <w:rsid w:val="76382CB6"/>
    <w:rsid w:val="76720157"/>
    <w:rsid w:val="76BD3033"/>
    <w:rsid w:val="76CF50FC"/>
    <w:rsid w:val="76F36731"/>
    <w:rsid w:val="77405AA2"/>
    <w:rsid w:val="77B73EC0"/>
    <w:rsid w:val="77F570D1"/>
    <w:rsid w:val="780F2216"/>
    <w:rsid w:val="781738D1"/>
    <w:rsid w:val="781E251C"/>
    <w:rsid w:val="78327E4E"/>
    <w:rsid w:val="78453D77"/>
    <w:rsid w:val="788E604D"/>
    <w:rsid w:val="78AD3857"/>
    <w:rsid w:val="78B74F24"/>
    <w:rsid w:val="78DD03B5"/>
    <w:rsid w:val="7936053E"/>
    <w:rsid w:val="7945294C"/>
    <w:rsid w:val="798B4900"/>
    <w:rsid w:val="79A041E5"/>
    <w:rsid w:val="79AB443B"/>
    <w:rsid w:val="79B24EE9"/>
    <w:rsid w:val="79B66637"/>
    <w:rsid w:val="79E56003"/>
    <w:rsid w:val="79E80D17"/>
    <w:rsid w:val="7A023666"/>
    <w:rsid w:val="7A61721D"/>
    <w:rsid w:val="7A774EBC"/>
    <w:rsid w:val="7AA515D3"/>
    <w:rsid w:val="7B5A1C49"/>
    <w:rsid w:val="7B6B02A2"/>
    <w:rsid w:val="7B7B6561"/>
    <w:rsid w:val="7BEC1DBA"/>
    <w:rsid w:val="7C3977BB"/>
    <w:rsid w:val="7C592C3D"/>
    <w:rsid w:val="7CC003F4"/>
    <w:rsid w:val="7D3B5AD2"/>
    <w:rsid w:val="7DCC7841"/>
    <w:rsid w:val="7E5E2FF0"/>
    <w:rsid w:val="7EAB0FD1"/>
    <w:rsid w:val="7EB357CF"/>
    <w:rsid w:val="7EB459BE"/>
    <w:rsid w:val="7EC60677"/>
    <w:rsid w:val="7EDB2C04"/>
    <w:rsid w:val="7EFF3207"/>
    <w:rsid w:val="7F526C83"/>
    <w:rsid w:val="7F895F0B"/>
    <w:rsid w:val="7F8F12EA"/>
    <w:rsid w:val="7FD12A2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9"/>
    <w:autoRedefine/>
    <w:qFormat/>
    <w:uiPriority w:val="0"/>
    <w:pPr>
      <w:keepNext/>
      <w:widowControl/>
      <w:spacing w:line="400" w:lineRule="exact"/>
      <w:jc w:val="center"/>
      <w:outlineLvl w:val="0"/>
    </w:pPr>
    <w:rPr>
      <w:rFonts w:ascii="黑体" w:eastAsia="黑体"/>
      <w:kern w:val="0"/>
      <w:sz w:val="32"/>
      <w:szCs w:val="32"/>
    </w:rPr>
  </w:style>
  <w:style w:type="paragraph" w:styleId="3">
    <w:name w:val="heading 2"/>
    <w:basedOn w:val="1"/>
    <w:next w:val="1"/>
    <w:link w:val="60"/>
    <w:autoRedefine/>
    <w:qFormat/>
    <w:uiPriority w:val="0"/>
    <w:pPr>
      <w:keepNext/>
      <w:keepLines/>
      <w:spacing w:line="400" w:lineRule="exact"/>
      <w:jc w:val="center"/>
      <w:outlineLvl w:val="1"/>
    </w:pPr>
    <w:rPr>
      <w:rFonts w:ascii="Arial" w:hAnsi="Arial" w:eastAsia="黑体"/>
      <w:bCs/>
      <w:sz w:val="30"/>
      <w:szCs w:val="30"/>
    </w:rPr>
  </w:style>
  <w:style w:type="paragraph" w:styleId="4">
    <w:name w:val="heading 3"/>
    <w:basedOn w:val="1"/>
    <w:next w:val="1"/>
    <w:link w:val="61"/>
    <w:autoRedefine/>
    <w:qFormat/>
    <w:uiPriority w:val="0"/>
    <w:pPr>
      <w:keepNext/>
      <w:keepLines/>
      <w:spacing w:line="400" w:lineRule="exact"/>
      <w:jc w:val="center"/>
      <w:outlineLvl w:val="2"/>
    </w:pPr>
    <w:rPr>
      <w:rFonts w:hint="eastAsia" w:ascii="黑体" w:hAnsi="宋体" w:eastAsia="黑体"/>
      <w:bCs/>
      <w:kern w:val="0"/>
      <w:sz w:val="28"/>
      <w:szCs w:val="28"/>
    </w:rPr>
  </w:style>
  <w:style w:type="paragraph" w:styleId="5">
    <w:name w:val="heading 4"/>
    <w:basedOn w:val="1"/>
    <w:next w:val="1"/>
    <w:link w:val="62"/>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4"/>
    <w:autoRedefine/>
    <w:qFormat/>
    <w:uiPriority w:val="0"/>
    <w:pPr>
      <w:keepNext/>
      <w:keepLines/>
      <w:widowControl/>
      <w:spacing w:line="319" w:lineRule="auto"/>
      <w:jc w:val="left"/>
      <w:outlineLvl w:val="5"/>
    </w:pPr>
    <w:rPr>
      <w:rFonts w:ascii="Arial" w:hAnsi="Arial" w:eastAsia="黑体"/>
      <w:b/>
      <w:bCs/>
      <w:kern w:val="0"/>
      <w:sz w:val="24"/>
    </w:rPr>
  </w:style>
  <w:style w:type="paragraph" w:styleId="8">
    <w:name w:val="heading 7"/>
    <w:basedOn w:val="1"/>
    <w:next w:val="1"/>
    <w:link w:val="65"/>
    <w:autoRedefine/>
    <w:qFormat/>
    <w:uiPriority w:val="0"/>
    <w:pPr>
      <w:keepNext/>
      <w:keepLines/>
      <w:widowControl/>
      <w:spacing w:line="319" w:lineRule="auto"/>
      <w:jc w:val="left"/>
      <w:outlineLvl w:val="6"/>
    </w:pPr>
    <w:rPr>
      <w:b/>
      <w:bCs/>
      <w:kern w:val="0"/>
      <w:sz w:val="24"/>
    </w:rPr>
  </w:style>
  <w:style w:type="paragraph" w:styleId="9">
    <w:name w:val="heading 8"/>
    <w:basedOn w:val="1"/>
    <w:next w:val="1"/>
    <w:link w:val="66"/>
    <w:autoRedefine/>
    <w:qFormat/>
    <w:uiPriority w:val="0"/>
    <w:pPr>
      <w:keepNext/>
      <w:keepLines/>
      <w:widowControl/>
      <w:spacing w:line="319" w:lineRule="auto"/>
      <w:jc w:val="left"/>
      <w:outlineLvl w:val="7"/>
    </w:pPr>
    <w:rPr>
      <w:rFonts w:ascii="Arial" w:hAnsi="Arial" w:eastAsia="黑体"/>
      <w:kern w:val="0"/>
      <w:sz w:val="24"/>
    </w:rPr>
  </w:style>
  <w:style w:type="paragraph" w:styleId="10">
    <w:name w:val="heading 9"/>
    <w:basedOn w:val="1"/>
    <w:next w:val="1"/>
    <w:link w:val="67"/>
    <w:autoRedefine/>
    <w:qFormat/>
    <w:uiPriority w:val="0"/>
    <w:pPr>
      <w:keepNext/>
      <w:keepLines/>
      <w:widowControl/>
      <w:spacing w:line="319" w:lineRule="auto"/>
      <w:jc w:val="left"/>
      <w:outlineLvl w:val="8"/>
    </w:pPr>
    <w:rPr>
      <w:rFonts w:ascii="Arial" w:hAnsi="Arial" w:eastAsia="黑体"/>
      <w:kern w:val="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index 8"/>
    <w:basedOn w:val="1"/>
    <w:next w:val="1"/>
    <w:autoRedefine/>
    <w:unhideWhenUsed/>
    <w:qFormat/>
    <w:uiPriority w:val="99"/>
    <w:pPr>
      <w:ind w:left="1400" w:leftChars="1400"/>
    </w:pPr>
  </w:style>
  <w:style w:type="paragraph" w:styleId="13">
    <w:name w:val="Normal Indent"/>
    <w:basedOn w:val="1"/>
    <w:autoRedefine/>
    <w:qFormat/>
    <w:uiPriority w:val="0"/>
    <w:pPr>
      <w:widowControl/>
      <w:ind w:firstLine="420"/>
      <w:jc w:val="left"/>
    </w:pPr>
    <w:rPr>
      <w:sz w:val="20"/>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68"/>
    <w:autoRedefine/>
    <w:qFormat/>
    <w:uiPriority w:val="0"/>
    <w:pPr>
      <w:shd w:val="clear" w:color="auto" w:fill="000080"/>
    </w:pPr>
    <w:rPr>
      <w:rFonts w:ascii="Times New Roman" w:hAnsi="Times New Roman"/>
      <w:shd w:val="clear" w:color="auto" w:fill="000080"/>
    </w:rPr>
  </w:style>
  <w:style w:type="paragraph" w:styleId="16">
    <w:name w:val="annotation text"/>
    <w:basedOn w:val="1"/>
    <w:link w:val="69"/>
    <w:autoRedefine/>
    <w:qFormat/>
    <w:uiPriority w:val="0"/>
    <w:pPr>
      <w:jc w:val="left"/>
    </w:pPr>
  </w:style>
  <w:style w:type="paragraph" w:styleId="17">
    <w:name w:val="Body Text"/>
    <w:basedOn w:val="1"/>
    <w:link w:val="70"/>
    <w:autoRedefine/>
    <w:qFormat/>
    <w:uiPriority w:val="0"/>
    <w:pPr>
      <w:jc w:val="center"/>
    </w:pPr>
    <w:rPr>
      <w:rFonts w:ascii="Times New Roman" w:hAnsi="Times New Roman"/>
      <w:sz w:val="52"/>
    </w:rPr>
  </w:style>
  <w:style w:type="paragraph" w:styleId="18">
    <w:name w:val="Body Text Indent"/>
    <w:basedOn w:val="1"/>
    <w:link w:val="71"/>
    <w:autoRedefine/>
    <w:qFormat/>
    <w:uiPriority w:val="0"/>
    <w:pPr>
      <w:spacing w:line="440" w:lineRule="exact"/>
      <w:ind w:firstLine="419" w:firstLineChars="196"/>
    </w:pPr>
    <w:rPr>
      <w:rFonts w:ascii="宋体" w:hAnsi="宋体"/>
      <w:spacing w:val="2"/>
    </w:rPr>
  </w:style>
  <w:style w:type="paragraph" w:styleId="19">
    <w:name w:val="Block Text"/>
    <w:basedOn w:val="1"/>
    <w:autoRedefine/>
    <w:qFormat/>
    <w:uiPriority w:val="0"/>
    <w:pPr>
      <w:adjustRightInd w:val="0"/>
      <w:ind w:left="420" w:right="33"/>
      <w:jc w:val="left"/>
      <w:textAlignment w:val="baseline"/>
    </w:pPr>
    <w:rPr>
      <w:kern w:val="0"/>
      <w:sz w:val="24"/>
      <w:szCs w:val="20"/>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1"/>
    <w:next w:val="1"/>
    <w:autoRedefine/>
    <w:qFormat/>
    <w:uiPriority w:val="39"/>
    <w:pPr>
      <w:ind w:left="420"/>
      <w:jc w:val="left"/>
    </w:pPr>
    <w:rPr>
      <w:i/>
      <w:iCs/>
      <w:sz w:val="20"/>
      <w:szCs w:val="20"/>
    </w:rPr>
  </w:style>
  <w:style w:type="paragraph" w:styleId="23">
    <w:name w:val="Plain Text"/>
    <w:basedOn w:val="1"/>
    <w:next w:val="1"/>
    <w:link w:val="72"/>
    <w:autoRedefine/>
    <w:qFormat/>
    <w:uiPriority w:val="0"/>
    <w:rPr>
      <w:rFonts w:ascii="宋体" w:hAnsi="Courier New"/>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73"/>
    <w:autoRedefine/>
    <w:qFormat/>
    <w:uiPriority w:val="0"/>
    <w:pPr>
      <w:ind w:left="100" w:leftChars="2500"/>
    </w:pPr>
    <w:rPr>
      <w:rFonts w:ascii="Times New Roman" w:hAnsi="Times New Roman"/>
    </w:rPr>
  </w:style>
  <w:style w:type="paragraph" w:styleId="26">
    <w:name w:val="Body Text Indent 2"/>
    <w:basedOn w:val="1"/>
    <w:link w:val="74"/>
    <w:autoRedefine/>
    <w:qFormat/>
    <w:uiPriority w:val="0"/>
    <w:pPr>
      <w:spacing w:line="420" w:lineRule="exact"/>
      <w:ind w:firstLine="409" w:firstLineChars="195"/>
    </w:pPr>
    <w:rPr>
      <w:rFonts w:ascii="Times New Roman" w:hAnsi="Times New Roman"/>
    </w:rPr>
  </w:style>
  <w:style w:type="paragraph" w:styleId="27">
    <w:name w:val="Balloon Text"/>
    <w:basedOn w:val="1"/>
    <w:link w:val="75"/>
    <w:autoRedefine/>
    <w:qFormat/>
    <w:uiPriority w:val="0"/>
    <w:rPr>
      <w:rFonts w:ascii="Times New Roman" w:hAnsi="Times New Roman"/>
      <w:sz w:val="18"/>
      <w:szCs w:val="18"/>
    </w:rPr>
  </w:style>
  <w:style w:type="paragraph" w:styleId="28">
    <w:name w:val="footer"/>
    <w:basedOn w:val="1"/>
    <w:link w:val="76"/>
    <w:autoRedefine/>
    <w:qFormat/>
    <w:uiPriority w:val="0"/>
    <w:pPr>
      <w:tabs>
        <w:tab w:val="center" w:pos="4153"/>
        <w:tab w:val="right" w:pos="8306"/>
      </w:tabs>
      <w:snapToGrid w:val="0"/>
      <w:jc w:val="left"/>
    </w:pPr>
    <w:rPr>
      <w:sz w:val="18"/>
      <w:szCs w:val="18"/>
    </w:rPr>
  </w:style>
  <w:style w:type="paragraph" w:styleId="29">
    <w:name w:val="header"/>
    <w:basedOn w:val="1"/>
    <w:link w:val="77"/>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autoRedefine/>
    <w:qFormat/>
    <w:uiPriority w:val="39"/>
    <w:pPr>
      <w:jc w:val="left"/>
    </w:pPr>
    <w:rPr>
      <w:b/>
      <w:bCs/>
      <w:caps/>
      <w:sz w:val="20"/>
      <w:szCs w:val="20"/>
    </w:rPr>
  </w:style>
  <w:style w:type="paragraph" w:styleId="31">
    <w:name w:val="toc 4"/>
    <w:basedOn w:val="1"/>
    <w:next w:val="1"/>
    <w:autoRedefine/>
    <w:qFormat/>
    <w:uiPriority w:val="39"/>
    <w:pPr>
      <w:ind w:left="630"/>
      <w:jc w:val="left"/>
    </w:pPr>
    <w:rPr>
      <w:sz w:val="18"/>
      <w:szCs w:val="18"/>
    </w:rPr>
  </w:style>
  <w:style w:type="paragraph" w:styleId="32">
    <w:name w:val="Subtitle"/>
    <w:basedOn w:val="1"/>
    <w:next w:val="1"/>
    <w:link w:val="78"/>
    <w:autoRedefine/>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spacing w:line="340" w:lineRule="exact"/>
    </w:pPr>
    <w:rPr>
      <w:rFonts w:eastAsia="楷体_GB2312"/>
      <w:sz w:val="24"/>
      <w:szCs w:val="20"/>
    </w:rPr>
  </w:style>
  <w:style w:type="paragraph" w:styleId="34">
    <w:name w:val="footnote text"/>
    <w:basedOn w:val="1"/>
    <w:link w:val="79"/>
    <w:autoRedefine/>
    <w:qFormat/>
    <w:uiPriority w:val="0"/>
    <w:pPr>
      <w:adjustRightInd w:val="0"/>
      <w:spacing w:line="312" w:lineRule="atLeast"/>
      <w:jc w:val="left"/>
      <w:textAlignment w:val="baseline"/>
    </w:pPr>
    <w:rPr>
      <w:rFonts w:ascii="Times New Roman" w:hAnsi="Times New Roman"/>
      <w:kern w:val="0"/>
      <w:sz w:val="18"/>
      <w:szCs w:val="20"/>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autoRedefine/>
    <w:qFormat/>
    <w:uiPriority w:val="0"/>
    <w:pPr>
      <w:spacing w:line="480" w:lineRule="exact"/>
      <w:ind w:firstLine="420" w:firstLineChars="200"/>
    </w:pPr>
    <w:rPr>
      <w:rFonts w:ascii="宋体" w:hAnsi="Courier New" w:cs="Courier New"/>
    </w:rPr>
  </w:style>
  <w:style w:type="paragraph" w:styleId="37">
    <w:name w:val="toc 2"/>
    <w:basedOn w:val="1"/>
    <w:next w:val="1"/>
    <w:autoRedefine/>
    <w:qFormat/>
    <w:uiPriority w:val="39"/>
    <w:pPr>
      <w:ind w:left="210"/>
      <w:jc w:val="left"/>
    </w:pPr>
    <w:rPr>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autoRedefine/>
    <w:qFormat/>
    <w:uiPriority w:val="0"/>
    <w:pPr>
      <w:spacing w:line="280" w:lineRule="exact"/>
      <w:jc w:val="center"/>
    </w:pPr>
  </w:style>
  <w:style w:type="paragraph" w:styleId="40">
    <w:name w:val="Normal (Web)"/>
    <w:basedOn w:val="1"/>
    <w:autoRedefine/>
    <w:qFormat/>
    <w:uiPriority w:val="0"/>
    <w:pPr>
      <w:widowControl/>
      <w:spacing w:beforeAutospacing="1" w:afterAutospacing="1"/>
      <w:jc w:val="left"/>
    </w:pPr>
    <w:rPr>
      <w:rFonts w:ascii="宋体" w:hAnsi="宋体"/>
      <w:kern w:val="0"/>
      <w:sz w:val="24"/>
    </w:rPr>
  </w:style>
  <w:style w:type="paragraph" w:styleId="41">
    <w:name w:val="Title"/>
    <w:basedOn w:val="1"/>
    <w:next w:val="1"/>
    <w:link w:val="80"/>
    <w:autoRedefine/>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81"/>
    <w:autoRedefine/>
    <w:qFormat/>
    <w:uiPriority w:val="0"/>
    <w:rPr>
      <w:rFonts w:ascii="Times New Roman" w:hAnsi="Times New Roman"/>
      <w:b/>
      <w:bCs/>
    </w:rPr>
  </w:style>
  <w:style w:type="paragraph" w:styleId="43">
    <w:name w:val="Body Text First Indent 2"/>
    <w:basedOn w:val="1"/>
    <w:autoRedefine/>
    <w:qFormat/>
    <w:uiPriority w:val="0"/>
    <w:pPr>
      <w:ind w:firstLine="210"/>
    </w:pPr>
    <w:rPr>
      <w:rFonts w:ascii="Times New Roman" w:hAnsi="Times New Roman"/>
    </w:rPr>
  </w:style>
  <w:style w:type="table" w:styleId="45">
    <w:name w:val="Table Grid"/>
    <w:basedOn w:val="4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rPr>
      <w:rFonts w:ascii="Arial" w:hAnsi="Arial" w:eastAsia="黑体"/>
      <w:kern w:val="2"/>
      <w:sz w:val="21"/>
      <w:szCs w:val="21"/>
      <w:lang w:val="en-US" w:eastAsia="zh-CN" w:bidi="ar-SA"/>
    </w:rPr>
  </w:style>
  <w:style w:type="character" w:styleId="49">
    <w:name w:val="FollowedHyperlink"/>
    <w:basedOn w:val="46"/>
    <w:autoRedefine/>
    <w:qFormat/>
    <w:uiPriority w:val="0"/>
    <w:rPr>
      <w:color w:val="333333"/>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Acronym"/>
    <w:basedOn w:val="46"/>
    <w:autoRedefine/>
    <w:qFormat/>
    <w:uiPriority w:val="0"/>
  </w:style>
  <w:style w:type="character" w:styleId="53">
    <w:name w:val="HTML Variable"/>
    <w:basedOn w:val="46"/>
    <w:autoRedefine/>
    <w:qFormat/>
    <w:uiPriority w:val="0"/>
  </w:style>
  <w:style w:type="character" w:styleId="54">
    <w:name w:val="Hyperlink"/>
    <w:basedOn w:val="46"/>
    <w:autoRedefine/>
    <w:qFormat/>
    <w:uiPriority w:val="99"/>
    <w:rPr>
      <w:color w:val="333333"/>
      <w:u w:val="none"/>
    </w:rPr>
  </w:style>
  <w:style w:type="character" w:styleId="55">
    <w:name w:val="HTML Code"/>
    <w:autoRedefine/>
    <w:qFormat/>
    <w:uiPriority w:val="0"/>
    <w:rPr>
      <w:rFonts w:ascii="Courier New" w:hAnsi="Courier New"/>
      <w:sz w:val="20"/>
    </w:rPr>
  </w:style>
  <w:style w:type="character" w:styleId="56">
    <w:name w:val="annotation reference"/>
    <w:basedOn w:val="46"/>
    <w:autoRedefine/>
    <w:qFormat/>
    <w:uiPriority w:val="0"/>
    <w:rPr>
      <w:sz w:val="21"/>
      <w:szCs w:val="21"/>
    </w:rPr>
  </w:style>
  <w:style w:type="character" w:styleId="57">
    <w:name w:val="HTML Cite"/>
    <w:autoRedefine/>
    <w:qFormat/>
    <w:uiPriority w:val="0"/>
  </w:style>
  <w:style w:type="character" w:styleId="58">
    <w:name w:val="HTML Sample"/>
    <w:basedOn w:val="46"/>
    <w:autoRedefine/>
    <w:qFormat/>
    <w:uiPriority w:val="0"/>
    <w:rPr>
      <w:rFonts w:ascii="Courier New" w:hAnsi="Courier New"/>
    </w:rPr>
  </w:style>
  <w:style w:type="character" w:customStyle="1" w:styleId="59">
    <w:name w:val="标题 1 Char"/>
    <w:basedOn w:val="46"/>
    <w:link w:val="2"/>
    <w:autoRedefine/>
    <w:qFormat/>
    <w:uiPriority w:val="0"/>
    <w:rPr>
      <w:rFonts w:ascii="黑体" w:eastAsia="黑体"/>
      <w:sz w:val="32"/>
      <w:szCs w:val="32"/>
    </w:rPr>
  </w:style>
  <w:style w:type="character" w:customStyle="1" w:styleId="60">
    <w:name w:val="标题 2 Char"/>
    <w:basedOn w:val="46"/>
    <w:link w:val="3"/>
    <w:autoRedefine/>
    <w:qFormat/>
    <w:uiPriority w:val="0"/>
    <w:rPr>
      <w:rFonts w:ascii="Arial" w:hAnsi="Arial" w:eastAsia="黑体"/>
      <w:bCs/>
      <w:kern w:val="2"/>
      <w:sz w:val="30"/>
      <w:szCs w:val="30"/>
    </w:rPr>
  </w:style>
  <w:style w:type="character" w:customStyle="1" w:styleId="61">
    <w:name w:val="标题 3 Char"/>
    <w:basedOn w:val="46"/>
    <w:link w:val="4"/>
    <w:autoRedefine/>
    <w:qFormat/>
    <w:uiPriority w:val="0"/>
    <w:rPr>
      <w:rFonts w:ascii="黑体" w:hAnsi="宋体" w:eastAsia="黑体"/>
      <w:bCs/>
      <w:sz w:val="28"/>
      <w:szCs w:val="28"/>
    </w:rPr>
  </w:style>
  <w:style w:type="character" w:customStyle="1" w:styleId="62">
    <w:name w:val="标题 4 Char"/>
    <w:basedOn w:val="46"/>
    <w:link w:val="5"/>
    <w:autoRedefine/>
    <w:qFormat/>
    <w:uiPriority w:val="0"/>
    <w:rPr>
      <w:rFonts w:ascii="Cambria" w:hAnsi="Cambria" w:eastAsia="宋体" w:cs="Times New Roman"/>
      <w:b/>
      <w:bCs/>
      <w:kern w:val="2"/>
      <w:sz w:val="28"/>
      <w:szCs w:val="28"/>
    </w:rPr>
  </w:style>
  <w:style w:type="character" w:customStyle="1" w:styleId="63">
    <w:name w:val="标题 5 Char"/>
    <w:basedOn w:val="46"/>
    <w:link w:val="6"/>
    <w:autoRedefine/>
    <w:qFormat/>
    <w:uiPriority w:val="0"/>
    <w:rPr>
      <w:b/>
      <w:bCs/>
      <w:kern w:val="2"/>
      <w:sz w:val="28"/>
      <w:szCs w:val="28"/>
    </w:rPr>
  </w:style>
  <w:style w:type="character" w:customStyle="1" w:styleId="64">
    <w:name w:val="标题 6 Char"/>
    <w:basedOn w:val="46"/>
    <w:link w:val="7"/>
    <w:autoRedefine/>
    <w:qFormat/>
    <w:uiPriority w:val="0"/>
    <w:rPr>
      <w:rFonts w:ascii="Arial" w:hAnsi="Arial" w:eastAsia="黑体"/>
      <w:b/>
      <w:bCs/>
      <w:sz w:val="24"/>
      <w:szCs w:val="24"/>
    </w:rPr>
  </w:style>
  <w:style w:type="character" w:customStyle="1" w:styleId="65">
    <w:name w:val="标题 7 Char"/>
    <w:basedOn w:val="46"/>
    <w:link w:val="8"/>
    <w:autoRedefine/>
    <w:qFormat/>
    <w:uiPriority w:val="0"/>
    <w:rPr>
      <w:b/>
      <w:bCs/>
      <w:sz w:val="24"/>
      <w:szCs w:val="24"/>
    </w:rPr>
  </w:style>
  <w:style w:type="character" w:customStyle="1" w:styleId="66">
    <w:name w:val="标题 8 Char"/>
    <w:basedOn w:val="46"/>
    <w:link w:val="9"/>
    <w:autoRedefine/>
    <w:qFormat/>
    <w:uiPriority w:val="0"/>
    <w:rPr>
      <w:rFonts w:ascii="Arial" w:hAnsi="Arial" w:eastAsia="黑体"/>
      <w:sz w:val="24"/>
      <w:szCs w:val="24"/>
    </w:rPr>
  </w:style>
  <w:style w:type="character" w:customStyle="1" w:styleId="67">
    <w:name w:val="标题 9 Char"/>
    <w:basedOn w:val="46"/>
    <w:link w:val="10"/>
    <w:autoRedefine/>
    <w:qFormat/>
    <w:uiPriority w:val="0"/>
    <w:rPr>
      <w:rFonts w:ascii="Arial" w:hAnsi="Arial" w:eastAsia="黑体"/>
      <w:sz w:val="21"/>
      <w:szCs w:val="21"/>
    </w:rPr>
  </w:style>
  <w:style w:type="character" w:customStyle="1" w:styleId="68">
    <w:name w:val="文档结构图 Char"/>
    <w:link w:val="15"/>
    <w:autoRedefine/>
    <w:qFormat/>
    <w:uiPriority w:val="0"/>
    <w:rPr>
      <w:kern w:val="2"/>
      <w:sz w:val="21"/>
      <w:szCs w:val="24"/>
      <w:shd w:val="clear" w:color="auto" w:fill="000080"/>
    </w:rPr>
  </w:style>
  <w:style w:type="character" w:customStyle="1" w:styleId="69">
    <w:name w:val="批注文字 Char3"/>
    <w:basedOn w:val="46"/>
    <w:link w:val="16"/>
    <w:autoRedefine/>
    <w:qFormat/>
    <w:uiPriority w:val="0"/>
    <w:rPr>
      <w:kern w:val="2"/>
      <w:sz w:val="21"/>
      <w:szCs w:val="24"/>
    </w:rPr>
  </w:style>
  <w:style w:type="character" w:customStyle="1" w:styleId="70">
    <w:name w:val="正文文本 Char"/>
    <w:link w:val="17"/>
    <w:autoRedefine/>
    <w:qFormat/>
    <w:uiPriority w:val="0"/>
    <w:rPr>
      <w:kern w:val="2"/>
      <w:sz w:val="52"/>
      <w:szCs w:val="24"/>
    </w:rPr>
  </w:style>
  <w:style w:type="character" w:customStyle="1" w:styleId="71">
    <w:name w:val="正文文本缩进 Char"/>
    <w:link w:val="18"/>
    <w:autoRedefine/>
    <w:qFormat/>
    <w:uiPriority w:val="0"/>
    <w:rPr>
      <w:rFonts w:ascii="宋体" w:hAnsi="宋体" w:cs="Courier New"/>
      <w:spacing w:val="2"/>
      <w:kern w:val="2"/>
      <w:sz w:val="21"/>
      <w:szCs w:val="24"/>
    </w:rPr>
  </w:style>
  <w:style w:type="character" w:customStyle="1" w:styleId="72">
    <w:name w:val="纯文本 Char"/>
    <w:basedOn w:val="46"/>
    <w:link w:val="23"/>
    <w:autoRedefine/>
    <w:qFormat/>
    <w:uiPriority w:val="0"/>
    <w:rPr>
      <w:rFonts w:ascii="宋体" w:hAnsi="Courier New" w:eastAsia="宋体"/>
      <w:kern w:val="2"/>
      <w:sz w:val="21"/>
      <w:lang w:val="en-US" w:eastAsia="zh-CN" w:bidi="ar-SA"/>
    </w:rPr>
  </w:style>
  <w:style w:type="character" w:customStyle="1" w:styleId="73">
    <w:name w:val="日期 Char"/>
    <w:link w:val="25"/>
    <w:autoRedefine/>
    <w:qFormat/>
    <w:uiPriority w:val="0"/>
    <w:rPr>
      <w:kern w:val="2"/>
      <w:sz w:val="21"/>
      <w:szCs w:val="24"/>
    </w:rPr>
  </w:style>
  <w:style w:type="character" w:customStyle="1" w:styleId="74">
    <w:name w:val="正文文本缩进 2 Char"/>
    <w:link w:val="26"/>
    <w:autoRedefine/>
    <w:qFormat/>
    <w:uiPriority w:val="0"/>
    <w:rPr>
      <w:kern w:val="2"/>
      <w:sz w:val="21"/>
      <w:szCs w:val="24"/>
    </w:rPr>
  </w:style>
  <w:style w:type="character" w:customStyle="1" w:styleId="75">
    <w:name w:val="批注框文本 Char"/>
    <w:link w:val="27"/>
    <w:autoRedefine/>
    <w:qFormat/>
    <w:uiPriority w:val="0"/>
    <w:rPr>
      <w:kern w:val="2"/>
      <w:sz w:val="18"/>
      <w:szCs w:val="18"/>
    </w:rPr>
  </w:style>
  <w:style w:type="character" w:customStyle="1" w:styleId="76">
    <w:name w:val="页脚 Char"/>
    <w:basedOn w:val="46"/>
    <w:link w:val="28"/>
    <w:autoRedefine/>
    <w:qFormat/>
    <w:uiPriority w:val="0"/>
    <w:rPr>
      <w:kern w:val="2"/>
      <w:sz w:val="18"/>
      <w:szCs w:val="18"/>
    </w:rPr>
  </w:style>
  <w:style w:type="character" w:customStyle="1" w:styleId="77">
    <w:name w:val="页眉 Char"/>
    <w:link w:val="29"/>
    <w:autoRedefine/>
    <w:qFormat/>
    <w:uiPriority w:val="0"/>
    <w:rPr>
      <w:kern w:val="2"/>
      <w:sz w:val="18"/>
      <w:szCs w:val="18"/>
    </w:rPr>
  </w:style>
  <w:style w:type="character" w:customStyle="1" w:styleId="78">
    <w:name w:val="副标题 Char"/>
    <w:link w:val="32"/>
    <w:autoRedefine/>
    <w:qFormat/>
    <w:uiPriority w:val="0"/>
    <w:rPr>
      <w:rFonts w:ascii="Cambria" w:hAnsi="Cambria"/>
      <w:b/>
      <w:bCs/>
      <w:kern w:val="28"/>
      <w:sz w:val="32"/>
      <w:szCs w:val="32"/>
    </w:rPr>
  </w:style>
  <w:style w:type="character" w:customStyle="1" w:styleId="79">
    <w:name w:val="脚注文本 Char"/>
    <w:link w:val="34"/>
    <w:autoRedefine/>
    <w:qFormat/>
    <w:uiPriority w:val="0"/>
    <w:rPr>
      <w:sz w:val="18"/>
    </w:rPr>
  </w:style>
  <w:style w:type="character" w:customStyle="1" w:styleId="80">
    <w:name w:val="标题 Char"/>
    <w:link w:val="41"/>
    <w:autoRedefine/>
    <w:qFormat/>
    <w:uiPriority w:val="0"/>
    <w:rPr>
      <w:rFonts w:ascii="Cambria" w:hAnsi="Cambria"/>
      <w:b/>
      <w:bCs/>
      <w:kern w:val="2"/>
      <w:sz w:val="32"/>
      <w:szCs w:val="32"/>
    </w:rPr>
  </w:style>
  <w:style w:type="character" w:customStyle="1" w:styleId="81">
    <w:name w:val="批注主题 Char"/>
    <w:link w:val="42"/>
    <w:autoRedefine/>
    <w:qFormat/>
    <w:uiPriority w:val="0"/>
    <w:rPr>
      <w:b/>
      <w:bCs/>
      <w:kern w:val="2"/>
      <w:sz w:val="21"/>
      <w:szCs w:val="24"/>
    </w:rPr>
  </w:style>
  <w:style w:type="character" w:customStyle="1" w:styleId="82">
    <w:name w:val="font41"/>
    <w:basedOn w:val="46"/>
    <w:autoRedefine/>
    <w:qFormat/>
    <w:uiPriority w:val="0"/>
    <w:rPr>
      <w:rFonts w:hint="eastAsia" w:ascii="宋体" w:hAnsi="宋体" w:eastAsia="宋体" w:cs="宋体"/>
      <w:color w:val="000000"/>
      <w:sz w:val="28"/>
      <w:szCs w:val="28"/>
      <w:u w:val="single"/>
    </w:rPr>
  </w:style>
  <w:style w:type="character" w:customStyle="1" w:styleId="83">
    <w:name w:val="Heading 1 Char"/>
    <w:autoRedefine/>
    <w:qFormat/>
    <w:uiPriority w:val="0"/>
    <w:rPr>
      <w:rFonts w:eastAsia="宋体"/>
      <w:b/>
      <w:bCs/>
      <w:kern w:val="44"/>
      <w:sz w:val="32"/>
      <w:szCs w:val="44"/>
      <w:lang w:val="en-US" w:eastAsia="zh-CN" w:bidi="ar-SA"/>
    </w:rPr>
  </w:style>
  <w:style w:type="character" w:customStyle="1" w:styleId="84">
    <w:name w:val="textcontents"/>
    <w:autoRedefine/>
    <w:qFormat/>
    <w:uiPriority w:val="0"/>
    <w:rPr>
      <w:rFonts w:cs="Times New Roman"/>
    </w:rPr>
  </w:style>
  <w:style w:type="character" w:customStyle="1" w:styleId="85">
    <w:name w:val="标题 Char3"/>
    <w:basedOn w:val="46"/>
    <w:autoRedefine/>
    <w:qFormat/>
    <w:uiPriority w:val="10"/>
    <w:rPr>
      <w:rFonts w:ascii="Cambria" w:hAnsi="Cambria" w:cs="Times New Roman"/>
      <w:b/>
      <w:bCs/>
      <w:kern w:val="2"/>
      <w:sz w:val="32"/>
      <w:szCs w:val="32"/>
    </w:rPr>
  </w:style>
  <w:style w:type="character" w:customStyle="1" w:styleId="86">
    <w:name w:val="文档结构图 Char1"/>
    <w:autoRedefine/>
    <w:qFormat/>
    <w:uiPriority w:val="0"/>
    <w:rPr>
      <w:rFonts w:ascii="宋体" w:hAnsi="Times New Roman" w:eastAsia="宋体" w:cs="Times New Roman"/>
      <w:sz w:val="18"/>
      <w:szCs w:val="18"/>
    </w:rPr>
  </w:style>
  <w:style w:type="character" w:customStyle="1" w:styleId="87">
    <w:name w:val="_Style 86"/>
    <w:autoRedefine/>
    <w:qFormat/>
    <w:uiPriority w:val="0"/>
    <w:rPr>
      <w:b/>
      <w:bCs/>
      <w:i/>
      <w:iCs/>
      <w:color w:val="4F81BD"/>
    </w:rPr>
  </w:style>
  <w:style w:type="character" w:customStyle="1" w:styleId="88">
    <w:name w:val="明显引用 Char"/>
    <w:link w:val="89"/>
    <w:autoRedefine/>
    <w:qFormat/>
    <w:uiPriority w:val="0"/>
    <w:rPr>
      <w:b/>
      <w:bCs/>
      <w:i/>
      <w:iCs/>
      <w:color w:val="4F81BD"/>
    </w:rPr>
  </w:style>
  <w:style w:type="paragraph" w:styleId="89">
    <w:name w:val="Intense Quote"/>
    <w:basedOn w:val="1"/>
    <w:next w:val="1"/>
    <w:link w:val="88"/>
    <w:autoRedefine/>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90">
    <w:name w:val="Date Char"/>
    <w:autoRedefine/>
    <w:qFormat/>
    <w:uiPriority w:val="0"/>
    <w:rPr>
      <w:rFonts w:eastAsia="宋体"/>
      <w:kern w:val="2"/>
      <w:sz w:val="21"/>
      <w:szCs w:val="24"/>
      <w:lang w:val="en-US" w:eastAsia="zh-CN" w:bidi="ar-SA"/>
    </w:rPr>
  </w:style>
  <w:style w:type="character" w:customStyle="1" w:styleId="91">
    <w:name w:val="Heading 5 Char"/>
    <w:autoRedefine/>
    <w:qFormat/>
    <w:uiPriority w:val="0"/>
    <w:rPr>
      <w:rFonts w:eastAsia="宋体"/>
      <w:b/>
      <w:bCs/>
      <w:kern w:val="2"/>
      <w:sz w:val="28"/>
      <w:szCs w:val="28"/>
      <w:lang w:val="en-US" w:eastAsia="zh-CN" w:bidi="ar-SA"/>
    </w:rPr>
  </w:style>
  <w:style w:type="character" w:customStyle="1" w:styleId="92">
    <w:name w:val="Header Char"/>
    <w:autoRedefine/>
    <w:qFormat/>
    <w:uiPriority w:val="0"/>
    <w:rPr>
      <w:rFonts w:eastAsia="宋体"/>
      <w:kern w:val="2"/>
      <w:sz w:val="18"/>
      <w:szCs w:val="18"/>
      <w:lang w:val="en-US" w:eastAsia="zh-CN" w:bidi="ar-SA"/>
    </w:rPr>
  </w:style>
  <w:style w:type="character" w:customStyle="1" w:styleId="93">
    <w:name w:val="Char Char6"/>
    <w:autoRedefine/>
    <w:qFormat/>
    <w:uiPriority w:val="0"/>
    <w:rPr>
      <w:rFonts w:eastAsia="宋体"/>
      <w:b/>
      <w:bCs/>
      <w:kern w:val="44"/>
      <w:sz w:val="32"/>
      <w:szCs w:val="44"/>
      <w:lang w:val="en-US" w:eastAsia="zh-CN" w:bidi="ar-SA"/>
    </w:rPr>
  </w:style>
  <w:style w:type="character" w:customStyle="1" w:styleId="94">
    <w:name w:val="Char Char181"/>
    <w:autoRedefine/>
    <w:qFormat/>
    <w:uiPriority w:val="0"/>
    <w:rPr>
      <w:b/>
      <w:bCs/>
      <w:kern w:val="44"/>
      <w:sz w:val="44"/>
      <w:szCs w:val="44"/>
    </w:rPr>
  </w:style>
  <w:style w:type="character" w:customStyle="1" w:styleId="95">
    <w:name w:val="font31"/>
    <w:basedOn w:val="46"/>
    <w:autoRedefine/>
    <w:qFormat/>
    <w:uiPriority w:val="0"/>
    <w:rPr>
      <w:rFonts w:ascii="Arial" w:hAnsi="Arial" w:cs="Arial"/>
      <w:color w:val="000000"/>
      <w:sz w:val="28"/>
      <w:szCs w:val="28"/>
      <w:u w:val="none"/>
    </w:rPr>
  </w:style>
  <w:style w:type="character" w:customStyle="1" w:styleId="96">
    <w:name w:val="Char Char20"/>
    <w:autoRedefine/>
    <w:qFormat/>
    <w:uiPriority w:val="0"/>
    <w:rPr>
      <w:rFonts w:ascii="Times New Roman" w:hAnsi="Times New Roman" w:eastAsia="宋体" w:cs="Times New Roman"/>
      <w:b/>
      <w:bCs/>
      <w:sz w:val="24"/>
      <w:szCs w:val="32"/>
    </w:rPr>
  </w:style>
  <w:style w:type="character" w:customStyle="1" w:styleId="97">
    <w:name w:val="批注框文本 Char1"/>
    <w:autoRedefine/>
    <w:qFormat/>
    <w:uiPriority w:val="0"/>
    <w:rPr>
      <w:rFonts w:ascii="Times New Roman" w:hAnsi="Times New Roman" w:eastAsia="宋体" w:cs="Times New Roman"/>
      <w:sz w:val="18"/>
      <w:szCs w:val="18"/>
    </w:rPr>
  </w:style>
  <w:style w:type="character" w:customStyle="1" w:styleId="98">
    <w:name w:val="文档结构图 Char2"/>
    <w:basedOn w:val="46"/>
    <w:autoRedefine/>
    <w:qFormat/>
    <w:uiPriority w:val="99"/>
    <w:rPr>
      <w:rFonts w:ascii="宋体"/>
      <w:kern w:val="2"/>
      <w:sz w:val="18"/>
      <w:szCs w:val="18"/>
    </w:rPr>
  </w:style>
  <w:style w:type="character" w:customStyle="1" w:styleId="99">
    <w:name w:val="font11"/>
    <w:basedOn w:val="46"/>
    <w:autoRedefine/>
    <w:qFormat/>
    <w:uiPriority w:val="0"/>
    <w:rPr>
      <w:rFonts w:hint="eastAsia" w:ascii="宋体" w:hAnsi="宋体" w:eastAsia="宋体" w:cs="宋体"/>
      <w:color w:val="000000"/>
      <w:sz w:val="28"/>
      <w:szCs w:val="28"/>
      <w:u w:val="none"/>
    </w:rPr>
  </w:style>
  <w:style w:type="character" w:customStyle="1" w:styleId="100">
    <w:name w:val="Comment Text Char"/>
    <w:autoRedefine/>
    <w:qFormat/>
    <w:uiPriority w:val="0"/>
    <w:rPr>
      <w:rFonts w:cs="Times New Roman"/>
      <w:sz w:val="24"/>
      <w:szCs w:val="24"/>
    </w:rPr>
  </w:style>
  <w:style w:type="character" w:customStyle="1" w:styleId="101">
    <w:name w:val="Char Char23"/>
    <w:autoRedefine/>
    <w:qFormat/>
    <w:uiPriority w:val="0"/>
    <w:rPr>
      <w:rFonts w:eastAsia="宋体"/>
      <w:b/>
      <w:bCs/>
      <w:kern w:val="44"/>
      <w:sz w:val="32"/>
      <w:szCs w:val="44"/>
      <w:lang w:val="en-US" w:eastAsia="zh-CN" w:bidi="ar-SA"/>
    </w:rPr>
  </w:style>
  <w:style w:type="character" w:customStyle="1" w:styleId="102">
    <w:name w:val="Balloon Text Char"/>
    <w:autoRedefine/>
    <w:qFormat/>
    <w:uiPriority w:val="0"/>
    <w:rPr>
      <w:sz w:val="18"/>
      <w:lang w:bidi="ar-SA"/>
    </w:rPr>
  </w:style>
  <w:style w:type="character" w:customStyle="1" w:styleId="103">
    <w:name w:val="Char Char91"/>
    <w:autoRedefine/>
    <w:qFormat/>
    <w:uiPriority w:val="0"/>
    <w:rPr>
      <w:rFonts w:eastAsia="宋体"/>
      <w:b/>
      <w:bCs/>
      <w:kern w:val="44"/>
      <w:sz w:val="32"/>
      <w:szCs w:val="44"/>
      <w:lang w:val="en-US" w:eastAsia="zh-CN" w:bidi="ar-SA"/>
    </w:rPr>
  </w:style>
  <w:style w:type="character" w:customStyle="1" w:styleId="104">
    <w:name w:val="current"/>
    <w:autoRedefine/>
    <w:qFormat/>
    <w:uiPriority w:val="0"/>
    <w:rPr>
      <w:color w:val="FFFFFF"/>
      <w:bdr w:val="single" w:color="028BD3" w:sz="6" w:space="0"/>
      <w:shd w:val="clear" w:color="auto" w:fill="028BD3"/>
    </w:rPr>
  </w:style>
  <w:style w:type="character" w:customStyle="1" w:styleId="105">
    <w:name w:val="_Style 104"/>
    <w:autoRedefine/>
    <w:qFormat/>
    <w:uiPriority w:val="0"/>
    <w:rPr>
      <w:smallCaps/>
      <w:color w:val="C0504D"/>
      <w:u w:val="single"/>
    </w:rPr>
  </w:style>
  <w:style w:type="character" w:customStyle="1" w:styleId="106">
    <w:name w:val="副标题 Char1"/>
    <w:basedOn w:val="46"/>
    <w:autoRedefine/>
    <w:qFormat/>
    <w:uiPriority w:val="11"/>
    <w:rPr>
      <w:rFonts w:ascii="Cambria" w:hAnsi="Cambria" w:cs="Times New Roman"/>
      <w:b/>
      <w:bCs/>
      <w:kern w:val="28"/>
      <w:sz w:val="32"/>
      <w:szCs w:val="32"/>
    </w:rPr>
  </w:style>
  <w:style w:type="character" w:customStyle="1" w:styleId="107">
    <w:name w:val="Footer Char"/>
    <w:autoRedefine/>
    <w:qFormat/>
    <w:uiPriority w:val="0"/>
    <w:rPr>
      <w:rFonts w:eastAsia="宋体"/>
      <w:kern w:val="2"/>
      <w:sz w:val="18"/>
      <w:szCs w:val="18"/>
      <w:lang w:val="en-US" w:eastAsia="zh-CN" w:bidi="ar-SA"/>
    </w:rPr>
  </w:style>
  <w:style w:type="character" w:customStyle="1" w:styleId="108">
    <w:name w:val="Heading 3 Char"/>
    <w:autoRedefine/>
    <w:qFormat/>
    <w:uiPriority w:val="0"/>
    <w:rPr>
      <w:rFonts w:cs="Times New Roman"/>
      <w:b/>
      <w:bCs/>
      <w:kern w:val="2"/>
      <w:sz w:val="32"/>
      <w:szCs w:val="32"/>
    </w:rPr>
  </w:style>
  <w:style w:type="character" w:customStyle="1" w:styleId="109">
    <w:name w:val="_Style 108"/>
    <w:autoRedefine/>
    <w:qFormat/>
    <w:uiPriority w:val="0"/>
    <w:rPr>
      <w:b/>
      <w:bCs/>
      <w:smallCaps/>
      <w:color w:val="C0504D"/>
      <w:spacing w:val="5"/>
      <w:u w:val="single"/>
    </w:rPr>
  </w:style>
  <w:style w:type="character" w:customStyle="1" w:styleId="110">
    <w:name w:val="引用 Char2"/>
    <w:basedOn w:val="46"/>
    <w:autoRedefine/>
    <w:qFormat/>
    <w:uiPriority w:val="29"/>
    <w:rPr>
      <w:i/>
      <w:iCs/>
      <w:color w:val="000000"/>
      <w:kern w:val="2"/>
      <w:sz w:val="21"/>
      <w:szCs w:val="24"/>
    </w:rPr>
  </w:style>
  <w:style w:type="character" w:customStyle="1" w:styleId="111">
    <w:name w:val="Comment Subject Char"/>
    <w:autoRedefine/>
    <w:qFormat/>
    <w:uiPriority w:val="0"/>
    <w:rPr>
      <w:b/>
      <w:sz w:val="24"/>
      <w:lang w:bidi="ar-SA"/>
    </w:rPr>
  </w:style>
  <w:style w:type="character" w:customStyle="1" w:styleId="112">
    <w:name w:val="标题 Char2"/>
    <w:autoRedefine/>
    <w:qFormat/>
    <w:uiPriority w:val="0"/>
    <w:rPr>
      <w:rFonts w:ascii="Cambria" w:hAnsi="Cambria" w:eastAsia="宋体" w:cs="Times New Roman"/>
      <w:b/>
      <w:bCs/>
      <w:sz w:val="32"/>
      <w:szCs w:val="32"/>
    </w:rPr>
  </w:style>
  <w:style w:type="character" w:customStyle="1" w:styleId="113">
    <w:name w:val="Char Char19"/>
    <w:autoRedefine/>
    <w:qFormat/>
    <w:uiPriority w:val="0"/>
    <w:rPr>
      <w:rFonts w:ascii="Arial" w:hAnsi="Arial" w:eastAsia="宋体" w:cs="Times New Roman"/>
      <w:b/>
      <w:bCs/>
      <w:szCs w:val="28"/>
    </w:rPr>
  </w:style>
  <w:style w:type="character" w:customStyle="1" w:styleId="114">
    <w:name w:val="批注主题 Char2"/>
    <w:basedOn w:val="69"/>
    <w:autoRedefine/>
    <w:qFormat/>
    <w:uiPriority w:val="99"/>
  </w:style>
  <w:style w:type="character" w:customStyle="1" w:styleId="115">
    <w:name w:val="纯文本 Char1"/>
    <w:autoRedefine/>
    <w:qFormat/>
    <w:uiPriority w:val="0"/>
    <w:rPr>
      <w:rFonts w:ascii="宋体" w:hAnsi="Courier New" w:eastAsia="宋体" w:cs="Courier New"/>
      <w:szCs w:val="21"/>
    </w:rPr>
  </w:style>
  <w:style w:type="character" w:customStyle="1" w:styleId="116">
    <w:name w:val="批注文字 Char1"/>
    <w:autoRedefine/>
    <w:qFormat/>
    <w:uiPriority w:val="0"/>
    <w:rPr>
      <w:rFonts w:ascii="Times New Roman" w:hAnsi="Times New Roman" w:eastAsia="宋体" w:cs="Times New Roman"/>
      <w:szCs w:val="24"/>
    </w:rPr>
  </w:style>
  <w:style w:type="character" w:customStyle="1" w:styleId="117">
    <w:name w:val="Char Char24"/>
    <w:autoRedefine/>
    <w:qFormat/>
    <w:uiPriority w:val="0"/>
    <w:rPr>
      <w:rFonts w:eastAsia="宋体"/>
      <w:b/>
      <w:bCs/>
      <w:kern w:val="44"/>
      <w:sz w:val="32"/>
      <w:szCs w:val="44"/>
      <w:lang w:val="en-US" w:eastAsia="zh-CN" w:bidi="ar-SA"/>
    </w:rPr>
  </w:style>
  <w:style w:type="character" w:customStyle="1" w:styleId="118">
    <w:name w:val="明显引用 Char1"/>
    <w:autoRedefine/>
    <w:qFormat/>
    <w:uiPriority w:val="0"/>
    <w:rPr>
      <w:rFonts w:ascii="Times New Roman" w:hAnsi="Times New Roman" w:eastAsia="宋体" w:cs="Times New Roman"/>
      <w:b/>
      <w:bCs/>
      <w:i/>
      <w:iCs/>
      <w:color w:val="4F81BD"/>
      <w:szCs w:val="24"/>
    </w:rPr>
  </w:style>
  <w:style w:type="character" w:customStyle="1" w:styleId="119">
    <w:name w:val="明显引用 Char2"/>
    <w:basedOn w:val="46"/>
    <w:autoRedefine/>
    <w:qFormat/>
    <w:uiPriority w:val="30"/>
    <w:rPr>
      <w:b/>
      <w:bCs/>
      <w:i/>
      <w:iCs/>
      <w:color w:val="4F81BD"/>
      <w:kern w:val="2"/>
      <w:sz w:val="21"/>
      <w:szCs w:val="24"/>
    </w:rPr>
  </w:style>
  <w:style w:type="character" w:customStyle="1" w:styleId="120">
    <w:name w:val="bsharetext"/>
    <w:basedOn w:val="46"/>
    <w:autoRedefine/>
    <w:qFormat/>
    <w:uiPriority w:val="0"/>
  </w:style>
  <w:style w:type="character" w:customStyle="1" w:styleId="121">
    <w:name w:val="批注文字 Char"/>
    <w:autoRedefine/>
    <w:qFormat/>
    <w:uiPriority w:val="0"/>
    <w:rPr>
      <w:kern w:val="2"/>
      <w:sz w:val="21"/>
      <w:szCs w:val="24"/>
    </w:rPr>
  </w:style>
  <w:style w:type="character" w:customStyle="1" w:styleId="122">
    <w:name w:val="标题5 Char Char"/>
    <w:link w:val="123"/>
    <w:autoRedefine/>
    <w:qFormat/>
    <w:uiPriority w:val="0"/>
    <w:rPr>
      <w:rFonts w:ascii="Arial" w:hAnsi="Arial"/>
      <w:b/>
      <w:bCs/>
      <w:sz w:val="24"/>
      <w:szCs w:val="32"/>
    </w:rPr>
  </w:style>
  <w:style w:type="paragraph" w:customStyle="1" w:styleId="123">
    <w:name w:val="标题5"/>
    <w:basedOn w:val="4"/>
    <w:link w:val="122"/>
    <w:autoRedefine/>
    <w:qFormat/>
    <w:uiPriority w:val="0"/>
    <w:pPr>
      <w:spacing w:before="260" w:after="260" w:line="413" w:lineRule="auto"/>
      <w:jc w:val="both"/>
    </w:pPr>
    <w:rPr>
      <w:rFonts w:hint="default" w:ascii="Arial" w:hAnsi="Arial" w:eastAsia="宋体"/>
      <w:b/>
      <w:sz w:val="24"/>
      <w:szCs w:val="32"/>
    </w:rPr>
  </w:style>
  <w:style w:type="character" w:customStyle="1" w:styleId="124">
    <w:name w:val="Heading 4 Char"/>
    <w:autoRedefine/>
    <w:qFormat/>
    <w:uiPriority w:val="0"/>
    <w:rPr>
      <w:rFonts w:ascii="Arial" w:hAnsi="Arial" w:eastAsia="宋体"/>
      <w:b/>
      <w:bCs/>
      <w:kern w:val="2"/>
      <w:sz w:val="21"/>
      <w:szCs w:val="28"/>
      <w:lang w:val="en-US" w:eastAsia="zh-CN" w:bidi="ar-SA"/>
    </w:rPr>
  </w:style>
  <w:style w:type="character" w:customStyle="1" w:styleId="125">
    <w:name w:val="Plain Text Char"/>
    <w:autoRedefine/>
    <w:qFormat/>
    <w:uiPriority w:val="0"/>
    <w:rPr>
      <w:rFonts w:ascii="宋体" w:hAnsi="Courier New" w:eastAsia="宋体"/>
      <w:sz w:val="24"/>
      <w:lang w:bidi="ar-SA"/>
    </w:rPr>
  </w:style>
  <w:style w:type="character" w:customStyle="1" w:styleId="126">
    <w:name w:val="日期 Char1"/>
    <w:autoRedefine/>
    <w:qFormat/>
    <w:uiPriority w:val="0"/>
    <w:rPr>
      <w:rFonts w:ascii="Times New Roman" w:hAnsi="Times New Roman" w:eastAsia="宋体" w:cs="Times New Roman"/>
      <w:szCs w:val="24"/>
    </w:rPr>
  </w:style>
  <w:style w:type="character" w:customStyle="1" w:styleId="127">
    <w:name w:val="_Style 126"/>
    <w:autoRedefine/>
    <w:qFormat/>
    <w:uiPriority w:val="0"/>
    <w:rPr>
      <w:b/>
      <w:bCs/>
      <w:smallCaps/>
      <w:spacing w:val="5"/>
    </w:rPr>
  </w:style>
  <w:style w:type="character" w:customStyle="1" w:styleId="128">
    <w:name w:val="标题4 Char Char"/>
    <w:link w:val="129"/>
    <w:autoRedefine/>
    <w:qFormat/>
    <w:uiPriority w:val="0"/>
    <w:rPr>
      <w:rFonts w:ascii="Arial" w:hAnsi="Arial"/>
      <w:b/>
      <w:bCs/>
      <w:sz w:val="24"/>
      <w:szCs w:val="32"/>
    </w:rPr>
  </w:style>
  <w:style w:type="paragraph" w:customStyle="1" w:styleId="129">
    <w:name w:val="标题4"/>
    <w:basedOn w:val="3"/>
    <w:next w:val="20"/>
    <w:link w:val="128"/>
    <w:autoRedefine/>
    <w:qFormat/>
    <w:uiPriority w:val="0"/>
    <w:pPr>
      <w:spacing w:before="60" w:after="60" w:line="413" w:lineRule="auto"/>
      <w:jc w:val="both"/>
    </w:pPr>
    <w:rPr>
      <w:rFonts w:eastAsia="宋体"/>
      <w:b/>
      <w:kern w:val="0"/>
      <w:sz w:val="24"/>
      <w:szCs w:val="32"/>
    </w:rPr>
  </w:style>
  <w:style w:type="character" w:customStyle="1" w:styleId="130">
    <w:name w:val="Document Map Char"/>
    <w:autoRedefine/>
    <w:qFormat/>
    <w:uiPriority w:val="0"/>
    <w:rPr>
      <w:rFonts w:eastAsia="宋体"/>
      <w:kern w:val="2"/>
      <w:sz w:val="21"/>
      <w:szCs w:val="24"/>
      <w:lang w:val="en-US" w:eastAsia="zh-CN" w:bidi="ar-SA"/>
    </w:rPr>
  </w:style>
  <w:style w:type="character" w:customStyle="1" w:styleId="131">
    <w:name w:val="Body Text Indent 2 Char"/>
    <w:autoRedefine/>
    <w:qFormat/>
    <w:uiPriority w:val="0"/>
    <w:rPr>
      <w:rFonts w:eastAsia="宋体"/>
      <w:kern w:val="2"/>
      <w:sz w:val="21"/>
      <w:szCs w:val="24"/>
      <w:lang w:val="en-US" w:eastAsia="zh-CN" w:bidi="ar-SA"/>
    </w:rPr>
  </w:style>
  <w:style w:type="character" w:customStyle="1" w:styleId="132">
    <w:name w:val="Char Char9"/>
    <w:autoRedefine/>
    <w:qFormat/>
    <w:uiPriority w:val="0"/>
    <w:rPr>
      <w:rFonts w:eastAsia="宋体"/>
      <w:b/>
      <w:bCs/>
      <w:kern w:val="44"/>
      <w:sz w:val="32"/>
      <w:szCs w:val="44"/>
      <w:lang w:val="en-US" w:eastAsia="zh-CN" w:bidi="ar-SA"/>
    </w:rPr>
  </w:style>
  <w:style w:type="character" w:customStyle="1" w:styleId="133">
    <w:name w:val="_Style 132"/>
    <w:autoRedefine/>
    <w:qFormat/>
    <w:uiPriority w:val="0"/>
    <w:rPr>
      <w:i/>
      <w:iCs/>
      <w:color w:val="808080"/>
    </w:rPr>
  </w:style>
  <w:style w:type="character" w:customStyle="1" w:styleId="134">
    <w:name w:val="Char Char22"/>
    <w:autoRedefine/>
    <w:qFormat/>
    <w:uiPriority w:val="0"/>
    <w:rPr>
      <w:rFonts w:ascii="Times New Roman" w:hAnsi="Times New Roman" w:eastAsia="宋体" w:cs="Times New Roman"/>
      <w:b/>
      <w:bCs/>
      <w:kern w:val="44"/>
      <w:sz w:val="32"/>
      <w:szCs w:val="44"/>
    </w:rPr>
  </w:style>
  <w:style w:type="character" w:customStyle="1" w:styleId="135">
    <w:name w:val="Char Char21"/>
    <w:autoRedefine/>
    <w:qFormat/>
    <w:uiPriority w:val="0"/>
    <w:rPr>
      <w:rFonts w:ascii="Arial" w:hAnsi="Arial" w:eastAsia="黑体" w:cs="Times New Roman"/>
      <w:b/>
      <w:bCs/>
      <w:sz w:val="32"/>
      <w:szCs w:val="32"/>
    </w:rPr>
  </w:style>
  <w:style w:type="character" w:customStyle="1" w:styleId="136">
    <w:name w:val="引用 Char1"/>
    <w:autoRedefine/>
    <w:qFormat/>
    <w:uiPriority w:val="0"/>
    <w:rPr>
      <w:rFonts w:ascii="Times New Roman" w:hAnsi="Times New Roman" w:eastAsia="宋体" w:cs="Times New Roman"/>
      <w:i/>
      <w:iCs/>
      <w:color w:val="000000"/>
      <w:szCs w:val="24"/>
    </w:rPr>
  </w:style>
  <w:style w:type="character" w:customStyle="1" w:styleId="137">
    <w:name w:val="Body Text Indent Char"/>
    <w:autoRedefine/>
    <w:qFormat/>
    <w:uiPriority w:val="0"/>
    <w:rPr>
      <w:rFonts w:ascii="宋体" w:hAnsi="宋体" w:eastAsia="宋体"/>
      <w:kern w:val="2"/>
      <w:sz w:val="21"/>
      <w:lang w:val="en-US" w:eastAsia="zh-CN" w:bidi="ar-SA"/>
    </w:rPr>
  </w:style>
  <w:style w:type="character" w:customStyle="1" w:styleId="138">
    <w:name w:val="正文文本 Char1"/>
    <w:autoRedefine/>
    <w:qFormat/>
    <w:uiPriority w:val="0"/>
    <w:rPr>
      <w:kern w:val="2"/>
      <w:sz w:val="21"/>
      <w:szCs w:val="22"/>
    </w:rPr>
  </w:style>
  <w:style w:type="character" w:customStyle="1" w:styleId="139">
    <w:name w:val="批注文字 Char Char"/>
    <w:autoRedefine/>
    <w:qFormat/>
    <w:uiPriority w:val="0"/>
    <w:rPr>
      <w:rFonts w:ascii="宋体" w:hAnsi="Times New Roman" w:eastAsia="宋体" w:cs="Times New Roman"/>
      <w:sz w:val="28"/>
      <w:szCs w:val="20"/>
    </w:rPr>
  </w:style>
  <w:style w:type="character" w:customStyle="1" w:styleId="140">
    <w:name w:val="Comment Text Char1"/>
    <w:autoRedefine/>
    <w:qFormat/>
    <w:uiPriority w:val="0"/>
    <w:rPr>
      <w:sz w:val="24"/>
      <w:lang w:bidi="ar-SA"/>
    </w:rPr>
  </w:style>
  <w:style w:type="character" w:customStyle="1" w:styleId="141">
    <w:name w:val="引用 Char"/>
    <w:link w:val="142"/>
    <w:autoRedefine/>
    <w:qFormat/>
    <w:uiPriority w:val="0"/>
    <w:rPr>
      <w:i/>
      <w:iCs/>
      <w:color w:val="000000"/>
    </w:rPr>
  </w:style>
  <w:style w:type="paragraph" w:styleId="142">
    <w:name w:val="Quote"/>
    <w:basedOn w:val="1"/>
    <w:next w:val="1"/>
    <w:link w:val="141"/>
    <w:autoRedefine/>
    <w:qFormat/>
    <w:uiPriority w:val="0"/>
    <w:rPr>
      <w:rFonts w:ascii="Times New Roman" w:hAnsi="Times New Roman"/>
      <w:i/>
      <w:iCs/>
      <w:color w:val="000000"/>
      <w:kern w:val="0"/>
      <w:sz w:val="20"/>
      <w:szCs w:val="20"/>
    </w:rPr>
  </w:style>
  <w:style w:type="character" w:customStyle="1" w:styleId="143">
    <w:name w:val="Char Char18"/>
    <w:autoRedefine/>
    <w:qFormat/>
    <w:uiPriority w:val="0"/>
    <w:rPr>
      <w:rFonts w:ascii="Times New Roman" w:hAnsi="Times New Roman" w:eastAsia="宋体" w:cs="Times New Roman"/>
      <w:b/>
      <w:bCs/>
      <w:sz w:val="28"/>
      <w:szCs w:val="28"/>
    </w:rPr>
  </w:style>
  <w:style w:type="character" w:customStyle="1" w:styleId="144">
    <w:name w:val="disabled"/>
    <w:autoRedefine/>
    <w:qFormat/>
    <w:uiPriority w:val="0"/>
    <w:rPr>
      <w:vanish/>
    </w:rPr>
  </w:style>
  <w:style w:type="character" w:customStyle="1" w:styleId="145">
    <w:name w:val="Title Char"/>
    <w:autoRedefine/>
    <w:qFormat/>
    <w:uiPriority w:val="0"/>
    <w:rPr>
      <w:rFonts w:ascii="Cambria" w:hAnsi="Cambria"/>
      <w:b/>
      <w:sz w:val="32"/>
      <w:lang w:bidi="ar-SA"/>
    </w:rPr>
  </w:style>
  <w:style w:type="character" w:customStyle="1" w:styleId="146">
    <w:name w:val="Footnote Text Char"/>
    <w:autoRedefine/>
    <w:qFormat/>
    <w:uiPriority w:val="0"/>
    <w:rPr>
      <w:rFonts w:eastAsia="宋体"/>
      <w:sz w:val="18"/>
      <w:lang w:val="en-US" w:eastAsia="zh-CN" w:bidi="ar-SA"/>
    </w:rPr>
  </w:style>
  <w:style w:type="character" w:customStyle="1" w:styleId="147">
    <w:name w:val="脚注文本 Char1"/>
    <w:basedOn w:val="46"/>
    <w:autoRedefine/>
    <w:qFormat/>
    <w:uiPriority w:val="99"/>
    <w:rPr>
      <w:kern w:val="2"/>
      <w:sz w:val="18"/>
      <w:szCs w:val="18"/>
    </w:rPr>
  </w:style>
  <w:style w:type="character" w:customStyle="1" w:styleId="148">
    <w:name w:val="批注文字 Char2"/>
    <w:autoRedefine/>
    <w:qFormat/>
    <w:uiPriority w:val="0"/>
    <w:rPr>
      <w:kern w:val="2"/>
      <w:sz w:val="21"/>
      <w:szCs w:val="24"/>
      <w:lang w:bidi="ar-SA"/>
    </w:rPr>
  </w:style>
  <w:style w:type="character" w:customStyle="1" w:styleId="149">
    <w:name w:val="Heading 3 Char1"/>
    <w:autoRedefine/>
    <w:qFormat/>
    <w:uiPriority w:val="0"/>
    <w:rPr>
      <w:rFonts w:eastAsia="宋体"/>
      <w:b/>
      <w:bCs/>
      <w:kern w:val="2"/>
      <w:sz w:val="24"/>
      <w:szCs w:val="32"/>
      <w:lang w:val="en-US" w:eastAsia="zh-CN" w:bidi="ar-SA"/>
    </w:rPr>
  </w:style>
  <w:style w:type="character" w:customStyle="1" w:styleId="150">
    <w:name w:val="Heading 2 Char"/>
    <w:autoRedefine/>
    <w:qFormat/>
    <w:uiPriority w:val="0"/>
    <w:rPr>
      <w:rFonts w:ascii="Arial" w:hAnsi="Arial" w:eastAsia="黑体"/>
      <w:b/>
      <w:bCs/>
      <w:kern w:val="2"/>
      <w:sz w:val="32"/>
      <w:szCs w:val="32"/>
      <w:lang w:val="en-US" w:eastAsia="zh-CN" w:bidi="ar-SA"/>
    </w:rPr>
  </w:style>
  <w:style w:type="character" w:customStyle="1" w:styleId="151">
    <w:name w:val="批注主题 Char1"/>
    <w:autoRedefine/>
    <w:qFormat/>
    <w:uiPriority w:val="0"/>
    <w:rPr>
      <w:rFonts w:ascii="Times New Roman" w:hAnsi="Times New Roman" w:eastAsia="宋体" w:cs="Times New Roman"/>
      <w:b/>
      <w:bCs/>
      <w:szCs w:val="24"/>
    </w:rPr>
  </w:style>
  <w:style w:type="character" w:customStyle="1" w:styleId="152">
    <w:name w:val="Char Char2"/>
    <w:autoRedefine/>
    <w:qFormat/>
    <w:locked/>
    <w:uiPriority w:val="0"/>
    <w:rPr>
      <w:rFonts w:ascii="宋体" w:hAnsi="Courier New" w:eastAsia="宋体"/>
      <w:kern w:val="2"/>
      <w:sz w:val="21"/>
      <w:lang w:val="en-US" w:eastAsia="zh-CN" w:bidi="ar-SA"/>
    </w:rPr>
  </w:style>
  <w:style w:type="character" w:customStyle="1" w:styleId="153">
    <w:name w:val="标题 Char1"/>
    <w:autoRedefine/>
    <w:qFormat/>
    <w:uiPriority w:val="0"/>
    <w:rPr>
      <w:rFonts w:ascii="Cambria" w:hAnsi="Cambria" w:eastAsia="宋体" w:cs="Times New Roman"/>
      <w:b/>
      <w:bCs/>
      <w:sz w:val="32"/>
      <w:szCs w:val="32"/>
    </w:rPr>
  </w:style>
  <w:style w:type="paragraph" w:customStyle="1" w:styleId="154">
    <w:name w:val="Char Char Char Char Char Char1 Char"/>
    <w:basedOn w:val="1"/>
    <w:autoRedefine/>
    <w:qFormat/>
    <w:uiPriority w:val="0"/>
    <w:pPr>
      <w:widowControl/>
      <w:spacing w:line="240" w:lineRule="exact"/>
      <w:jc w:val="left"/>
    </w:p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57">
    <w:name w:val="Char1"/>
    <w:basedOn w:val="1"/>
    <w:autoRedefine/>
    <w:qFormat/>
    <w:uiPriority w:val="0"/>
    <w:pPr>
      <w:widowControl/>
      <w:spacing w:after="160" w:line="240" w:lineRule="exact"/>
      <w:jc w:val="left"/>
    </w:pPr>
  </w:style>
  <w:style w:type="paragraph" w:customStyle="1" w:styleId="158">
    <w:name w:val="样式 标题 3 + (中文) 黑体 小四 非加粗 段前: 7.8 磅 段后: 0 磅 行距: 固定值 20 磅"/>
    <w:basedOn w:val="4"/>
    <w:autoRedefine/>
    <w:qFormat/>
    <w:uiPriority w:val="0"/>
    <w:pPr>
      <w:jc w:val="both"/>
    </w:pPr>
    <w:rPr>
      <w:rFonts w:hint="default" w:ascii="Times New Roman" w:hAnsi="Times New Roman" w:cs="宋体"/>
      <w:bCs w:val="0"/>
      <w:kern w:val="2"/>
      <w:sz w:val="21"/>
      <w:szCs w:val="20"/>
    </w:rPr>
  </w:style>
  <w:style w:type="paragraph" w:customStyle="1" w:styleId="159">
    <w:name w:val="样式 样式 样式 样式 汉仪中宋简 (符号) 宋体 首行缩进:  2 字符 + 首行缩进:  2 字符 + 首行缩进:  2 字..."/>
    <w:basedOn w:val="1"/>
    <w:autoRedefine/>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160">
    <w:name w:val="Char1 Char Char Char"/>
    <w:basedOn w:val="1"/>
    <w:autoRedefine/>
    <w:qFormat/>
    <w:uiPriority w:val="0"/>
    <w:pPr>
      <w:ind w:left="420" w:hanging="420"/>
    </w:pPr>
    <w:rPr>
      <w:sz w:val="24"/>
    </w:rPr>
  </w:style>
  <w:style w:type="paragraph" w:customStyle="1" w:styleId="16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标题 3_0_0"/>
    <w:basedOn w:val="163"/>
    <w:next w:val="163"/>
    <w:autoRedefine/>
    <w:unhideWhenUsed/>
    <w:qFormat/>
    <w:uiPriority w:val="0"/>
    <w:pPr>
      <w:keepNext/>
      <w:keepLines/>
      <w:spacing w:before="260" w:after="260" w:line="416" w:lineRule="auto"/>
      <w:outlineLvl w:val="2"/>
    </w:pPr>
    <w:rPr>
      <w:rFonts w:ascii="Times New Roman" w:hAnsi="Times New Roman"/>
      <w:b/>
      <w:bCs/>
      <w:sz w:val="32"/>
      <w:szCs w:val="32"/>
    </w:rPr>
  </w:style>
  <w:style w:type="paragraph" w:customStyle="1" w:styleId="163">
    <w:name w:val="正文_2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列出段落1"/>
    <w:basedOn w:val="1"/>
    <w:autoRedefine/>
    <w:qFormat/>
    <w:uiPriority w:val="0"/>
    <w:pPr>
      <w:ind w:firstLine="420" w:firstLineChars="200"/>
    </w:pPr>
    <w:rPr>
      <w:szCs w:val="22"/>
    </w:rPr>
  </w:style>
  <w:style w:type="paragraph" w:customStyle="1" w:styleId="165">
    <w:name w:val="默认段落字体 Para Char Char Char Char Char Char Char Char Char Char"/>
    <w:basedOn w:val="1"/>
    <w:autoRedefine/>
    <w:qFormat/>
    <w:uiPriority w:val="0"/>
    <w:rPr>
      <w:rFonts w:ascii="Tahoma" w:hAnsi="Tahoma"/>
      <w:sz w:val="24"/>
      <w:u w:val="single"/>
    </w:rPr>
  </w:style>
  <w:style w:type="paragraph" w:customStyle="1" w:styleId="166">
    <w:name w:val="样式5"/>
    <w:basedOn w:val="1"/>
    <w:autoRedefine/>
    <w:qFormat/>
    <w:uiPriority w:val="0"/>
    <w:pPr>
      <w:spacing w:line="440" w:lineRule="exact"/>
    </w:pPr>
    <w:rPr>
      <w:rFonts w:ascii="汉仪中宋简" w:hAnsi="宋体" w:eastAsia="黑体"/>
      <w:sz w:val="28"/>
      <w:szCs w:val="21"/>
    </w:rPr>
  </w:style>
  <w:style w:type="paragraph" w:customStyle="1" w:styleId="16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Char Char Char Char Char Char1 Char1"/>
    <w:basedOn w:val="1"/>
    <w:autoRedefine/>
    <w:qFormat/>
    <w:uiPriority w:val="0"/>
    <w:pPr>
      <w:widowControl/>
      <w:spacing w:line="240" w:lineRule="exact"/>
      <w:jc w:val="left"/>
    </w:pPr>
  </w:style>
  <w:style w:type="paragraph" w:customStyle="1" w:styleId="16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0">
    <w:name w:val="列表段落1"/>
    <w:basedOn w:val="1"/>
    <w:autoRedefine/>
    <w:qFormat/>
    <w:uiPriority w:val="1"/>
    <w:pPr>
      <w:ind w:left="229" w:firstLine="420"/>
    </w:pPr>
  </w:style>
  <w:style w:type="paragraph" w:customStyle="1" w:styleId="171">
    <w:name w:val="Char"/>
    <w:basedOn w:val="1"/>
    <w:autoRedefine/>
    <w:qFormat/>
    <w:uiPriority w:val="0"/>
    <w:pPr>
      <w:widowControl/>
      <w:spacing w:line="240" w:lineRule="exact"/>
      <w:jc w:val="left"/>
    </w:pPr>
    <w:rPr>
      <w:rFonts w:ascii="Verdana" w:hAnsi="Verdana"/>
      <w:kern w:val="0"/>
      <w:szCs w:val="20"/>
      <w:lang w:eastAsia="en-US"/>
    </w:rPr>
  </w:style>
  <w:style w:type="paragraph" w:customStyle="1" w:styleId="172">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3">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4">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175">
    <w:name w:val="Default Paragraph Font Para Char Char Char Char Char Char"/>
    <w:basedOn w:val="1"/>
    <w:autoRedefine/>
    <w:qFormat/>
    <w:uiPriority w:val="0"/>
    <w:pPr>
      <w:widowControl/>
      <w:spacing w:line="240" w:lineRule="exact"/>
      <w:jc w:val="left"/>
    </w:pPr>
  </w:style>
  <w:style w:type="paragraph" w:styleId="176">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7">
    <w:name w:val="Char2"/>
    <w:basedOn w:val="1"/>
    <w:autoRedefine/>
    <w:qFormat/>
    <w:uiPriority w:val="0"/>
    <w:pPr>
      <w:widowControl/>
      <w:spacing w:line="500" w:lineRule="exact"/>
      <w:outlineLvl w:val="2"/>
    </w:pPr>
  </w:style>
  <w:style w:type="paragraph" w:customStyle="1" w:styleId="178">
    <w:name w:val="2-2ji"/>
    <w:basedOn w:val="3"/>
    <w:autoRedefine/>
    <w:qFormat/>
    <w:uiPriority w:val="0"/>
    <w:pPr>
      <w:spacing w:line="360" w:lineRule="auto"/>
    </w:pPr>
    <w:rPr>
      <w:rFonts w:ascii="宋体" w:hAnsi="宋体" w:eastAsia="宋体"/>
      <w:b/>
      <w:sz w:val="36"/>
      <w:szCs w:val="24"/>
    </w:rPr>
  </w:style>
  <w:style w:type="paragraph" w:customStyle="1" w:styleId="179">
    <w:name w:val="正文_4"/>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180">
    <w:name w:val="_Style 179"/>
    <w:basedOn w:val="2"/>
    <w:next w:val="1"/>
    <w:autoRedefine/>
    <w:qFormat/>
    <w:uiPriority w:val="0"/>
    <w:pPr>
      <w:keepLines/>
      <w:widowControl w:val="0"/>
      <w:spacing w:before="340" w:after="330" w:line="576" w:lineRule="auto"/>
      <w:jc w:val="both"/>
      <w:outlineLvl w:val="9"/>
    </w:pPr>
    <w:rPr>
      <w:rFonts w:ascii="Calibri"/>
      <w:b/>
      <w:bCs/>
      <w:kern w:val="44"/>
      <w:sz w:val="44"/>
      <w:szCs w:val="44"/>
    </w:rPr>
  </w:style>
  <w:style w:type="paragraph" w:customStyle="1" w:styleId="18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2">
    <w:name w:val="_Style 37"/>
    <w:basedOn w:val="1"/>
    <w:next w:val="1"/>
    <w:autoRedefine/>
    <w:qFormat/>
    <w:uiPriority w:val="0"/>
  </w:style>
  <w:style w:type="paragraph" w:customStyle="1" w:styleId="183">
    <w:name w:val="Char Char Char Char Char Char Char"/>
    <w:basedOn w:val="1"/>
    <w:autoRedefine/>
    <w:qFormat/>
    <w:uiPriority w:val="0"/>
    <w:pPr>
      <w:widowControl/>
      <w:spacing w:after="160" w:line="240" w:lineRule="exact"/>
      <w:jc w:val="left"/>
    </w:pPr>
  </w:style>
  <w:style w:type="paragraph" w:customStyle="1" w:styleId="184">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样式17"/>
    <w:basedOn w:val="1"/>
    <w:autoRedefine/>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188">
    <w:name w:val="1"/>
    <w:basedOn w:val="1"/>
    <w:next w:val="23"/>
    <w:autoRedefine/>
    <w:qFormat/>
    <w:uiPriority w:val="0"/>
    <w:rPr>
      <w:rFonts w:ascii="宋体" w:hAnsi="Courier New"/>
      <w:szCs w:val="20"/>
    </w:rPr>
  </w:style>
  <w:style w:type="paragraph" w:styleId="189">
    <w:name w:val="List Paragraph"/>
    <w:basedOn w:val="1"/>
    <w:autoRedefine/>
    <w:qFormat/>
    <w:uiPriority w:val="0"/>
    <w:pPr>
      <w:ind w:firstLine="420" w:firstLineChars="200"/>
    </w:pPr>
    <w:rPr>
      <w:szCs w:val="22"/>
    </w:rPr>
  </w:style>
  <w:style w:type="paragraph" w:customStyle="1" w:styleId="190">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91">
    <w:name w:val="p0"/>
    <w:basedOn w:val="1"/>
    <w:autoRedefine/>
    <w:qFormat/>
    <w:uiPriority w:val="0"/>
    <w:pPr>
      <w:widowControl/>
    </w:pPr>
    <w:rPr>
      <w:rFonts w:cs="宋体"/>
      <w:kern w:val="0"/>
      <w:szCs w:val="21"/>
    </w:rPr>
  </w:style>
  <w:style w:type="paragraph" w:customStyle="1" w:styleId="192">
    <w:name w:val="样式 正文001 + 首行缩进:  2 字符1"/>
    <w:basedOn w:val="1"/>
    <w:autoRedefine/>
    <w:qFormat/>
    <w:uiPriority w:val="0"/>
    <w:pPr>
      <w:spacing w:before="60" w:line="460" w:lineRule="exact"/>
      <w:ind w:firstLine="480" w:firstLineChars="200"/>
    </w:pPr>
    <w:rPr>
      <w:rFonts w:ascii="宋体" w:hAnsi="宋体"/>
      <w:sz w:val="24"/>
      <w:szCs w:val="22"/>
    </w:rPr>
  </w:style>
  <w:style w:type="paragraph" w:customStyle="1" w:styleId="193">
    <w:name w:val="_Style 192"/>
    <w:autoRedefine/>
    <w:qFormat/>
    <w:uiPriority w:val="0"/>
    <w:rPr>
      <w:rFonts w:ascii="Calibri" w:hAnsi="Calibri" w:eastAsia="宋体" w:cs="Times New Roman"/>
      <w:kern w:val="2"/>
      <w:sz w:val="21"/>
      <w:szCs w:val="24"/>
      <w:lang w:val="en-US" w:eastAsia="zh-CN" w:bidi="ar-SA"/>
    </w:rPr>
  </w:style>
  <w:style w:type="paragraph" w:customStyle="1" w:styleId="194">
    <w:name w:val="样式 标题 2 + Times New Roman 四号 非加粗 段前: 5 磅 段后: 0 磅 行距: 固定值 20..."/>
    <w:basedOn w:val="3"/>
    <w:autoRedefine/>
    <w:qFormat/>
    <w:uiPriority w:val="0"/>
    <w:pPr>
      <w:spacing w:before="100"/>
      <w:jc w:val="both"/>
    </w:pPr>
    <w:rPr>
      <w:rFonts w:ascii="Times New Roman" w:hAnsi="Times New Roman" w:cs="宋体"/>
      <w:bCs w:val="0"/>
      <w:kern w:val="0"/>
      <w:sz w:val="28"/>
      <w:szCs w:val="20"/>
    </w:rPr>
  </w:style>
  <w:style w:type="paragraph" w:customStyle="1" w:styleId="195">
    <w:name w:val="样式1"/>
    <w:basedOn w:val="1"/>
    <w:next w:val="5"/>
    <w:autoRedefine/>
    <w:qFormat/>
    <w:uiPriority w:val="0"/>
    <w:pPr>
      <w:spacing w:line="360" w:lineRule="auto"/>
      <w:ind w:firstLine="420" w:firstLineChars="200"/>
    </w:pPr>
    <w:rPr>
      <w:rFonts w:ascii="宋体" w:hAnsi="宋体"/>
      <w:szCs w:val="21"/>
    </w:rPr>
  </w:style>
  <w:style w:type="paragraph" w:customStyle="1" w:styleId="196">
    <w:name w:val="表格文字"/>
    <w:basedOn w:val="1"/>
    <w:autoRedefine/>
    <w:qFormat/>
    <w:uiPriority w:val="99"/>
    <w:pPr>
      <w:spacing w:before="25" w:after="25"/>
      <w:ind w:firstLine="315" w:firstLineChars="150"/>
      <w:jc w:val="left"/>
    </w:pPr>
    <w:rPr>
      <w:bCs/>
      <w:color w:val="000000"/>
      <w:szCs w:val="21"/>
    </w:rPr>
  </w:style>
  <w:style w:type="paragraph" w:customStyle="1" w:styleId="19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98">
    <w:name w:val="Body text|1"/>
    <w:basedOn w:val="1"/>
    <w:autoRedefine/>
    <w:qFormat/>
    <w:uiPriority w:val="0"/>
    <w:pPr>
      <w:spacing w:line="410" w:lineRule="auto"/>
      <w:ind w:firstLine="400"/>
    </w:pPr>
    <w:rPr>
      <w:rFonts w:ascii="宋体" w:hAnsi="宋体" w:cs="宋体"/>
      <w:sz w:val="32"/>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1273"/>
    <customShpInfo spid="_x0000_s11274"/>
    <customShpInfo spid="_x0000_s11275"/>
    <customShpInfo spid="_x0000_s11272"/>
    <customShpInfo spid="_x0000_s1035"/>
    <customShpInfo spid="_x0000_s1036"/>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94</Pages>
  <Words>44723</Words>
  <Characters>47437</Characters>
  <Lines>417</Lines>
  <Paragraphs>117</Paragraphs>
  <TotalTime>22</TotalTime>
  <ScaleCrop>false</ScaleCrop>
  <LinksUpToDate>false</LinksUpToDate>
  <CharactersWithSpaces>52630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2019-02-12T08:10:00Z</dcterms:created>
  <dc:creator>user</dc:creator>
  <cp:lastModifiedBy>安妮的汤圆</cp:lastModifiedBy>
  <cp:lastPrinted>2021-11-19T03:20:00Z</cp:lastPrinted>
  <dcterms:modified xsi:type="dcterms:W3CDTF">2024-02-06T02:43:49Z</dcterms:modified>
  <dc:title>女子劳教工程</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6D346499F0A6464AA24D9CDA057ED5DD</vt:lpwstr>
  </property>
</Properties>
</file>