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736"/>
        <w:gridCol w:w="727"/>
        <w:gridCol w:w="5558"/>
        <w:gridCol w:w="645"/>
        <w:gridCol w:w="600"/>
        <w:gridCol w:w="690"/>
        <w:gridCol w:w="1095"/>
        <w:gridCol w:w="660"/>
        <w:gridCol w:w="3434"/>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038" w:type="dxa"/>
            <w:gridSpan w:val="3"/>
            <w:tcBorders>
              <w:top w:val="nil"/>
              <w:left w:val="nil"/>
              <w:bottom w:val="single" w:color="auto" w:sz="4" w:space="0"/>
              <w:right w:val="nil"/>
            </w:tcBorders>
            <w:vAlign w:val="top"/>
          </w:tcPr>
          <w:p>
            <w:pPr>
              <w:widowControl/>
              <w:spacing w:line="276" w:lineRule="auto"/>
              <w:jc w:val="left"/>
              <w:rPr>
                <w:rFonts w:ascii="宋体" w:hAnsi="宋体"/>
                <w:sz w:val="18"/>
                <w:szCs w:val="18"/>
                <w:u w:val="single"/>
              </w:rPr>
            </w:pPr>
          </w:p>
        </w:tc>
        <w:tc>
          <w:tcPr>
            <w:tcW w:w="13213" w:type="dxa"/>
            <w:gridSpan w:val="8"/>
            <w:tcBorders>
              <w:top w:val="nil"/>
              <w:left w:val="nil"/>
              <w:bottom w:val="single" w:color="auto" w:sz="4" w:space="0"/>
              <w:right w:val="nil"/>
            </w:tcBorders>
            <w:noWrap/>
            <w:vAlign w:val="top"/>
          </w:tcPr>
          <w:p>
            <w:pPr>
              <w:widowControl/>
              <w:spacing w:line="276" w:lineRule="auto"/>
              <w:jc w:val="left"/>
              <w:rPr>
                <w:rFonts w:ascii="宋体" w:hAnsi="宋体"/>
                <w:b/>
                <w:sz w:val="28"/>
                <w:szCs w:val="28"/>
              </w:rPr>
            </w:pPr>
            <w:r>
              <w:rPr>
                <w:rFonts w:hint="eastAsia" w:ascii="宋体" w:hAnsi="宋体"/>
                <w:b/>
                <w:sz w:val="28"/>
                <w:szCs w:val="28"/>
              </w:rPr>
              <w:t xml:space="preserve">   广西中医药大学</w:t>
            </w:r>
            <w:r>
              <w:rPr>
                <w:rFonts w:hint="eastAsia" w:ascii="宋体" w:hAnsi="宋体"/>
                <w:b/>
                <w:sz w:val="28"/>
                <w:szCs w:val="28"/>
                <w:lang w:val="en-US" w:eastAsia="zh-CN"/>
              </w:rPr>
              <w:t>仙葫校区学生宿舍家具采购项目政府采购在线询价</w:t>
            </w:r>
            <w:r>
              <w:rPr>
                <w:rFonts w:hint="eastAsia" w:ascii="宋体" w:hAnsi="宋体"/>
                <w:b/>
                <w:sz w:val="28"/>
                <w:szCs w:val="28"/>
              </w:rPr>
              <w:t>采购文件</w:t>
            </w:r>
          </w:p>
          <w:p>
            <w:pPr>
              <w:widowControl/>
              <w:spacing w:line="276" w:lineRule="auto"/>
              <w:jc w:val="left"/>
              <w:rPr>
                <w:rFonts w:ascii="宋体" w:hAnsi="宋体"/>
                <w:szCs w:val="21"/>
              </w:rPr>
            </w:pPr>
            <w:r>
              <w:rPr>
                <w:rFonts w:hint="eastAsia" w:ascii="宋体" w:hAnsi="宋体"/>
                <w:szCs w:val="21"/>
              </w:rPr>
              <w:t>说明：</w:t>
            </w:r>
          </w:p>
          <w:p>
            <w:pPr>
              <w:widowControl/>
              <w:spacing w:line="276" w:lineRule="auto"/>
              <w:jc w:val="left"/>
              <w:rPr>
                <w:rFonts w:ascii="宋体" w:hAnsi="宋体"/>
                <w:szCs w:val="21"/>
              </w:rPr>
            </w:pPr>
            <w:r>
              <w:rPr>
                <w:rFonts w:hint="eastAsia" w:ascii="宋体" w:hAnsi="宋体"/>
                <w:szCs w:val="21"/>
              </w:rPr>
              <w:t>1.投标人须根据技术参数及性能配置要求提供一一对应的技术响应偏离表。</w:t>
            </w:r>
          </w:p>
          <w:p>
            <w:pPr>
              <w:widowControl/>
              <w:spacing w:line="276" w:lineRule="auto"/>
              <w:jc w:val="left"/>
              <w:rPr>
                <w:rFonts w:ascii="宋体" w:hAnsi="宋体"/>
                <w:sz w:val="18"/>
                <w:szCs w:val="18"/>
              </w:rPr>
            </w:pPr>
            <w:r>
              <w:rPr>
                <w:rFonts w:hint="eastAsia" w:ascii="宋体" w:hAnsi="宋体"/>
                <w:szCs w:val="21"/>
              </w:rPr>
              <w:t>2.本章中带</w:t>
            </w:r>
            <w:r>
              <w:rPr>
                <w:rFonts w:hint="eastAsia"/>
                <w:color w:val="000000" w:themeColor="text1"/>
                <w14:textFill>
                  <w14:solidFill>
                    <w14:schemeClr w14:val="tx1"/>
                  </w14:solidFill>
                </w14:textFill>
              </w:rPr>
              <w:t>▲</w:t>
            </w:r>
            <w:r>
              <w:rPr>
                <w:rFonts w:hint="eastAsia" w:ascii="宋体" w:hAnsi="宋体"/>
                <w:szCs w:val="21"/>
              </w:rPr>
              <w:t>号条款为实质性内容要求，投标时必须满足。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75"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73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采购品目</w:t>
            </w:r>
          </w:p>
        </w:tc>
        <w:tc>
          <w:tcPr>
            <w:tcW w:w="727" w:type="dxa"/>
            <w:tcBorders>
              <w:top w:val="single" w:color="auto" w:sz="4" w:space="0"/>
            </w:tcBorders>
            <w:vAlign w:val="center"/>
          </w:tcPr>
          <w:p>
            <w:pPr>
              <w:jc w:val="center"/>
              <w:rPr>
                <w:rFonts w:ascii="宋体" w:hAnsi="宋体"/>
                <w:sz w:val="18"/>
                <w:szCs w:val="18"/>
              </w:rPr>
            </w:pPr>
            <w:r>
              <w:rPr>
                <w:rFonts w:hint="eastAsia" w:ascii="宋体" w:hAnsi="宋体"/>
                <w:sz w:val="18"/>
                <w:szCs w:val="18"/>
                <w:lang w:val="en-US" w:eastAsia="zh-CN"/>
              </w:rPr>
              <w:t>参考</w:t>
            </w:r>
            <w:r>
              <w:rPr>
                <w:rFonts w:hint="eastAsia" w:ascii="宋体" w:hAnsi="宋体"/>
                <w:sz w:val="18"/>
                <w:szCs w:val="18"/>
              </w:rPr>
              <w:t>品牌</w:t>
            </w:r>
          </w:p>
        </w:tc>
        <w:tc>
          <w:tcPr>
            <w:tcW w:w="5558" w:type="dxa"/>
            <w:tcBorders>
              <w:top w:val="single" w:color="auto" w:sz="4" w:space="0"/>
            </w:tcBorders>
            <w:vAlign w:val="center"/>
          </w:tcPr>
          <w:p>
            <w:pPr>
              <w:jc w:val="center"/>
              <w:rPr>
                <w:rFonts w:ascii="宋体" w:hAnsi="宋体"/>
                <w:sz w:val="18"/>
                <w:szCs w:val="18"/>
              </w:rPr>
            </w:pPr>
            <w:r>
              <w:rPr>
                <w:rFonts w:hint="eastAsia"/>
                <w:color w:val="000000" w:themeColor="text1"/>
                <w14:textFill>
                  <w14:solidFill>
                    <w14:schemeClr w14:val="tx1"/>
                  </w14:solidFill>
                </w14:textFill>
              </w:rPr>
              <w:t>▲</w:t>
            </w:r>
            <w:r>
              <w:rPr>
                <w:rFonts w:hint="eastAsia" w:ascii="宋体" w:hAnsi="宋体"/>
                <w:sz w:val="18"/>
                <w:szCs w:val="18"/>
              </w:rPr>
              <w:t>参数配置</w:t>
            </w:r>
          </w:p>
        </w:tc>
        <w:tc>
          <w:tcPr>
            <w:tcW w:w="645"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单位</w:t>
            </w:r>
          </w:p>
        </w:tc>
        <w:tc>
          <w:tcPr>
            <w:tcW w:w="600"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数量</w:t>
            </w:r>
          </w:p>
        </w:tc>
        <w:tc>
          <w:tcPr>
            <w:tcW w:w="690" w:type="dxa"/>
            <w:tcBorders>
              <w:top w:val="single" w:color="auto" w:sz="4" w:space="0"/>
            </w:tcBorders>
            <w:vAlign w:val="center"/>
          </w:tcPr>
          <w:p>
            <w:pPr>
              <w:jc w:val="center"/>
              <w:rPr>
                <w:rFonts w:hint="eastAsia" w:ascii="宋体" w:hAnsi="宋体"/>
                <w:sz w:val="18"/>
                <w:szCs w:val="18"/>
              </w:rPr>
            </w:pPr>
            <w:r>
              <w:rPr>
                <w:rFonts w:hint="eastAsia" w:ascii="宋体" w:hAnsi="宋体"/>
                <w:sz w:val="18"/>
                <w:szCs w:val="18"/>
              </w:rPr>
              <w:t>参考单价</w:t>
            </w:r>
          </w:p>
          <w:p>
            <w:pPr>
              <w:jc w:val="center"/>
              <w:rPr>
                <w:rFonts w:ascii="宋体" w:hAnsi="宋体"/>
                <w:sz w:val="18"/>
                <w:szCs w:val="18"/>
              </w:rPr>
            </w:pPr>
            <w:r>
              <w:rPr>
                <w:rFonts w:hint="eastAsia" w:ascii="宋体" w:hAnsi="宋体"/>
                <w:sz w:val="18"/>
                <w:szCs w:val="18"/>
              </w:rPr>
              <w:t>（元）</w:t>
            </w:r>
          </w:p>
        </w:tc>
        <w:tc>
          <w:tcPr>
            <w:tcW w:w="1095" w:type="dxa"/>
            <w:tcBorders>
              <w:top w:val="single" w:color="auto" w:sz="4" w:space="0"/>
            </w:tcBorders>
            <w:vAlign w:val="center"/>
          </w:tcPr>
          <w:p>
            <w:pPr>
              <w:jc w:val="center"/>
              <w:rPr>
                <w:rFonts w:hint="eastAsia" w:ascii="宋体" w:hAnsi="宋体"/>
                <w:sz w:val="18"/>
                <w:szCs w:val="18"/>
              </w:rPr>
            </w:pPr>
            <w:r>
              <w:rPr>
                <w:rFonts w:hint="eastAsia" w:ascii="宋体" w:hAnsi="宋体"/>
                <w:sz w:val="18"/>
                <w:szCs w:val="18"/>
              </w:rPr>
              <w:t>合计金额</w:t>
            </w:r>
          </w:p>
          <w:p>
            <w:pPr>
              <w:jc w:val="center"/>
              <w:rPr>
                <w:rFonts w:ascii="宋体" w:hAnsi="宋体"/>
                <w:sz w:val="18"/>
                <w:szCs w:val="18"/>
              </w:rPr>
            </w:pPr>
            <w:r>
              <w:rPr>
                <w:rFonts w:hint="eastAsia" w:ascii="宋体" w:hAnsi="宋体"/>
                <w:sz w:val="18"/>
                <w:szCs w:val="18"/>
              </w:rPr>
              <w:t>（元）</w:t>
            </w:r>
          </w:p>
        </w:tc>
        <w:tc>
          <w:tcPr>
            <w:tcW w:w="660"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是否进口产品</w:t>
            </w:r>
          </w:p>
        </w:tc>
        <w:tc>
          <w:tcPr>
            <w:tcW w:w="3434"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参考图片</w:t>
            </w:r>
          </w:p>
        </w:tc>
        <w:tc>
          <w:tcPr>
            <w:tcW w:w="531"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pPr>
              <w:jc w:val="center"/>
              <w:rPr>
                <w:rFonts w:ascii="宋体" w:hAnsi="宋体"/>
                <w:sz w:val="18"/>
                <w:szCs w:val="18"/>
                <w:u w:val="single"/>
              </w:rPr>
            </w:pPr>
            <w:r>
              <w:rPr>
                <w:rFonts w:hint="eastAsia" w:ascii="宋体" w:hAnsi="宋体"/>
                <w:sz w:val="18"/>
                <w:szCs w:val="18"/>
              </w:rPr>
              <w:t>1</w:t>
            </w:r>
          </w:p>
        </w:tc>
        <w:tc>
          <w:tcPr>
            <w:tcW w:w="736" w:type="dxa"/>
            <w:vAlign w:val="center"/>
          </w:tcPr>
          <w:p>
            <w:pPr>
              <w:jc w:val="center"/>
              <w:rPr>
                <w:rFonts w:hint="eastAsia" w:ascii="宋体" w:hAnsi="宋体"/>
                <w:sz w:val="18"/>
                <w:szCs w:val="18"/>
              </w:rPr>
            </w:pPr>
            <w:r>
              <w:rPr>
                <w:rFonts w:hint="eastAsia" w:ascii="宋体" w:hAnsi="宋体"/>
                <w:sz w:val="18"/>
                <w:szCs w:val="18"/>
              </w:rPr>
              <w:t>组合床</w:t>
            </w:r>
          </w:p>
        </w:tc>
        <w:tc>
          <w:tcPr>
            <w:tcW w:w="727" w:type="dxa"/>
            <w:vAlign w:val="center"/>
          </w:tcPr>
          <w:p>
            <w:pPr>
              <w:rPr>
                <w:rFonts w:ascii="宋体" w:hAnsi="宋体"/>
                <w:sz w:val="18"/>
                <w:szCs w:val="18"/>
              </w:rPr>
            </w:pPr>
            <w:r>
              <w:rPr>
                <w:rFonts w:hint="eastAsia" w:ascii="宋体" w:hAnsi="宋体"/>
                <w:sz w:val="18"/>
                <w:szCs w:val="18"/>
              </w:rPr>
              <w:t>懿德轩、桂红光、菲木森</w:t>
            </w:r>
          </w:p>
        </w:tc>
        <w:tc>
          <w:tcPr>
            <w:tcW w:w="5558" w:type="dxa"/>
            <w:vAlign w:val="top"/>
          </w:tcPr>
          <w:p>
            <w:p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单</w:t>
            </w:r>
            <w:r>
              <w:rPr>
                <w:rFonts w:hint="eastAsia"/>
                <w:color w:val="000000" w:themeColor="text1"/>
                <w14:textFill>
                  <w14:solidFill>
                    <w14:schemeClr w14:val="tx1"/>
                  </w14:solidFill>
                </w14:textFill>
              </w:rPr>
              <w:t>体公寓床：规格：（长×宽×高）</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000（长）×900（宽）×2050（高）mm</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一、技术参数要求</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1．材质要求：钢材横截面尺寸最大允许误差范围（±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mm），选用优质冷轧钢材，经除油、酸洗、磷化、除锈处理，表面静电喷塑处理，灰白色，表面光滑无毛刺，无漏喷及留痕，具有耐腐蚀、防水抗老化等性能。</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109" w:right="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olor w:val="000000" w:themeColor="text1"/>
                <w14:textFill>
                  <w14:solidFill>
                    <w14:schemeClr w14:val="tx1"/>
                  </w14:solidFill>
                </w14:textFill>
              </w:rPr>
              <w:t>(1)床立柱：采用型材不小于</w:t>
            </w:r>
            <w:r>
              <w:rPr>
                <w:rFonts w:hint="eastAsia"/>
                <w:color w:val="000000" w:themeColor="text1"/>
                <w:lang w:val="en-US" w:eastAsia="zh-CN"/>
                <w14:textFill>
                  <w14:solidFill>
                    <w14:schemeClr w14:val="tx1"/>
                  </w14:solidFill>
                </w14:textFill>
              </w:rPr>
              <w:t>65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65</w:t>
            </w:r>
            <w:r>
              <w:rPr>
                <w:rFonts w:hint="eastAsia"/>
                <w:color w:val="000000" w:themeColor="text1"/>
                <w14:textFill>
                  <w14:solidFill>
                    <w14:schemeClr w14:val="tx1"/>
                  </w14:solidFill>
                </w14:textFill>
              </w:rPr>
              <w:t>*1.2mm、</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经轧压线辊压成闭口，外侧为圆弧形，管材厚度≥1.2mm，圆弧面上有5条加强筋  具有现代宿舍家具简洁立体风格，增强床立柱的抗扭力。立柱底部有防水胶套，防止水腐蚀，床立柱顶端有套与蚊帐架紧密结合，不易脱落。</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)床横梁 ：采用型材不小于</w:t>
            </w:r>
            <w:r>
              <w:rPr>
                <w:rFonts w:hint="eastAsia"/>
                <w:color w:val="000000" w:themeColor="text1"/>
                <w:lang w:val="en-US" w:eastAsia="zh-CN"/>
                <w14:textFill>
                  <w14:solidFill>
                    <w14:schemeClr w14:val="tx1"/>
                  </w14:solidFill>
                </w14:textFill>
              </w:rPr>
              <w:t>84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38 </w:t>
            </w:r>
            <w:r>
              <w:rPr>
                <w:rFonts w:hint="eastAsia"/>
                <w:color w:val="000000" w:themeColor="text1"/>
                <w14:textFill>
                  <w14:solidFill>
                    <w14:schemeClr w14:val="tx1"/>
                  </w14:solidFill>
                </w14:textFill>
              </w:rPr>
              <w:t xml:space="preserve">*1.2mm ， </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管材厚度≥</w:t>
            </w:r>
            <w:r>
              <w:rPr>
                <w:rFonts w:hint="eastAsia" w:ascii="宋体" w:hAnsi="宋体" w:eastAsia="宋体" w:cs="宋体"/>
                <w:snapToGrid/>
                <w:color w:val="000000" w:themeColor="text1"/>
                <w:kern w:val="0"/>
                <w:sz w:val="24"/>
                <w:szCs w:val="24"/>
                <w:highlight w:val="none"/>
                <w:lang w:val="en-US" w:eastAsia="zh-CN" w:bidi="ar"/>
                <w14:textFill>
                  <w14:solidFill>
                    <w14:schemeClr w14:val="tx1"/>
                  </w14:solidFill>
                </w14:textFill>
              </w:rPr>
              <w:t>1.2mm；</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 xml:space="preserve">经轧压线辊压成闭口P型管，床边有三条加强筋 </w:t>
            </w:r>
            <w:r>
              <w:rPr>
                <w:rFonts w:hint="eastAsia"/>
                <w:color w:val="000000" w:themeColor="text1"/>
                <w14:textFill>
                  <w14:solidFill>
                    <w14:schemeClr w14:val="tx1"/>
                  </w14:solidFill>
                </w14:textFill>
              </w:rPr>
              <w:t>截面配置</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条以上凹形筋加固，增强其承重力 ；</w:t>
            </w:r>
          </w:p>
          <w:p>
            <w:pPr>
              <w:keepNext w:val="0"/>
              <w:keepLines w:val="0"/>
              <w:widowControl/>
              <w:numPr>
                <w:ilvl w:val="0"/>
                <w:numId w:val="0"/>
              </w:numPr>
              <w:suppressLineNumbers w:val="0"/>
              <w:kinsoku w:val="0"/>
              <w:autoSpaceDE w:val="0"/>
              <w:autoSpaceDN w:val="0"/>
              <w:adjustRightInd w:val="0"/>
              <w:snapToGrid w:val="0"/>
              <w:spacing w:before="0" w:beforeAutospacing="0" w:after="0" w:afterAutospacing="0" w:line="360" w:lineRule="auto"/>
              <w:ind w:right="0" w:right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管材底部多边型，可有效防撞；要求侧短横梁内外面与床立柱外面满焊，床长横梁外面与连接挂件正面焊接，提高床架稳固度和使用安全性。</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)上下横梁 ：采用</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 xml:space="preserve">mm 矩形钢管； </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)床连接扣件：</w:t>
            </w:r>
            <w:r>
              <w:rPr>
                <w:rFonts w:hint="eastAsia"/>
                <w:color w:val="000000" w:themeColor="text1"/>
                <w:lang w:val="en-US" w:eastAsia="zh-CN"/>
                <w14:textFill>
                  <w14:solidFill>
                    <w14:schemeClr w14:val="tx1"/>
                  </w14:solidFill>
                </w14:textFill>
              </w:rPr>
              <w:t>连接</w:t>
            </w:r>
            <w:r>
              <w:rPr>
                <w:rFonts w:hint="eastAsia"/>
                <w:color w:val="000000" w:themeColor="text1"/>
                <w14:textFill>
                  <w14:solidFill>
                    <w14:schemeClr w14:val="tx1"/>
                  </w14:solidFill>
                </w14:textFill>
              </w:rPr>
              <w:t>采用2.0mm厚钢板冲压成型</w:t>
            </w:r>
            <w:r>
              <w:rPr>
                <w:rFonts w:hint="eastAsia"/>
                <w:color w:val="000000" w:themeColor="text1"/>
                <w:lang w:val="en-US" w:eastAsia="zh-CN"/>
                <w14:textFill>
                  <w14:solidFill>
                    <w14:schemeClr w14:val="tx1"/>
                  </w14:solidFill>
                </w14:textFill>
              </w:rPr>
              <w:t>4扣榫卯内L（越承重越紧固）分左右</w:t>
            </w:r>
            <w:r>
              <w:rPr>
                <w:rFonts w:hint="eastAsia"/>
                <w:color w:val="000000" w:themeColor="text1"/>
                <w14:textFill>
                  <w14:solidFill>
                    <w14:schemeClr w14:val="tx1"/>
                  </w14:solidFill>
                </w14:textFill>
              </w:rPr>
              <w:t>，成型尺寸不小于</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*195mm ；</w:t>
            </w:r>
            <w:r>
              <w:rPr>
                <w:rFonts w:hint="eastAsia"/>
                <w:color w:val="000000" w:themeColor="text1"/>
                <w:lang w:val="en-US" w:eastAsia="zh-CN"/>
                <w14:textFill>
                  <w14:solidFill>
                    <w14:schemeClr w14:val="tx1"/>
                  </w14:solidFill>
                </w14:textFill>
              </w:rPr>
              <w:t>边立柱连接采用</w:t>
            </w:r>
            <w:r>
              <w:rPr>
                <w:rFonts w:hint="eastAsia"/>
                <w:color w:val="000000" w:themeColor="text1"/>
                <w14:textFill>
                  <w14:solidFill>
                    <w14:schemeClr w14:val="tx1"/>
                  </w14:solidFill>
                </w14:textFill>
              </w:rPr>
              <w:t>2.0mm厚钢板冲压成</w:t>
            </w:r>
            <w:r>
              <w:rPr>
                <w:rFonts w:hint="eastAsia"/>
                <w:color w:val="000000" w:themeColor="text1"/>
                <w:lang w:val="en-US" w:eastAsia="zh-CN"/>
                <w14:textFill>
                  <w14:solidFill>
                    <w14:schemeClr w14:val="tx1"/>
                  </w14:solidFill>
                </w14:textFill>
              </w:rPr>
              <w:t>梯</w:t>
            </w:r>
            <w:r>
              <w:rPr>
                <w:rFonts w:hint="eastAsia"/>
                <w:color w:val="000000" w:themeColor="text1"/>
                <w14:textFill>
                  <w14:solidFill>
                    <w14:schemeClr w14:val="tx1"/>
                  </w14:solidFill>
                </w14:textFill>
              </w:rPr>
              <w:t>型</w:t>
            </w:r>
            <w:r>
              <w:rPr>
                <w:rFonts w:hint="eastAsia"/>
                <w:color w:val="000000" w:themeColor="text1"/>
                <w:lang w:val="en-US" w:eastAsia="zh-CN"/>
                <w14:textFill>
                  <w14:solidFill>
                    <w14:schemeClr w14:val="tx1"/>
                  </w14:solidFill>
                </w14:textFill>
              </w:rPr>
              <w:t>3扣榫卯内L（越承重越紧固）， 成型尺寸35*18*135.</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513330" cy="1337310"/>
                  <wp:effectExtent l="0" t="0" r="127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513330" cy="1337310"/>
                          </a:xfrm>
                          <a:prstGeom prst="rect">
                            <a:avLst/>
                          </a:prstGeom>
                          <a:noFill/>
                          <a:ln>
                            <a:noFill/>
                          </a:ln>
                        </pic:spPr>
                      </pic:pic>
                    </a:graphicData>
                  </a:graphic>
                </wp:inline>
              </w:drawing>
            </w:r>
          </w:p>
          <w:p>
            <w:pPr>
              <w:spacing w:line="360" w:lineRule="auto"/>
              <w:rPr>
                <w:rFonts w:hint="eastAsia"/>
                <w:color w:val="000000" w:themeColor="text1"/>
                <w14:textFill>
                  <w14:solidFill>
                    <w14:schemeClr w14:val="tx1"/>
                  </w14:solidFill>
                </w14:textFill>
              </w:rPr>
            </w:pP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)床横担：采用20*</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 xml:space="preserve">mm 矩形钢管； </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)床安全护栏：采用 25*25*1.2mm钢管，整体结构配置美观大方。</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)床头立管：（Φ19）*1.0mm 圆管；</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)蚊帐杆：采用Φ</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 xml:space="preserve">*1.0mm圆管，伸缩式隐藏床立柱内部，蚊帐架高1000㎜，蚊帐杆长2000㎜。 </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)床安全爬梯；采用 25*25*1.2mm钢管立柱，踏板采用1.2mm厚钢板冲压成型，尺寸不小于350*70*40mm，每层踏板配2条防滑条纹夜光条。</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)床板：采用15mm厚的杉木床板，长宽尺寸按实际空间加工，不多于7快杉木板拼接而成，经干燥、防腐、防蛀处理，板底加固4根30×30mm杉木条为支撑点，制作牢固可靠，双面平整。</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2．金属件材质加工要求：</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材料：钢材采用优质钢材，焊接后成品架床的质量按照轻工行业标准《金属家具质量检验及质量评定》的规定执行，采用二氧化碳保护焊，应满焊、均匀、牢固、平整、无毛刺。要求柜体与床立柱相连接，安装后应牢固可靠，无摇摆现，使用时床板与金属件无摩擦声。</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金属件涂饰工艺要求：涂饰前零、部件的表面应光滑、平整，无开裂、脱焊、漏焊、焊渣或飞边、尖角、毛刺等可能造成机械伤害的缺陷。涂饰前零、部件表面工艺处理必须符合环保要求，表面经过：喷砂除锈→水洗→预脱脂→主脱脂→水洗→水洗→陶化→水洗→封闭洗→预烘干的10工位处理，预备处理后表面无氧化皮、锈蚀、粘砂等其他杂质，工件陶化镀膜层达到工艺要求，预备处理后及时进行涂饰，预备处理后表面无氧化皮、锈蚀、粘砂等其他杂质，工件陶化镀膜层达到工艺要求，预备处理后及时进行涂饰；</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3．喷涂处理：</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(1)采用(“阿克苏”、杜邦、上海幻影）知名品牌塑粉静电喷塑，使用环保塑粉；涂层表面色泽均匀一致，不允许有流挂、起粒、皱皮、露底、剥落、伤痕等缺陷，颜色：灰白色，</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表面涂层：架表面喷涂塑粉，不能有毒害气味气挥发、以免书库房环境有污染，造成对人体伤害，甲醛含量必须小于1.5mg/kg,不能超标。涂层表面应色泽均匀一致，工件的各部位不应有起粒、皱皮、露底、剥落、伤痕或漏喷等现象。</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(3)安装要求：铁床安装形式，床柱3挂扣连接方式，连接后组合牢固，长期使用不会出现松动、无安全隐患。</w:t>
            </w:r>
          </w:p>
          <w:p>
            <w:pPr>
              <w:spacing w:line="360" w:lineRule="auto"/>
              <w:rPr>
                <w:rFonts w:hint="eastAsia" w:eastAsia="宋体"/>
                <w:color w:val="auto"/>
                <w:highlight w:val="none"/>
                <w:lang w:eastAsia="zh-CN"/>
              </w:rPr>
            </w:pPr>
            <w:r>
              <w:rPr>
                <w:rFonts w:hint="eastAsia"/>
                <w:color w:val="000000" w:themeColor="text1"/>
                <w:highlight w:val="none"/>
                <w14:textFill>
                  <w14:solidFill>
                    <w14:schemeClr w14:val="tx1"/>
                  </w14:solidFill>
                </w14:textFill>
              </w:rPr>
              <w:t>二</w:t>
            </w:r>
            <w:r>
              <w:rPr>
                <w:rFonts w:hint="eastAsia"/>
                <w:color w:val="auto"/>
                <w:highlight w:val="none"/>
              </w:rPr>
              <w:t>、床下组合柜</w:t>
            </w:r>
            <w:r>
              <w:rPr>
                <w:rFonts w:hint="eastAsia"/>
                <w:color w:val="auto"/>
                <w:highlight w:val="none"/>
                <w:lang w:eastAsia="zh-CN"/>
              </w:rPr>
              <w:t>：整体尺寸1</w:t>
            </w:r>
            <w:r>
              <w:rPr>
                <w:rFonts w:hint="eastAsia"/>
                <w:color w:val="auto"/>
                <w:highlight w:val="none"/>
                <w:lang w:val="en-US" w:eastAsia="zh-CN"/>
              </w:rPr>
              <w:t>90</w:t>
            </w:r>
            <w:r>
              <w:rPr>
                <w:rFonts w:hint="eastAsia"/>
                <w:color w:val="auto"/>
                <w:highlight w:val="none"/>
                <w:lang w:eastAsia="zh-CN"/>
              </w:rPr>
              <w:t>0W×600D×1700Hmm</w:t>
            </w:r>
          </w:p>
          <w:p>
            <w:pPr>
              <w:widowControl/>
              <w:numPr>
                <w:ilvl w:val="0"/>
                <w:numId w:val="0"/>
              </w:numPr>
              <w:spacing w:line="420" w:lineRule="exact"/>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（一）学习柜</w:t>
            </w:r>
          </w:p>
          <w:p>
            <w:pPr>
              <w:widowControl/>
              <w:numPr>
                <w:ilvl w:val="0"/>
                <w:numId w:val="0"/>
              </w:numPr>
              <w:spacing w:line="420" w:lineRule="exact"/>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产品规格：整体尺寸1</w:t>
            </w:r>
            <w:r>
              <w:rPr>
                <w:rFonts w:hint="eastAsia" w:ascii="宋体" w:hAnsi="宋体" w:cs="宋体"/>
                <w:color w:val="auto"/>
                <w:szCs w:val="21"/>
                <w:lang w:val="en-US" w:eastAsia="zh-CN"/>
              </w:rPr>
              <w:t>2</w:t>
            </w:r>
            <w:r>
              <w:rPr>
                <w:rFonts w:hint="eastAsia" w:ascii="宋体" w:hAnsi="宋体" w:cs="宋体"/>
                <w:color w:val="auto"/>
                <w:szCs w:val="21"/>
              </w:rPr>
              <w:t>00W×</w:t>
            </w:r>
            <w:r>
              <w:rPr>
                <w:rFonts w:hint="eastAsia" w:ascii="宋体" w:hAnsi="宋体" w:cs="宋体"/>
                <w:color w:val="auto"/>
                <w:szCs w:val="21"/>
                <w:lang w:val="en-US" w:eastAsia="zh-CN"/>
              </w:rPr>
              <w:t>6</w:t>
            </w:r>
            <w:r>
              <w:rPr>
                <w:rFonts w:hint="eastAsia" w:ascii="宋体" w:hAnsi="宋体" w:cs="宋体"/>
                <w:color w:val="auto"/>
                <w:szCs w:val="21"/>
              </w:rPr>
              <w:t>00D×1700Hmm</w:t>
            </w:r>
          </w:p>
          <w:p>
            <w:pPr>
              <w:spacing w:line="420" w:lineRule="exact"/>
              <w:ind w:left="420" w:leftChars="100" w:hanging="210" w:hangingChars="100"/>
              <w:textAlignment w:val="center"/>
              <w:rPr>
                <w:rFonts w:hint="default" w:ascii="宋体" w:hAnsi="宋体" w:cs="宋体"/>
                <w:color w:val="auto"/>
                <w:szCs w:val="21"/>
                <w:lang w:val="en-US"/>
              </w:rPr>
            </w:pPr>
            <w:r>
              <w:rPr>
                <w:rFonts w:hint="eastAsia" w:ascii="宋体" w:hAnsi="宋体" w:cs="宋体"/>
                <w:color w:val="auto"/>
                <w:szCs w:val="21"/>
              </w:rPr>
              <w:t>（1）</w:t>
            </w:r>
            <w:r>
              <w:rPr>
                <w:rFonts w:hint="eastAsia" w:ascii="宋体" w:hAnsi="宋体" w:cs="宋体"/>
                <w:color w:val="auto"/>
                <w:szCs w:val="21"/>
                <w:lang w:val="en-US" w:eastAsia="zh-CN"/>
              </w:rPr>
              <w:t>学习</w:t>
            </w:r>
            <w:r>
              <w:rPr>
                <w:rFonts w:hint="eastAsia" w:ascii="宋体" w:hAnsi="宋体" w:cs="宋体"/>
                <w:color w:val="auto"/>
                <w:szCs w:val="21"/>
              </w:rPr>
              <w:t>桌</w:t>
            </w:r>
            <w:r>
              <w:rPr>
                <w:rFonts w:hint="eastAsia" w:ascii="宋体" w:hAnsi="宋体" w:cs="宋体"/>
                <w:color w:val="auto"/>
                <w:szCs w:val="21"/>
                <w:lang w:val="en-US" w:eastAsia="zh-CN"/>
              </w:rPr>
              <w:t>长度1200mm，宽度600mm，高度750mm；</w:t>
            </w:r>
          </w:p>
          <w:p>
            <w:pPr>
              <w:spacing w:line="420" w:lineRule="exact"/>
              <w:ind w:left="420" w:leftChars="100" w:hanging="210" w:hangingChars="100"/>
              <w:textAlignment w:val="center"/>
              <w:rPr>
                <w:rFonts w:hint="default" w:ascii="宋体" w:hAnsi="宋体" w:cs="宋体"/>
                <w:color w:val="auto"/>
                <w:szCs w:val="21"/>
                <w:lang w:val="en-US"/>
              </w:rPr>
            </w:pPr>
            <w:r>
              <w:rPr>
                <w:rFonts w:hint="eastAsia" w:ascii="宋体" w:hAnsi="宋体" w:cs="宋体"/>
                <w:color w:val="auto"/>
                <w:szCs w:val="21"/>
              </w:rPr>
              <w:t>（2）桌上柜</w:t>
            </w:r>
            <w:r>
              <w:rPr>
                <w:rFonts w:hint="eastAsia" w:ascii="宋体" w:hAnsi="宋体" w:cs="宋体"/>
                <w:color w:val="auto"/>
                <w:szCs w:val="21"/>
                <w:lang w:val="en-US" w:eastAsia="zh-CN"/>
              </w:rPr>
              <w:t>长度1200mm，深度300mm，高度950mm。</w:t>
            </w:r>
          </w:p>
          <w:p>
            <w:pPr>
              <w:spacing w:line="420" w:lineRule="exact"/>
              <w:rPr>
                <w:rFonts w:hint="eastAsia" w:ascii="宋体" w:hAnsi="宋体" w:cs="宋体"/>
                <w:color w:val="auto"/>
                <w:szCs w:val="21"/>
                <w:lang w:val="en-US" w:eastAsia="zh-CN"/>
              </w:rPr>
            </w:pPr>
            <w:r>
              <w:rPr>
                <w:rFonts w:hint="eastAsia" w:ascii="宋体" w:hAnsi="宋体" w:cs="宋体"/>
                <w:color w:val="auto"/>
                <w:szCs w:val="21"/>
              </w:rPr>
              <w:t>2、颜色：</w:t>
            </w:r>
            <w:r>
              <w:rPr>
                <w:rFonts w:hint="eastAsia" w:ascii="宋体" w:hAnsi="宋体" w:cs="宋体"/>
                <w:color w:val="auto"/>
                <w:szCs w:val="21"/>
                <w:lang w:val="en-US" w:eastAsia="zh-CN"/>
              </w:rPr>
              <w:t>定制色</w:t>
            </w:r>
          </w:p>
          <w:p>
            <w:pPr>
              <w:spacing w:line="420" w:lineRule="exact"/>
              <w:rPr>
                <w:rFonts w:ascii="宋体" w:hAnsi="宋体" w:cs="宋体"/>
                <w:color w:val="000000"/>
                <w:szCs w:val="21"/>
              </w:rPr>
            </w:pPr>
            <w:r>
              <w:rPr>
                <w:rFonts w:hint="eastAsia" w:ascii="宋体" w:hAnsi="宋体" w:cs="宋体"/>
                <w:color w:val="000000"/>
                <w:szCs w:val="21"/>
              </w:rPr>
              <w:t>3、材质参数：</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（1）功能结构:学习柜分为书桌、柜子两部分；桌面下设计有抽屉储物柜，便于多功能型使用，桌面上即为书柜，方便学生归纳整理书籍。</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（2）桌面：采用≥25mm厚E1 级环保颗粒板制作，面贴防火板，桌面前沿倒鸭嘴边，桌面后边缘开过线孔。</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（3）板材：主材均采用16mm厚E1 级环保三聚氰胺饰面实木颗粒板制作，背板采用5mm厚中密度板。</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（4）ABS防潮脚垫(≥50×20×28mm)：脚垫高度为≥18mm，板材不直接接触地面，防水效果好。</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（5）封边：均采用1.5mm厚的PVC 封边条，无透胶、无凹陷、无压痕、无脱胶、无气泡。</w:t>
            </w:r>
          </w:p>
          <w:p>
            <w:pPr>
              <w:spacing w:line="420" w:lineRule="exact"/>
              <w:textAlignment w:val="center"/>
              <w:rPr>
                <w:rFonts w:hint="eastAsia" w:ascii="宋体" w:hAnsi="宋体" w:cs="宋体"/>
                <w:color w:val="000000"/>
                <w:szCs w:val="21"/>
              </w:rPr>
            </w:pPr>
            <w:r>
              <w:rPr>
                <w:rFonts w:hint="eastAsia" w:ascii="宋体" w:hAnsi="宋体" w:cs="宋体"/>
                <w:color w:val="000000"/>
                <w:szCs w:val="21"/>
              </w:rPr>
              <w:t>（6）拉手：采用明锁暗挂。</w:t>
            </w:r>
          </w:p>
          <w:p>
            <w:pPr>
              <w:spacing w:line="420" w:lineRule="exact"/>
              <w:textAlignment w:val="center"/>
              <w:rPr>
                <w:rFonts w:ascii="宋体" w:hAnsi="宋体" w:cs="宋体"/>
                <w:color w:val="000000"/>
                <w:szCs w:val="21"/>
              </w:rPr>
            </w:pPr>
            <w:r>
              <w:rPr>
                <w:rFonts w:hint="eastAsia" w:ascii="宋体" w:hAnsi="宋体" w:cs="宋体"/>
                <w:color w:val="000000"/>
                <w:szCs w:val="21"/>
              </w:rPr>
              <w:t>（7）五金件：均采用“迪森”或“DTC”或“顶固”等同等档次品牌五金配件。</w:t>
            </w:r>
          </w:p>
          <w:p>
            <w:pPr>
              <w:spacing w:line="360" w:lineRule="auto"/>
              <w:rPr>
                <w:rFonts w:hint="eastAsia" w:ascii="宋体" w:hAnsi="宋体" w:cs="宋体"/>
                <w:color w:val="000000"/>
                <w:szCs w:val="21"/>
              </w:rPr>
            </w:pPr>
            <w:r>
              <w:rPr>
                <w:rFonts w:hint="eastAsia" w:ascii="宋体" w:hAnsi="宋体" w:cs="宋体"/>
                <w:color w:val="000000"/>
                <w:szCs w:val="21"/>
              </w:rPr>
              <w:t>（8）柜门铰链：采用“迪森”或“DTC”或“顶固”等同等档次品牌铰链，开度≥90度，开门任意位置定位。</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二）衣柜</w:t>
            </w:r>
          </w:p>
          <w:p>
            <w:pPr>
              <w:spacing w:line="42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1、产品规格：整体尺寸</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00W×</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00D×</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00Hmm</w:t>
            </w:r>
          </w:p>
          <w:p>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2、颜色：</w:t>
            </w:r>
            <w:r>
              <w:rPr>
                <w:rFonts w:hint="eastAsia" w:ascii="宋体" w:hAnsi="宋体" w:cs="宋体"/>
                <w:color w:val="auto"/>
                <w:szCs w:val="21"/>
                <w:highlight w:val="none"/>
                <w:lang w:val="en-US" w:eastAsia="zh-CN"/>
              </w:rPr>
              <w:t>定制色</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3、材质参数：</w:t>
            </w:r>
          </w:p>
          <w:p>
            <w:pPr>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（1）板材：主材均采用16mm厚E1 级环保三聚氰胺饰面实木颗粒板制作，背板采用5mm厚中密度板。</w:t>
            </w:r>
          </w:p>
          <w:p>
            <w:pPr>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）ABS防潮脚垫(≥50×20×28mm)：脚垫高度为≥18mm，板材不直接接触地面，防水效果好。</w:t>
            </w:r>
          </w:p>
          <w:p>
            <w:pPr>
              <w:widowControl/>
              <w:spacing w:line="420" w:lineRule="exact"/>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w:t>
            </w:r>
            <w:r>
              <w:rPr>
                <w:rFonts w:hint="eastAsia" w:ascii="宋体" w:hAnsi="宋体" w:cs="宋体"/>
                <w:color w:val="auto"/>
                <w:kern w:val="0"/>
                <w:szCs w:val="21"/>
                <w:highlight w:val="none"/>
              </w:rPr>
              <w:t>封边：均采用1.5mm厚的PVC 封边条，无透胶、无凹陷、无压痕、 无脱胶、无气泡。</w:t>
            </w:r>
          </w:p>
          <w:p>
            <w:pPr>
              <w:widowControl/>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)拉手：采用明锁暗挂。</w:t>
            </w:r>
          </w:p>
          <w:p>
            <w:pPr>
              <w:widowControl/>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）五金件：均采用“迪森”或“DTC”或“顶固”等同等档次品牌五金配件。</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）柜门铰链：采用“迪森”或“DTC”或“顶固”等同等档次品牌铰链，开度≥90度，开门任意位置定位</w:t>
            </w:r>
            <w:r>
              <w:rPr>
                <w:rFonts w:hint="eastAsia"/>
                <w:color w:val="auto"/>
                <w:highlight w:val="none"/>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三、公寓椅</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1、规格</w:t>
            </w:r>
            <w:r>
              <w:rPr>
                <w:rFonts w:hint="eastAsia" w:ascii="宋体" w:hAnsi="宋体" w:cs="宋体"/>
                <w:color w:val="000000"/>
                <w:szCs w:val="21"/>
                <w:lang w:val="en-US" w:eastAsia="zh-CN"/>
              </w:rPr>
              <w:t>尺寸</w:t>
            </w:r>
            <w:r>
              <w:rPr>
                <w:rFonts w:hint="eastAsia" w:ascii="宋体" w:hAnsi="宋体" w:cs="宋体"/>
                <w:color w:val="000000"/>
                <w:szCs w:val="21"/>
                <w:lang w:eastAsia="zh-CN"/>
              </w:rPr>
              <w:t>: ≧360L×360D×780H（mm）</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2、座板规格：≧360×360×9mm，靠背为≧：360×150×9mm。</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3、座椅的金属管件采用尺寸不小于20mm×40mm、管壁厚度不小于1.0mm的椭圆管，椅背金属管件进深不小于座面有效深的1/3，且不大于座面有效深的1/2。</w:t>
            </w:r>
            <w:r>
              <w:rPr>
                <w:rFonts w:hint="eastAsia" w:ascii="宋体" w:hAnsi="宋体" w:cs="宋体"/>
                <w:color w:val="000000"/>
                <w:szCs w:val="21"/>
                <w:lang w:val="en-US" w:eastAsia="zh-CN"/>
              </w:rPr>
              <w:t>椅架经预脱脂-脱脂-水洗-酸洗-水洗-中和-表调-磷化-水洗-钝化等十工位表面处理工序，表面喷涂优质环保环氧聚脂粉静电喷塑。喷塑外膜的表面光滑平整，色泽均匀，喷塑层无漏喷、起泡、模糊、划痕或碰伤等缺陷，采用粉末涂料符合国家标准，符合HG/T 2006-2022《热固性和热塑性粉末涂料》标准。</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4、座椅座面采用厚度不小于10mm，甲醛释放量不大于E1级的7层（或7层以上）普通胶合板，座板采用木纹贴面防火板。</w:t>
            </w:r>
          </w:p>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5、座椅靠背面采用厚度不小于9mm，甲醛释放量不大于E1级的7层（或7层以上）普通胶合板，靠背板采用木纹贴面防火板。</w:t>
            </w:r>
          </w:p>
          <w:p>
            <w:pPr>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szCs w:val="21"/>
                <w:lang w:eastAsia="zh-CN"/>
              </w:rPr>
              <w:t>6、胶合板符合GB/T 9846-2015《普通胶合板》的标准。</w:t>
            </w:r>
          </w:p>
          <w:p>
            <w:p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、其它要求：</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确保采购项目的完成质量和维护公平的竞争及合同的正常履行，防止虚假应标，投标厂家投标文件中必需提供下列检测报告，原件备查;检测报告的送检单位必须是投标人或生产厂家，检测内容必须符合，否则竞标无效：</w:t>
            </w:r>
          </w:p>
          <w:p>
            <w:pPr>
              <w:spacing w:line="360" w:lineRule="auto"/>
              <w:rPr>
                <w:rFonts w:hint="eastAsia" w:eastAsia="宋体"/>
                <w:color w:val="auto"/>
                <w:lang w:val="en-US" w:eastAsia="zh-CN"/>
              </w:rPr>
            </w:pPr>
            <w:r>
              <w:rPr>
                <w:rFonts w:hint="eastAsia"/>
                <w:color w:val="auto"/>
                <w:lang w:val="en-US" w:eastAsia="zh-CN"/>
              </w:rPr>
              <w:t>1、“公寓床”第三方检测机构出具符合参数要求的检测报告：检验依据包含但不限于QB/T 2741-2013《学生公寓多功能家具》，检测项目包含但不限于：形状和位置公差、外观要求、理化性能、力学性能、安装、甲醛释放量、产品寿命、甲醛释放量、苯、甲苯、二甲苯、总挥发性有机化合物(TVOC)、家具涂层可迁移元素、燃烧性能、抗菌性能、</w:t>
            </w:r>
            <w:r>
              <w:rPr>
                <w:rFonts w:hint="eastAsia"/>
                <w:color w:val="auto"/>
                <w:highlight w:val="none"/>
                <w:lang w:val="en-US" w:eastAsia="zh-CN"/>
              </w:rPr>
              <w:t>耐霉</w:t>
            </w:r>
            <w:r>
              <w:rPr>
                <w:rFonts w:hint="eastAsia"/>
                <w:color w:val="auto"/>
                <w:lang w:val="en-US" w:eastAsia="zh-CN"/>
              </w:rPr>
              <w:t>菌性、气干密度，所检项目符合相关规定。</w:t>
            </w:r>
          </w:p>
          <w:p>
            <w:pPr>
              <w:spacing w:line="360" w:lineRule="auto"/>
              <w:rPr>
                <w:rFonts w:hint="eastAsia" w:eastAsia="宋体"/>
                <w:color w:val="auto"/>
                <w:lang w:val="en-US" w:eastAsia="zh-CN"/>
              </w:rPr>
            </w:pPr>
            <w:r>
              <w:rPr>
                <w:rFonts w:hint="eastAsia"/>
                <w:color w:val="auto"/>
                <w:lang w:val="en-US" w:eastAsia="zh-CN"/>
              </w:rPr>
              <w:t>2、“冷轧钢板”第三方检测机构出具符合参数要求的检测报告：检验依据包含但不限于GB/T 11253-2019《碳素结构钢冷轧钢板及钢带》，检测项目包含但不限于：化学成分、力学性能、乙酸盐雾试验耐腐蚀等级达到 10 级等，可溶性铅</w:t>
            </w:r>
            <w:r>
              <w:rPr>
                <w:rFonts w:hint="default" w:ascii="Arial" w:hAnsi="Arial" w:cs="Arial"/>
                <w:color w:val="auto"/>
                <w:lang w:val="en-US" w:eastAsia="zh-CN"/>
              </w:rPr>
              <w:t>≤</w:t>
            </w:r>
            <w:r>
              <w:rPr>
                <w:rFonts w:hint="eastAsia"/>
                <w:color w:val="auto"/>
                <w:lang w:val="en-US" w:eastAsia="zh-CN"/>
              </w:rPr>
              <w:t>90mg/kg，可溶性镉</w:t>
            </w:r>
            <w:r>
              <w:rPr>
                <w:rFonts w:hint="default" w:ascii="Arial" w:hAnsi="Arial" w:cs="Arial"/>
                <w:color w:val="auto"/>
                <w:lang w:val="en-US" w:eastAsia="zh-CN"/>
              </w:rPr>
              <w:t>≤</w:t>
            </w:r>
            <w:r>
              <w:rPr>
                <w:rFonts w:hint="eastAsia"/>
                <w:color w:val="auto"/>
                <w:lang w:val="en-US" w:eastAsia="zh-CN"/>
              </w:rPr>
              <w:t>75mg/kg，可溶性铬</w:t>
            </w:r>
            <w:r>
              <w:rPr>
                <w:rFonts w:hint="default" w:ascii="Arial" w:hAnsi="Arial" w:cs="Arial"/>
                <w:color w:val="auto"/>
                <w:lang w:val="en-US" w:eastAsia="zh-CN"/>
              </w:rPr>
              <w:t>≤</w:t>
            </w:r>
            <w:r>
              <w:rPr>
                <w:rFonts w:hint="eastAsia"/>
                <w:color w:val="auto"/>
                <w:lang w:val="en-US" w:eastAsia="zh-CN"/>
              </w:rPr>
              <w:t>60mg/kg，可溶性贡</w:t>
            </w:r>
            <w:r>
              <w:rPr>
                <w:rFonts w:hint="default" w:ascii="Arial" w:hAnsi="Arial" w:cs="Arial"/>
                <w:color w:val="auto"/>
                <w:lang w:val="en-US" w:eastAsia="zh-CN"/>
              </w:rPr>
              <w:t>≤</w:t>
            </w:r>
            <w:r>
              <w:rPr>
                <w:rFonts w:hint="eastAsia"/>
                <w:color w:val="auto"/>
                <w:lang w:val="en-US" w:eastAsia="zh-CN"/>
              </w:rPr>
              <w:t>60mg/kg，所检项目符合相关规定。</w:t>
            </w:r>
          </w:p>
          <w:p>
            <w:pPr>
              <w:spacing w:line="360" w:lineRule="auto"/>
              <w:rPr>
                <w:rFonts w:hint="default" w:eastAsia="宋体"/>
                <w:color w:val="auto"/>
                <w:lang w:val="en-US" w:eastAsia="zh-CN"/>
              </w:rPr>
            </w:pPr>
            <w:r>
              <w:rPr>
                <w:rFonts w:hint="eastAsia"/>
                <w:color w:val="auto"/>
                <w:lang w:val="en-US" w:eastAsia="zh-CN"/>
              </w:rPr>
              <w:t>3、“塑粉”第三方检测机构出具符合参数要求的检测报告：检验依据包含但不限于：HG/T 2006-2022《热固性和热塑性粉末涂料》，检测项目包含但不限于：外观、筛余物、涂膜外观、附着力（干附着力、沸水附着力、湿附着力）、铅笔硬度、耐冲击性、杯突试验、弯曲试验、耐磨性、耐酸性（240h）、耐碱性（168h）、耐沸水性、耐中性盐雾性、耐湿性、抗细菌率99% ，所检项目符合相关规定。</w:t>
            </w:r>
          </w:p>
          <w:p>
            <w:pPr>
              <w:spacing w:line="360" w:lineRule="auto"/>
              <w:rPr>
                <w:rFonts w:hint="default" w:eastAsia="宋体"/>
                <w:color w:val="auto"/>
                <w:lang w:val="en-US" w:eastAsia="zh-CN"/>
              </w:rPr>
            </w:pPr>
            <w:r>
              <w:rPr>
                <w:rFonts w:hint="eastAsia"/>
                <w:color w:val="auto"/>
                <w:lang w:val="en-US" w:eastAsia="zh-CN"/>
              </w:rPr>
              <w:t>4、“公寓椅”第三方检测机构出具符合参数要求的检测报告：检验依据包含但不限于：GB/T 3325-2024《金属家具通用技术条件》，检测项目包含但不限于：理化性能、力学性能，所检项目符合相关规定。</w:t>
            </w:r>
          </w:p>
          <w:p>
            <w:pPr>
              <w:widowControl/>
              <w:spacing w:line="276" w:lineRule="auto"/>
              <w:jc w:val="left"/>
              <w:rPr>
                <w:rFonts w:hint="eastAsia" w:ascii="宋体" w:hAnsi="宋体" w:eastAsia="宋体" w:cs="宋体"/>
                <w:sz w:val="21"/>
                <w:szCs w:val="21"/>
              </w:rPr>
            </w:pPr>
            <w:r>
              <w:rPr>
                <w:rFonts w:hint="eastAsia"/>
                <w:color w:val="auto"/>
                <w:lang w:val="en-US" w:eastAsia="zh-CN"/>
              </w:rPr>
              <w:t>5、“多层实木板（胶合板）”第三方检测机构出具符合参数要求的检测报告：检验依据包含但不限于：GB/T9846-2015《普通胶合板》、，检测项目包含但不限于：规格尺寸及其偏差、外观质量、含水率、胶合强度、浸渍剥离、静曲强度、弹性模量、甲醛释放量分级要求、挥发性有机化合物(72h)，所检项目符合相关规定。</w:t>
            </w:r>
          </w:p>
        </w:tc>
        <w:tc>
          <w:tcPr>
            <w:tcW w:w="645" w:type="dxa"/>
            <w:vAlign w:val="center"/>
          </w:tcPr>
          <w:p>
            <w:pPr>
              <w:jc w:val="center"/>
              <w:rPr>
                <w:rFonts w:hint="eastAsia" w:ascii="宋体" w:hAnsi="宋体" w:eastAsia="宋体"/>
                <w:color w:val="000000"/>
                <w:sz w:val="18"/>
                <w:szCs w:val="18"/>
                <w:u w:val="single"/>
                <w:lang w:val="en-US" w:eastAsia="zh-CN"/>
              </w:rPr>
            </w:pPr>
            <w:r>
              <w:rPr>
                <w:rFonts w:hint="eastAsia" w:ascii="宋体" w:hAnsi="宋体"/>
                <w:color w:val="000000"/>
                <w:sz w:val="18"/>
                <w:szCs w:val="18"/>
                <w:u w:val="single"/>
                <w:lang w:val="en-US" w:eastAsia="zh-CN"/>
              </w:rPr>
              <w:t>套</w:t>
            </w:r>
          </w:p>
        </w:tc>
        <w:tc>
          <w:tcPr>
            <w:tcW w:w="600" w:type="dxa"/>
            <w:vAlign w:val="center"/>
          </w:tcPr>
          <w:p>
            <w:pPr>
              <w:jc w:val="center"/>
              <w:rPr>
                <w:rFonts w:ascii="宋体" w:hAnsi="宋体" w:eastAsia="宋体"/>
                <w:color w:val="000000"/>
                <w:sz w:val="18"/>
                <w:szCs w:val="18"/>
                <w:lang w:val="en-US" w:eastAsia="zh-CN"/>
              </w:rPr>
            </w:pPr>
            <w:r>
              <w:rPr>
                <w:rFonts w:hint="eastAsia" w:ascii="宋体" w:hAnsi="宋体"/>
                <w:color w:val="000000"/>
                <w:sz w:val="18"/>
                <w:szCs w:val="18"/>
                <w:lang w:val="en-US" w:eastAsia="zh-CN"/>
              </w:rPr>
              <w:t>240</w:t>
            </w:r>
          </w:p>
        </w:tc>
        <w:tc>
          <w:tcPr>
            <w:tcW w:w="690" w:type="dxa"/>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2000</w:t>
            </w:r>
          </w:p>
        </w:tc>
        <w:tc>
          <w:tcPr>
            <w:tcW w:w="1095" w:type="dxa"/>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480000</w:t>
            </w:r>
          </w:p>
        </w:tc>
        <w:tc>
          <w:tcPr>
            <w:tcW w:w="660" w:type="dxa"/>
            <w:vAlign w:val="center"/>
          </w:tcPr>
          <w:p>
            <w:pPr>
              <w:jc w:val="center"/>
              <w:rPr>
                <w:rFonts w:ascii="宋体" w:hAnsi="宋体" w:eastAsia="宋体"/>
                <w:color w:val="000000"/>
                <w:sz w:val="18"/>
                <w:szCs w:val="18"/>
                <w:u w:val="single"/>
                <w:lang w:val="en-US" w:eastAsia="zh-CN"/>
              </w:rPr>
            </w:pPr>
            <w:r>
              <w:rPr>
                <w:rFonts w:hint="eastAsia" w:ascii="宋体" w:hAnsi="宋体" w:eastAsia="宋体"/>
                <w:color w:val="000000"/>
                <w:sz w:val="18"/>
                <w:szCs w:val="18"/>
                <w:u w:val="single"/>
                <w:lang w:val="en-US" w:eastAsia="zh-CN"/>
              </w:rPr>
              <w:t>否</w:t>
            </w:r>
          </w:p>
        </w:tc>
        <w:tc>
          <w:tcPr>
            <w:tcW w:w="3434" w:type="dxa"/>
            <w:vAlign w:val="center"/>
          </w:tcPr>
          <w:p>
            <w:pPr>
              <w:rPr>
                <w:color w:val="000000"/>
                <w:sz w:val="18"/>
                <w:szCs w:val="18"/>
                <w:u w:val="single"/>
              </w:rPr>
            </w:pPr>
          </w:p>
          <w:p>
            <w:pPr>
              <w:rPr>
                <w:color w:val="000000"/>
                <w:sz w:val="18"/>
                <w:szCs w:val="18"/>
                <w:u w:val="single"/>
              </w:rPr>
            </w:pPr>
          </w:p>
          <w:p>
            <w:pPr>
              <w:jc w:val="center"/>
              <w:rPr>
                <w:rFonts w:hint="eastAsia"/>
                <w:color w:val="000000"/>
                <w:sz w:val="18"/>
                <w:szCs w:val="18"/>
                <w:u w:val="single"/>
              </w:rPr>
            </w:pPr>
            <w:r>
              <w:rPr>
                <w:rFonts w:hint="eastAsia" w:ascii="宋体" w:hAnsi="宋体" w:eastAsia="宋体" w:cs="宋体"/>
                <w:color w:val="000000" w:themeColor="text1"/>
                <w:sz w:val="21"/>
                <w:szCs w:val="21"/>
                <w:vertAlign w:val="baseline"/>
                <w:lang w:eastAsia="zh-CN"/>
                <w14:textFill>
                  <w14:solidFill>
                    <w14:schemeClr w14:val="tx1"/>
                  </w14:solidFill>
                </w14:textFill>
              </w:rPr>
              <w:drawing>
                <wp:inline distT="0" distB="0" distL="114300" distR="114300">
                  <wp:extent cx="1179195" cy="1247775"/>
                  <wp:effectExtent l="0" t="0" r="1905" b="9525"/>
                  <wp:docPr id="6" name="图片 6" descr="0bd46f57ac169023023dc8d6fd8b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d46f57ac169023023dc8d6fd8b540"/>
                          <pic:cNvPicPr>
                            <a:picLocks noChangeAspect="1"/>
                          </pic:cNvPicPr>
                        </pic:nvPicPr>
                        <pic:blipFill>
                          <a:blip r:embed="rId6"/>
                          <a:stretch>
                            <a:fillRect/>
                          </a:stretch>
                        </pic:blipFill>
                        <pic:spPr>
                          <a:xfrm>
                            <a:off x="0" y="0"/>
                            <a:ext cx="1179195" cy="1247775"/>
                          </a:xfrm>
                          <a:prstGeom prst="rect">
                            <a:avLst/>
                          </a:prstGeom>
                        </pic:spPr>
                      </pic:pic>
                    </a:graphicData>
                  </a:graphic>
                </wp:inline>
              </w:drawing>
            </w: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r>
              <w:drawing>
                <wp:anchor distT="0" distB="0" distL="114300" distR="114300" simplePos="0" relativeHeight="251659264" behindDoc="0" locked="0" layoutInCell="1" allowOverlap="1">
                  <wp:simplePos x="0" y="0"/>
                  <wp:positionH relativeFrom="column">
                    <wp:posOffset>560070</wp:posOffset>
                  </wp:positionH>
                  <wp:positionV relativeFrom="paragraph">
                    <wp:posOffset>155575</wp:posOffset>
                  </wp:positionV>
                  <wp:extent cx="1028700" cy="1323975"/>
                  <wp:effectExtent l="0" t="0" r="0" b="952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028700" cy="1323975"/>
                          </a:xfrm>
                          <a:prstGeom prst="rect">
                            <a:avLst/>
                          </a:prstGeom>
                          <a:noFill/>
                          <a:ln>
                            <a:noFill/>
                          </a:ln>
                        </pic:spPr>
                      </pic:pic>
                    </a:graphicData>
                  </a:graphic>
                </wp:anchor>
              </w:drawing>
            </w: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p>
            <w:pPr>
              <w:jc w:val="center"/>
              <w:rPr>
                <w:color w:val="000000"/>
                <w:sz w:val="18"/>
                <w:szCs w:val="18"/>
                <w:u w:val="single"/>
              </w:rPr>
            </w:pPr>
          </w:p>
        </w:tc>
        <w:tc>
          <w:tcPr>
            <w:tcW w:w="531" w:type="dxa"/>
            <w:vAlign w:val="center"/>
          </w:tcPr>
          <w:p>
            <w:pPr>
              <w:jc w:val="center"/>
              <w:rPr>
                <w:rFonts w:ascii="宋体" w:hAnsi="宋体"/>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3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上下铺钢架床</w:t>
            </w:r>
          </w:p>
        </w:tc>
        <w:tc>
          <w:tcPr>
            <w:tcW w:w="727" w:type="dxa"/>
            <w:vAlign w:val="center"/>
          </w:tcPr>
          <w:p>
            <w:pPr>
              <w:rPr>
                <w:rFonts w:hint="eastAsia" w:ascii="宋体" w:hAnsi="宋体" w:eastAsia="宋体" w:cs="宋体"/>
                <w:sz w:val="18"/>
                <w:szCs w:val="18"/>
              </w:rPr>
            </w:pPr>
            <w:r>
              <w:rPr>
                <w:rFonts w:hint="eastAsia" w:ascii="宋体" w:hAnsi="宋体" w:eastAsia="宋体" w:cs="宋体"/>
                <w:sz w:val="18"/>
                <w:szCs w:val="18"/>
              </w:rPr>
              <w:t>懿德轩、桂红光、菲木森</w:t>
            </w:r>
          </w:p>
        </w:tc>
        <w:tc>
          <w:tcPr>
            <w:tcW w:w="5558" w:type="dxa"/>
            <w:vAlign w:val="top"/>
          </w:tcPr>
          <w:p>
            <w:pPr>
              <w:snapToGrid/>
              <w:spacing w:before="0" w:beforeAutospacing="0" w:after="0" w:afterAutospacing="0" w:line="360" w:lineRule="auto"/>
              <w:jc w:val="left"/>
              <w:textAlignment w:val="baseline"/>
              <w:rPr>
                <w:rStyle w:val="24"/>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pPr>
            <w:bookmarkStart w:id="0" w:name="OLE_LINK2"/>
            <w:r>
              <w:rPr>
                <w:rStyle w:val="24"/>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t>概述：本双层床为单体双层床，床架钢件部份分为7个组件，具体为：1、床左拼，2、床右拼，3、上床架（含安全栏），4、下床架，5、蚊帐架1副，6、床梯子1套。7、床下柜1组</w:t>
            </w:r>
          </w:p>
          <w:p>
            <w:pPr>
              <w:spacing w:line="360" w:lineRule="auto"/>
              <w:rPr>
                <w:rFonts w:hint="eastAsia" w:ascii="宋体" w:hAnsi="宋体" w:eastAsia="宋体" w:cs="宋体"/>
                <w:sz w:val="21"/>
                <w:szCs w:val="21"/>
              </w:rPr>
            </w:pPr>
            <w:r>
              <w:rPr>
                <w:rFonts w:hint="eastAsia" w:ascii="宋体" w:hAnsi="宋体" w:eastAsia="宋体" w:cs="宋体"/>
                <w:sz w:val="21"/>
                <w:szCs w:val="21"/>
              </w:rPr>
              <w:t>床架材质要求：管材选用符合GB/T3094-2012标准的优质钢管，钢管材质为Q235（或优于Q235）优质钢材，经除油、酸洗、磷化、除锈处理，表面静电喷塑处理，钢管材质符合国家标准。</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规格：长</w:t>
            </w:r>
            <w:r>
              <w:rPr>
                <w:rFonts w:hint="eastAsia" w:ascii="宋体" w:hAnsi="宋体" w:eastAsia="宋体" w:cs="宋体"/>
                <w:sz w:val="21"/>
                <w:szCs w:val="21"/>
                <w:lang w:val="en-US" w:eastAsia="zh-CN"/>
              </w:rPr>
              <w:t>200</w:t>
            </w:r>
            <w:r>
              <w:rPr>
                <w:rFonts w:hint="eastAsia" w:ascii="宋体" w:hAnsi="宋体" w:eastAsia="宋体" w:cs="宋体"/>
                <w:sz w:val="21"/>
                <w:szCs w:val="21"/>
              </w:rPr>
              <w:t>0mm×宽</w:t>
            </w:r>
            <w:r>
              <w:rPr>
                <w:rFonts w:hint="eastAsia" w:ascii="宋体" w:hAnsi="宋体" w:eastAsia="宋体" w:cs="宋体"/>
                <w:sz w:val="21"/>
                <w:szCs w:val="21"/>
                <w:lang w:val="en-US" w:eastAsia="zh-CN"/>
              </w:rPr>
              <w:t>9</w:t>
            </w:r>
            <w:r>
              <w:rPr>
                <w:rFonts w:hint="eastAsia" w:ascii="宋体" w:hAnsi="宋体" w:eastAsia="宋体" w:cs="宋体"/>
                <w:sz w:val="21"/>
                <w:szCs w:val="21"/>
              </w:rPr>
              <w:t>00mm×高</w:t>
            </w:r>
            <w:r>
              <w:rPr>
                <w:rFonts w:hint="eastAsia" w:ascii="宋体" w:hAnsi="宋体" w:eastAsia="宋体" w:cs="宋体"/>
                <w:sz w:val="21"/>
                <w:szCs w:val="21"/>
                <w:lang w:val="en-US" w:eastAsia="zh-CN"/>
              </w:rPr>
              <w:t>180</w:t>
            </w:r>
            <w:r>
              <w:rPr>
                <w:rFonts w:hint="eastAsia" w:ascii="宋体" w:hAnsi="宋体" w:eastAsia="宋体" w:cs="宋体"/>
                <w:sz w:val="21"/>
                <w:szCs w:val="21"/>
              </w:rPr>
              <w:t>0mm；</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床立柱：采用</w:t>
            </w:r>
            <w:r>
              <w:rPr>
                <w:rFonts w:hint="eastAsia" w:ascii="宋体" w:hAnsi="宋体" w:eastAsia="宋体" w:cs="宋体"/>
                <w:sz w:val="21"/>
                <w:szCs w:val="21"/>
                <w:lang w:val="en-US" w:eastAsia="zh-CN"/>
              </w:rPr>
              <w:t>4</w:t>
            </w:r>
            <w:r>
              <w:rPr>
                <w:rFonts w:hint="eastAsia" w:ascii="宋体" w:hAnsi="宋体" w:eastAsia="宋体" w:cs="宋体"/>
                <w:sz w:val="21"/>
                <w:szCs w:val="21"/>
              </w:rPr>
              <w:t>0mm×</w:t>
            </w:r>
            <w:r>
              <w:rPr>
                <w:rFonts w:hint="eastAsia" w:ascii="宋体" w:hAnsi="宋体" w:eastAsia="宋体" w:cs="宋体"/>
                <w:sz w:val="21"/>
                <w:szCs w:val="21"/>
                <w:lang w:val="en-US" w:eastAsia="zh-CN"/>
              </w:rPr>
              <w:t>4</w:t>
            </w:r>
            <w:r>
              <w:rPr>
                <w:rFonts w:hint="eastAsia" w:ascii="宋体" w:hAnsi="宋体" w:eastAsia="宋体" w:cs="宋体"/>
                <w:sz w:val="21"/>
                <w:szCs w:val="21"/>
              </w:rPr>
              <w:t>0mm×1.</w:t>
            </w:r>
            <w:r>
              <w:rPr>
                <w:rFonts w:hint="eastAsia" w:ascii="宋体" w:hAnsi="宋体" w:eastAsia="宋体" w:cs="宋体"/>
                <w:sz w:val="21"/>
                <w:szCs w:val="21"/>
                <w:lang w:val="en-US" w:eastAsia="zh-CN"/>
              </w:rPr>
              <w:t>2</w:t>
            </w:r>
            <w:r>
              <w:rPr>
                <w:rFonts w:hint="eastAsia" w:ascii="宋体" w:hAnsi="宋体" w:eastAsia="宋体" w:cs="宋体"/>
                <w:sz w:val="21"/>
                <w:szCs w:val="21"/>
              </w:rPr>
              <w:t>mm壁厚优质方钢管；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床母：采用25mm×50mm×1.</w:t>
            </w:r>
            <w:r>
              <w:rPr>
                <w:rFonts w:hint="eastAsia" w:ascii="宋体" w:hAnsi="宋体" w:eastAsia="宋体" w:cs="宋体"/>
                <w:sz w:val="21"/>
                <w:szCs w:val="21"/>
                <w:lang w:val="en-US" w:eastAsia="zh-CN"/>
              </w:rPr>
              <w:t>2</w:t>
            </w:r>
            <w:r>
              <w:rPr>
                <w:rFonts w:hint="eastAsia" w:ascii="宋体" w:hAnsi="宋体" w:eastAsia="宋体" w:cs="宋体"/>
                <w:sz w:val="21"/>
                <w:szCs w:val="21"/>
              </w:rPr>
              <w:t>mm优质冷轧钢管；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立柱床头横管：采用20mm×30mm×1.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mm优质冷轧钢管；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床母横担：采用20mm×30mm×1.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mm优质冷轧钢管，横担不少于4根；</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床横梁与床立柱卡式连接件：①整张床架除床梯为螺丝插入式连接外，其余采用卡扣式连接，不得采用螺丝连接，</w:t>
            </w:r>
            <w:r>
              <w:rPr>
                <w:rFonts w:hint="eastAsia" w:ascii="宋体" w:hAnsi="宋体" w:eastAsia="宋体" w:cs="宋体"/>
                <w:sz w:val="21"/>
                <w:szCs w:val="21"/>
                <w:lang w:val="en-US" w:eastAsia="zh-CN"/>
              </w:rPr>
              <w:t>7、</w:t>
            </w:r>
            <w:r>
              <w:rPr>
                <w:rFonts w:hint="eastAsia" w:ascii="宋体" w:hAnsi="宋体" w:eastAsia="宋体" w:cs="宋体"/>
                <w:sz w:val="21"/>
                <w:szCs w:val="21"/>
              </w:rPr>
              <w:t>连接扣件经冲床冲压而成，连接卡口不少于三个，成型后卡梢部位钢材厚度为1.8mm，卡梢总宽度不小于20mm；卡梢进深不少于15mm，床梃（床母）扣件规格不小于200mm×</w:t>
            </w:r>
            <w:r>
              <w:rPr>
                <w:rFonts w:hint="eastAsia" w:ascii="宋体" w:hAnsi="宋体" w:eastAsia="宋体" w:cs="宋体"/>
                <w:sz w:val="21"/>
                <w:szCs w:val="21"/>
                <w:lang w:val="en-US" w:eastAsia="zh-CN"/>
              </w:rPr>
              <w:t>25</w:t>
            </w:r>
            <w:r>
              <w:rPr>
                <w:rFonts w:hint="eastAsia" w:ascii="宋体" w:hAnsi="宋体" w:eastAsia="宋体" w:cs="宋体"/>
                <w:sz w:val="21"/>
                <w:szCs w:val="21"/>
              </w:rPr>
              <w:t>mm；</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床护栏：采用Φ19mm×1.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mm优质圆管，高度不小于300mm，长度不小于1</w:t>
            </w:r>
            <w:r>
              <w:rPr>
                <w:rFonts w:hint="eastAsia" w:ascii="宋体" w:hAnsi="宋体" w:eastAsia="宋体" w:cs="宋体"/>
                <w:sz w:val="21"/>
                <w:szCs w:val="21"/>
                <w:lang w:val="en-US" w:eastAsia="zh-CN"/>
              </w:rPr>
              <w:t>1</w:t>
            </w:r>
            <w:r>
              <w:rPr>
                <w:rFonts w:hint="eastAsia" w:ascii="宋体" w:hAnsi="宋体" w:eastAsia="宋体" w:cs="宋体"/>
                <w:sz w:val="21"/>
                <w:szCs w:val="21"/>
              </w:rPr>
              <w:t>00mm。</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爬</w:t>
            </w:r>
            <w:r>
              <w:rPr>
                <w:rFonts w:hint="eastAsia" w:ascii="宋体" w:hAnsi="宋体" w:eastAsia="宋体" w:cs="宋体"/>
                <w:sz w:val="21"/>
                <w:szCs w:val="21"/>
              </w:rPr>
              <w:t>梯：采用25mm×25mm×1.</w:t>
            </w:r>
            <w:r>
              <w:rPr>
                <w:rFonts w:hint="eastAsia" w:ascii="宋体" w:hAnsi="宋体" w:eastAsia="宋体" w:cs="宋体"/>
                <w:sz w:val="21"/>
                <w:szCs w:val="21"/>
                <w:lang w:val="en-US" w:eastAsia="zh-CN"/>
              </w:rPr>
              <w:t>0</w:t>
            </w:r>
            <w:r>
              <w:rPr>
                <w:rFonts w:hint="eastAsia" w:ascii="宋体" w:hAnsi="宋体" w:eastAsia="宋体" w:cs="宋体"/>
                <w:sz w:val="21"/>
                <w:szCs w:val="21"/>
              </w:rPr>
              <w:t>mm方管；</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蚊帐杆：采用Φ1</w:t>
            </w:r>
            <w:r>
              <w:rPr>
                <w:rFonts w:hint="eastAsia" w:ascii="宋体" w:hAnsi="宋体" w:eastAsia="宋体" w:cs="宋体"/>
                <w:sz w:val="21"/>
                <w:szCs w:val="21"/>
                <w:lang w:val="en-US" w:eastAsia="zh-CN"/>
              </w:rPr>
              <w:t>5</w:t>
            </w:r>
            <w:r>
              <w:rPr>
                <w:rFonts w:hint="eastAsia" w:ascii="宋体" w:hAnsi="宋体" w:eastAsia="宋体" w:cs="宋体"/>
                <w:sz w:val="21"/>
                <w:szCs w:val="21"/>
              </w:rPr>
              <w:t>mm×1.0mm壁厚的圆管为支撑；</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床板：采用1</w:t>
            </w:r>
            <w:r>
              <w:rPr>
                <w:rFonts w:hint="eastAsia" w:ascii="宋体" w:hAnsi="宋体" w:eastAsia="宋体" w:cs="宋体"/>
                <w:sz w:val="21"/>
                <w:szCs w:val="21"/>
                <w:lang w:val="en-US" w:eastAsia="zh-CN"/>
              </w:rPr>
              <w:t>3</w:t>
            </w:r>
            <w:r>
              <w:rPr>
                <w:rFonts w:hint="eastAsia" w:ascii="宋体" w:hAnsi="宋体" w:eastAsia="宋体" w:cs="宋体"/>
                <w:sz w:val="21"/>
                <w:szCs w:val="21"/>
              </w:rPr>
              <w:t>mm厚杉木实木铺板，</w:t>
            </w:r>
            <w:r>
              <w:rPr>
                <w:rFonts w:hint="eastAsia" w:ascii="宋体" w:hAnsi="宋体" w:eastAsia="宋体" w:cs="宋体"/>
                <w:sz w:val="21"/>
                <w:szCs w:val="21"/>
                <w:lang w:eastAsia="zh-CN"/>
              </w:rPr>
              <w:t>单面抛光，</w:t>
            </w:r>
            <w:r>
              <w:rPr>
                <w:rFonts w:hint="eastAsia" w:ascii="宋体" w:hAnsi="宋体" w:eastAsia="宋体" w:cs="宋体"/>
                <w:sz w:val="21"/>
                <w:szCs w:val="21"/>
              </w:rPr>
              <w:t>带加强筋，干燥处理，拼装板数不超过</w:t>
            </w:r>
            <w:r>
              <w:rPr>
                <w:rFonts w:hint="eastAsia" w:ascii="宋体" w:hAnsi="宋体" w:eastAsia="宋体" w:cs="宋体"/>
                <w:sz w:val="21"/>
                <w:szCs w:val="21"/>
                <w:lang w:val="en-US" w:eastAsia="zh-CN"/>
              </w:rPr>
              <w:t>8</w:t>
            </w:r>
            <w:r>
              <w:rPr>
                <w:rFonts w:hint="eastAsia" w:ascii="宋体" w:hAnsi="宋体" w:eastAsia="宋体" w:cs="宋体"/>
                <w:sz w:val="21"/>
                <w:szCs w:val="21"/>
              </w:rPr>
              <w:t>块，背部固定横条不少于3条，规格为30mm×20mm的实木方料；</w:t>
            </w:r>
          </w:p>
          <w:p>
            <w:pPr>
              <w:spacing w:line="360" w:lineRule="auto"/>
              <w:rPr>
                <w:rFonts w:hint="eastAsia" w:ascii="宋体" w:hAnsi="宋体" w:eastAsia="宋体" w:cs="宋体"/>
                <w:sz w:val="21"/>
                <w:szCs w:val="21"/>
              </w:rPr>
            </w:pPr>
            <w:r>
              <w:rPr>
                <w:rStyle w:val="24"/>
                <w:rFonts w:hint="eastAsia" w:ascii="宋体" w:hAnsi="宋体" w:eastAsia="宋体" w:cs="宋体"/>
                <w:b/>
                <w:bCs/>
                <w:i w:val="0"/>
                <w:caps w:val="0"/>
                <w:color w:val="auto"/>
                <w:spacing w:val="0"/>
                <w:w w:val="100"/>
                <w:kern w:val="0"/>
                <w:sz w:val="21"/>
                <w:szCs w:val="21"/>
                <w:lang w:val="en-US" w:eastAsia="zh-CN" w:bidi="ar-SA"/>
              </w:rPr>
              <w:t>12、床下柜：</w:t>
            </w:r>
            <w:r>
              <w:rPr>
                <w:rStyle w:val="24"/>
                <w:rFonts w:hint="eastAsia" w:ascii="宋体" w:hAnsi="宋体" w:eastAsia="宋体" w:cs="宋体"/>
                <w:b w:val="0"/>
                <w:bCs w:val="0"/>
                <w:i w:val="0"/>
                <w:caps w:val="0"/>
                <w:color w:val="auto"/>
                <w:spacing w:val="0"/>
                <w:w w:val="100"/>
                <w:kern w:val="0"/>
                <w:sz w:val="21"/>
                <w:szCs w:val="21"/>
                <w:lang w:val="en-US" w:eastAsia="zh-CN" w:bidi="ar-SA"/>
              </w:rPr>
              <w:t>规格为1800</w:t>
            </w:r>
            <w:r>
              <w:rPr>
                <w:rStyle w:val="24"/>
                <w:rFonts w:hint="eastAsia" w:ascii="宋体" w:hAnsi="宋体" w:eastAsia="宋体" w:cs="宋体"/>
                <w:b w:val="0"/>
                <w:i w:val="0"/>
                <w:caps w:val="0"/>
                <w:color w:val="auto"/>
                <w:spacing w:val="0"/>
                <w:w w:val="100"/>
                <w:kern w:val="2"/>
                <w:sz w:val="21"/>
                <w:szCs w:val="21"/>
                <w:lang w:val="en-US" w:eastAsia="zh-CN" w:bidi="ar-SA"/>
              </w:rPr>
              <w:t>mm×400mm×370mm，鞋架采用20*20≥1.2mm厚方管。柜体采用厚度≥0.6mm优质冷轧钢板，经预脱脂-水洗-酸洗-中和-表调-磷化-水洗-钝化前处理、灰白色喷塑，不易变形，抗冲击力强，韧度强，经久耐用。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钢件表面处理：床体焊接采用二氧化碳气体保护焊，焊痕打磨光滑平整；表面经过严格的除油-水洗-除锈-水洗-表调-陶化-环氧处理，铁架床四脚配防滑胶套，铁床结构组合牢固，长期使用不会出现松动；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安装：①整床全部采用卡式连接紧固，②整床床体组装好后结实、牢固、安全和耐用；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床表面处理工艺：表面采用亚光静电喷塑工艺，经预脱脂-脱脂-水洗-酸洗-水洗-中和-表调-磷化-水洗-钝化十工位表面前处理工序；塑粉为表面喷涂飞亚环氧聚脂粉，颜色为皱纹灰白；</w:t>
            </w:r>
          </w:p>
          <w:p>
            <w:pPr>
              <w:spacing w:line="360" w:lineRule="auto"/>
              <w:rPr>
                <w:rStyle w:val="24"/>
                <w:rFonts w:hint="eastAsia" w:ascii="宋体" w:hAnsi="宋体" w:eastAsia="宋体" w:cs="宋体"/>
                <w:b w:val="0"/>
                <w:i w:val="0"/>
                <w:caps w:val="0"/>
                <w:color w:val="FF0000"/>
                <w:spacing w:val="0"/>
                <w:w w:val="100"/>
                <w:kern w:val="2"/>
                <w:sz w:val="21"/>
                <w:szCs w:val="21"/>
                <w:lang w:val="en-US" w:eastAsia="zh-CN" w:bidi="ar-SA"/>
              </w:rPr>
            </w:pPr>
            <w:r>
              <w:rPr>
                <w:rFonts w:hint="eastAsia" w:ascii="宋体" w:hAnsi="宋体" w:eastAsia="宋体" w:cs="宋体"/>
                <w:sz w:val="21"/>
                <w:szCs w:val="21"/>
                <w:lang w:val="en-US" w:eastAsia="zh-CN"/>
              </w:rPr>
              <w:t>16、</w:t>
            </w:r>
            <w:r>
              <w:rPr>
                <w:rFonts w:hint="eastAsia" w:ascii="宋体" w:hAnsi="宋体" w:eastAsia="宋体" w:cs="宋体"/>
                <w:sz w:val="21"/>
                <w:szCs w:val="21"/>
              </w:rPr>
              <w:t>产品质量全部符合QB/T2741《学生公寓多功能家具》适用条款的要求；</w:t>
            </w:r>
          </w:p>
          <w:p>
            <w:pPr>
              <w:tabs>
                <w:tab w:val="left" w:pos="425"/>
              </w:tabs>
              <w:snapToGrid/>
              <w:spacing w:before="0" w:beforeAutospacing="0" w:after="0" w:afterAutospacing="0" w:line="360" w:lineRule="auto"/>
              <w:ind w:right="76"/>
              <w:jc w:val="left"/>
              <w:textAlignment w:val="baseline"/>
              <w:rPr>
                <w:rStyle w:val="24"/>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pPr>
            <w:r>
              <w:rPr>
                <w:rStyle w:val="24"/>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t>其他说明：</w:t>
            </w:r>
          </w:p>
          <w:p>
            <w:pPr>
              <w:widowControl/>
              <w:spacing w:line="276" w:lineRule="auto"/>
              <w:jc w:val="left"/>
              <w:rPr>
                <w:rFonts w:hint="eastAsia" w:ascii="宋体" w:hAnsi="宋体" w:eastAsia="宋体" w:cs="宋体"/>
                <w:color w:val="FF0000"/>
                <w:lang w:val="en-US" w:eastAsia="zh-CN"/>
              </w:rPr>
            </w:pPr>
            <w:r>
              <w:rPr>
                <w:rStyle w:val="24"/>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t>1.货物的各项参数以“技术参数及性能（配置）要求”中给出的数据为准，采购人提供的图样仅供投标人作为参考，产品设计及制作由投标人自行完成。如投标人因对参考图样中的信息理解不当导致产品出现偏差或错误，其后果与采购人无关</w:t>
            </w:r>
            <w:bookmarkEnd w:id="0"/>
            <w:r>
              <w:rPr>
                <w:rStyle w:val="24"/>
                <w:rFonts w:hint="eastAsia" w:ascii="宋体" w:hAnsi="宋体" w:cs="宋体"/>
                <w:b w:val="0"/>
                <w:i w:val="0"/>
                <w:caps w:val="0"/>
                <w:color w:val="000000" w:themeColor="text1"/>
                <w:spacing w:val="0"/>
                <w:w w:val="100"/>
                <w:kern w:val="2"/>
                <w:sz w:val="21"/>
                <w:szCs w:val="21"/>
                <w:lang w:val="en-US" w:eastAsia="zh-CN" w:bidi="ar-SA"/>
                <w14:textFill>
                  <w14:solidFill>
                    <w14:schemeClr w14:val="tx1"/>
                  </w14:solidFill>
                </w14:textFill>
              </w:rPr>
              <w:t>。</w:t>
            </w:r>
          </w:p>
        </w:tc>
        <w:tc>
          <w:tcPr>
            <w:tcW w:w="645" w:type="dxa"/>
            <w:vAlign w:val="center"/>
          </w:tcPr>
          <w:p>
            <w:pPr>
              <w:jc w:val="center"/>
              <w:rPr>
                <w:rFonts w:hint="eastAsia" w:ascii="宋体" w:hAnsi="宋体" w:eastAsia="宋体" w:cs="宋体"/>
                <w:color w:val="000000"/>
                <w:sz w:val="18"/>
                <w:szCs w:val="18"/>
                <w:u w:val="single"/>
                <w:lang w:val="en-US" w:eastAsia="zh-CN"/>
              </w:rPr>
            </w:pPr>
            <w:r>
              <w:rPr>
                <w:rFonts w:hint="eastAsia" w:ascii="宋体" w:hAnsi="宋体" w:eastAsia="宋体" w:cs="宋体"/>
                <w:color w:val="000000"/>
                <w:sz w:val="18"/>
                <w:szCs w:val="18"/>
                <w:u w:val="single"/>
                <w:lang w:val="en-US" w:eastAsia="zh-CN"/>
              </w:rPr>
              <w:t>张</w:t>
            </w:r>
          </w:p>
        </w:tc>
        <w:tc>
          <w:tcPr>
            <w:tcW w:w="600"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180</w:t>
            </w:r>
          </w:p>
        </w:tc>
        <w:tc>
          <w:tcPr>
            <w:tcW w:w="690"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800</w:t>
            </w:r>
          </w:p>
        </w:tc>
        <w:tc>
          <w:tcPr>
            <w:tcW w:w="1095"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144000</w:t>
            </w:r>
          </w:p>
        </w:tc>
        <w:tc>
          <w:tcPr>
            <w:tcW w:w="660" w:type="dxa"/>
            <w:vAlign w:val="center"/>
          </w:tcPr>
          <w:p>
            <w:pPr>
              <w:jc w:val="center"/>
              <w:rPr>
                <w:rFonts w:hint="eastAsia" w:ascii="宋体" w:hAnsi="宋体" w:eastAsia="宋体" w:cs="宋体"/>
                <w:color w:val="000000"/>
                <w:sz w:val="18"/>
                <w:szCs w:val="18"/>
                <w:u w:val="single"/>
                <w:lang w:val="en-US" w:eastAsia="zh-CN"/>
              </w:rPr>
            </w:pPr>
            <w:r>
              <w:rPr>
                <w:rFonts w:hint="eastAsia" w:ascii="宋体" w:hAnsi="宋体" w:eastAsia="宋体" w:cs="宋体"/>
                <w:color w:val="000000"/>
                <w:sz w:val="18"/>
                <w:szCs w:val="18"/>
                <w:u w:val="single"/>
                <w:lang w:val="en-US" w:eastAsia="zh-CN"/>
              </w:rPr>
              <w:t>否</w:t>
            </w:r>
          </w:p>
        </w:tc>
        <w:tc>
          <w:tcPr>
            <w:tcW w:w="3434" w:type="dxa"/>
            <w:vAlign w:val="center"/>
          </w:tcPr>
          <w:p>
            <w:pPr>
              <w:jc w:val="center"/>
              <w:rPr>
                <w:rFonts w:hint="eastAsia" w:ascii="宋体" w:hAnsi="宋体" w:eastAsia="宋体" w:cs="宋体"/>
                <w:color w:val="000000"/>
                <w:sz w:val="18"/>
                <w:szCs w:val="18"/>
                <w:u w:val="single"/>
              </w:rPr>
            </w:pPr>
            <w:r>
              <w:rPr>
                <w:rFonts w:hint="eastAsia" w:ascii="宋体" w:hAnsi="宋体" w:eastAsia="宋体" w:cs="宋体"/>
                <w:color w:val="000000" w:themeColor="text1"/>
                <w:sz w:val="21"/>
                <w:szCs w:val="21"/>
                <w:vertAlign w:val="baseline"/>
                <w:lang w:eastAsia="zh-CN"/>
                <w14:textFill>
                  <w14:solidFill>
                    <w14:schemeClr w14:val="tx1"/>
                  </w14:solidFill>
                </w14:textFill>
              </w:rPr>
              <w:drawing>
                <wp:inline distT="0" distB="0" distL="114300" distR="114300">
                  <wp:extent cx="1181100" cy="938530"/>
                  <wp:effectExtent l="0" t="0" r="0" b="13970"/>
                  <wp:docPr id="1" name="图片 1" descr="175029360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293609713"/>
                          <pic:cNvPicPr>
                            <a:picLocks noChangeAspect="1"/>
                          </pic:cNvPicPr>
                        </pic:nvPicPr>
                        <pic:blipFill>
                          <a:blip r:embed="rId8"/>
                          <a:stretch>
                            <a:fillRect/>
                          </a:stretch>
                        </pic:blipFill>
                        <pic:spPr>
                          <a:xfrm>
                            <a:off x="0" y="0"/>
                            <a:ext cx="1181100" cy="938530"/>
                          </a:xfrm>
                          <a:prstGeom prst="rect">
                            <a:avLst/>
                          </a:prstGeom>
                        </pic:spPr>
                      </pic:pic>
                    </a:graphicData>
                  </a:graphic>
                </wp:inline>
              </w:drawing>
            </w:r>
          </w:p>
        </w:tc>
        <w:tc>
          <w:tcPr>
            <w:tcW w:w="531" w:type="dxa"/>
            <w:vAlign w:val="center"/>
          </w:tcPr>
          <w:p>
            <w:pPr>
              <w:jc w:val="center"/>
              <w:rPr>
                <w:rFonts w:hint="eastAsia" w:ascii="宋体" w:hAnsi="宋体" w:eastAsia="宋体" w:cs="宋体"/>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3</w:t>
            </w:r>
          </w:p>
        </w:tc>
        <w:tc>
          <w:tcPr>
            <w:tcW w:w="736" w:type="dxa"/>
            <w:vAlign w:val="center"/>
          </w:tcPr>
          <w:p>
            <w:pPr>
              <w:jc w:val="center"/>
              <w:rPr>
                <w:rFonts w:hint="eastAsia" w:ascii="宋体" w:hAnsi="宋体"/>
                <w:sz w:val="18"/>
                <w:szCs w:val="18"/>
              </w:rPr>
            </w:pPr>
            <w:r>
              <w:rPr>
                <w:rFonts w:hint="eastAsia" w:ascii="宋体" w:hAnsi="宋体"/>
                <w:sz w:val="18"/>
                <w:szCs w:val="18"/>
              </w:rPr>
              <w:t>单斗书桌、椅子</w:t>
            </w:r>
          </w:p>
        </w:tc>
        <w:tc>
          <w:tcPr>
            <w:tcW w:w="727" w:type="dxa"/>
            <w:vAlign w:val="center"/>
          </w:tcPr>
          <w:p>
            <w:pPr>
              <w:rPr>
                <w:rFonts w:hint="eastAsia" w:ascii="宋体" w:hAnsi="宋体"/>
                <w:sz w:val="18"/>
                <w:szCs w:val="18"/>
              </w:rPr>
            </w:pPr>
            <w:r>
              <w:rPr>
                <w:rFonts w:hint="eastAsia" w:ascii="宋体" w:hAnsi="宋体"/>
                <w:sz w:val="18"/>
                <w:szCs w:val="18"/>
              </w:rPr>
              <w:t>懿德轩、桂红光、菲木森</w:t>
            </w:r>
          </w:p>
        </w:tc>
        <w:tc>
          <w:tcPr>
            <w:tcW w:w="5558" w:type="dxa"/>
            <w:vAlign w:val="top"/>
          </w:tcPr>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一、</w:t>
            </w:r>
            <w:r>
              <w:rPr>
                <w:rFonts w:hint="eastAsia" w:ascii="宋体" w:hAnsi="宋体" w:eastAsia="宋体" w:cs="宋体"/>
                <w:b w:val="0"/>
                <w:bCs w:val="0"/>
                <w:color w:val="000000" w:themeColor="text1"/>
                <w:sz w:val="21"/>
                <w:szCs w:val="21"/>
                <w:lang w:eastAsia="zh-CN"/>
                <w14:textFill>
                  <w14:solidFill>
                    <w14:schemeClr w14:val="tx1"/>
                  </w14:solidFill>
                </w14:textFill>
              </w:rPr>
              <w:t>规格尺寸：</w:t>
            </w:r>
            <w:r>
              <w:rPr>
                <w:rFonts w:hint="eastAsia" w:ascii="宋体" w:hAnsi="宋体" w:eastAsia="宋体" w:cs="宋体"/>
                <w:b w:val="0"/>
                <w:bCs w:val="0"/>
                <w:color w:val="000000" w:themeColor="text1"/>
                <w:sz w:val="21"/>
                <w:szCs w:val="21"/>
                <w14:textFill>
                  <w14:solidFill>
                    <w14:schemeClr w14:val="tx1"/>
                  </w14:solidFill>
                </w14:textFill>
              </w:rPr>
              <w:t>学生桌高760mm</w:t>
            </w:r>
            <w:r>
              <w:rPr>
                <w:rFonts w:hint="eastAsia" w:ascii="宋体" w:hAnsi="宋体" w:eastAsia="宋体" w:cs="宋体"/>
                <w:b w:val="0"/>
                <w:bCs w:val="0"/>
                <w:color w:val="000000" w:themeColor="text1"/>
                <w:sz w:val="21"/>
                <w:szCs w:val="21"/>
                <w:u w:val="none"/>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深400mm</w:t>
            </w:r>
            <w:r>
              <w:rPr>
                <w:rFonts w:hint="eastAsia" w:ascii="宋体" w:hAnsi="宋体" w:eastAsia="宋体" w:cs="宋体"/>
                <w:b w:val="0"/>
                <w:bCs w:val="0"/>
                <w:color w:val="000000" w:themeColor="text1"/>
                <w:sz w:val="21"/>
                <w:szCs w:val="21"/>
                <w:u w:val="none"/>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宽600mm，学生椅座面高440mm</w:t>
            </w:r>
            <w:r>
              <w:rPr>
                <w:rFonts w:hint="eastAsia" w:ascii="宋体" w:hAnsi="宋体" w:eastAsia="宋体" w:cs="宋体"/>
                <w:b w:val="0"/>
                <w:bCs w:val="0"/>
                <w:color w:val="000000" w:themeColor="text1"/>
                <w:sz w:val="21"/>
                <w:szCs w:val="21"/>
                <w:u w:val="none"/>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后靠高760mm。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1、学生课桌的</w:t>
            </w:r>
            <w:r>
              <w:rPr>
                <w:rFonts w:hint="eastAsia" w:ascii="宋体" w:hAnsi="宋体" w:eastAsia="宋体" w:cs="宋体"/>
                <w:b w:val="0"/>
                <w:bCs w:val="0"/>
                <w:color w:val="000000" w:themeColor="text1"/>
                <w:sz w:val="21"/>
                <w:szCs w:val="21"/>
                <w:lang w:eastAsia="zh-CN"/>
                <w14:textFill>
                  <w14:solidFill>
                    <w14:schemeClr w14:val="tx1"/>
                  </w14:solidFill>
                </w14:textFill>
              </w:rPr>
              <w:t>立柱</w:t>
            </w:r>
            <w:r>
              <w:rPr>
                <w:rFonts w:hint="eastAsia" w:ascii="宋体" w:hAnsi="宋体" w:eastAsia="宋体" w:cs="宋体"/>
                <w:b w:val="0"/>
                <w:bCs w:val="0"/>
                <w:color w:val="000000" w:themeColor="text1"/>
                <w:sz w:val="21"/>
                <w:szCs w:val="21"/>
                <w14:textFill>
                  <w14:solidFill>
                    <w14:schemeClr w14:val="tx1"/>
                  </w14:solidFill>
                </w14:textFill>
              </w:rPr>
              <w:t>管采用尺寸不小于20mm×40mm、管壁厚度不小于1.0mm的椭圆管。桌斗用厚度不小于0.6mm的优质冷轧钢板一次性成型,桌斗高度不小于14.5cm；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桌斗托杆采用</w:t>
            </w:r>
            <w:r>
              <w:rPr>
                <w:rFonts w:hint="eastAsia" w:ascii="宋体" w:hAnsi="宋体" w:eastAsia="宋体" w:cs="宋体"/>
                <w:b w:val="0"/>
                <w:bCs w:val="0"/>
                <w:color w:val="000000" w:themeColor="text1"/>
                <w:sz w:val="21"/>
                <w:szCs w:val="21"/>
                <w:lang w:val="en-US" w:eastAsia="zh-CN"/>
                <w14:textFill>
                  <w14:solidFill>
                    <w14:schemeClr w14:val="tx1"/>
                  </w14:solidFill>
                </w14:textFill>
              </w:rPr>
              <w:t>20mm</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20mm（或15mm</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20mm）</w:t>
            </w:r>
            <w:r>
              <w:rPr>
                <w:rFonts w:hint="eastAsia" w:ascii="宋体" w:hAnsi="宋体" w:eastAsia="宋体" w:cs="宋体"/>
                <w:b w:val="0"/>
                <w:bCs w:val="0"/>
                <w:color w:val="000000" w:themeColor="text1"/>
                <w:sz w:val="21"/>
                <w:szCs w:val="21"/>
                <w14:textFill>
                  <w14:solidFill>
                    <w14:schemeClr w14:val="tx1"/>
                  </w14:solidFill>
                </w14:textFill>
              </w:rPr>
              <w:t>冷轧钢管</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、课桌桌面采用厚度不小于15mm，甲醛释放量不大于E1级的9层（或9层以上）普通胶合板，桌面采用木纹贴面防火板。课桌面板须四个角适当倒圆角。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、学生座椅的金属管件采用尺寸不小于20mm×40mm、管壁厚度不小于1.0mm的椭圆管，椅背金属管件进深不小于座面有效深的1/3，且不大于座面有效深的1/2。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、座椅座面采用厚度不小于</w:t>
            </w: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mm，甲醛释放量不大于E1级的7层（或7层以上）普通胶合板，座板</w:t>
            </w:r>
            <w:r>
              <w:rPr>
                <w:rFonts w:hint="eastAsia" w:ascii="宋体" w:hAnsi="宋体" w:eastAsia="宋体" w:cs="宋体"/>
                <w:b w:val="0"/>
                <w:bCs w:val="0"/>
                <w:color w:val="000000" w:themeColor="text1"/>
                <w:sz w:val="21"/>
                <w:szCs w:val="21"/>
                <w:lang w:eastAsia="zh-CN"/>
                <w14:textFill>
                  <w14:solidFill>
                    <w14:schemeClr w14:val="tx1"/>
                  </w14:solidFill>
                </w14:textFill>
              </w:rPr>
              <w:t>采</w:t>
            </w:r>
            <w:r>
              <w:rPr>
                <w:rFonts w:hint="eastAsia" w:ascii="宋体" w:hAnsi="宋体" w:eastAsia="宋体" w:cs="宋体"/>
                <w:b w:val="0"/>
                <w:bCs w:val="0"/>
                <w:color w:val="000000" w:themeColor="text1"/>
                <w:sz w:val="21"/>
                <w:szCs w:val="21"/>
                <w14:textFill>
                  <w14:solidFill>
                    <w14:schemeClr w14:val="tx1"/>
                  </w14:solidFill>
                </w14:textFill>
              </w:rPr>
              <w:t>用木纹贴面防火板。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、座椅靠背面采用厚度不小于9mm，甲醛释放量不大于E1级的7层（或7层以上）普通胶合板，靠背板采用木纹贴面防火板。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、桌椅铁架必须经过酸洗、除油、除锈、 清水、磷化处理后，采用流水生产线“喷塑”再进行200℃度高温焗漆固化。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在桌椅设置挂钩，挂钩采用直径不小于Φ5mm的冷拉普通钢丝或采用厚度不小于1.0mm的钢片制作，并应焊接在金属管件上。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、学生课桌、椅面高、外形长度、宽度尺寸和其他尺寸须符合国家标准。</w:t>
            </w:r>
          </w:p>
          <w:p>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为确保采购项目的完成质量和维护公平的竞争及合同的正常履行，防止虚假应标，投标厂家投标文件中必需提供下列检测报告，原件备查;检测报告的送检单位必须是投标人或生产厂家，检测内容必须符合，否则竞标无效：</w:t>
            </w:r>
          </w:p>
          <w:p>
            <w:pPr>
              <w:spacing w:line="360" w:lineRule="auto"/>
              <w:rPr>
                <w:rFonts w:hint="eastAsia"/>
                <w:color w:val="auto"/>
                <w:lang w:val="en-US" w:eastAsia="zh-CN"/>
              </w:rPr>
            </w:pPr>
            <w:r>
              <w:rPr>
                <w:rFonts w:hint="eastAsia"/>
                <w:color w:val="auto"/>
                <w:lang w:val="en-US" w:eastAsia="zh-CN"/>
              </w:rPr>
              <w:t>1、“钢木课桌”第三方检测机构出具符合参数要求的检测报告：检验依据包含但不限于：GB/T 35607-2024《绿色产品评价 家具》，检测项目包含但不限于：家具涂层可迁移元素:铅、镉、铬、汞、锑、钡、硒、砷，所检项目符合相关规定。</w:t>
            </w:r>
          </w:p>
          <w:p>
            <w:pPr>
              <w:widowControl/>
              <w:spacing w:line="276" w:lineRule="auto"/>
              <w:jc w:val="left"/>
              <w:rPr>
                <w:rStyle w:val="24"/>
                <w:rFonts w:ascii="宋体" w:hAnsi="宋体"/>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color w:val="auto"/>
                <w:lang w:val="en-US" w:eastAsia="zh-CN"/>
              </w:rPr>
              <w:t>2、“多层实木板（胶合板）”第三方检测机构出具符合参数要求的检测报告：检验依据包含但不限于：GB/T9846-2015《普通胶合板》、，检测项目包含但不限于：规格尺寸及其偏差、外观质量、含水率、胶合强度、浸渍剥离、静曲强度、弹性模量、甲醛释放量分级要求、挥发性有机化合物(72h)，所检项目符合相关规定。</w:t>
            </w:r>
          </w:p>
        </w:tc>
        <w:tc>
          <w:tcPr>
            <w:tcW w:w="645" w:type="dxa"/>
            <w:vAlign w:val="center"/>
          </w:tcPr>
          <w:p>
            <w:pPr>
              <w:jc w:val="center"/>
              <w:rPr>
                <w:rFonts w:hint="eastAsia" w:ascii="宋体" w:hAnsi="宋体"/>
                <w:color w:val="000000"/>
                <w:sz w:val="18"/>
                <w:szCs w:val="18"/>
                <w:u w:val="single"/>
                <w:lang w:val="en-US" w:eastAsia="zh-CN"/>
              </w:rPr>
            </w:pPr>
            <w:r>
              <w:rPr>
                <w:rFonts w:hint="eastAsia" w:ascii="宋体" w:hAnsi="宋体"/>
                <w:color w:val="000000"/>
                <w:sz w:val="18"/>
                <w:szCs w:val="18"/>
                <w:u w:val="single"/>
                <w:lang w:val="en-US" w:eastAsia="zh-CN"/>
              </w:rPr>
              <w:t>套</w:t>
            </w:r>
          </w:p>
        </w:tc>
        <w:tc>
          <w:tcPr>
            <w:tcW w:w="600"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180</w:t>
            </w:r>
          </w:p>
        </w:tc>
        <w:tc>
          <w:tcPr>
            <w:tcW w:w="690"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450</w:t>
            </w:r>
          </w:p>
        </w:tc>
        <w:tc>
          <w:tcPr>
            <w:tcW w:w="1095" w:type="dxa"/>
            <w:vAlign w:val="center"/>
          </w:tcPr>
          <w:p>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81000</w:t>
            </w:r>
          </w:p>
        </w:tc>
        <w:tc>
          <w:tcPr>
            <w:tcW w:w="660" w:type="dxa"/>
            <w:vAlign w:val="center"/>
          </w:tcPr>
          <w:p>
            <w:pPr>
              <w:jc w:val="center"/>
              <w:rPr>
                <w:rFonts w:hint="default" w:ascii="宋体" w:hAnsi="宋体"/>
                <w:color w:val="000000"/>
                <w:sz w:val="18"/>
                <w:szCs w:val="18"/>
                <w:u w:val="single"/>
                <w:lang w:val="en-US" w:eastAsia="zh-CN"/>
              </w:rPr>
            </w:pPr>
            <w:r>
              <w:rPr>
                <w:rFonts w:hint="eastAsia" w:ascii="宋体" w:hAnsi="宋体"/>
                <w:color w:val="000000"/>
                <w:sz w:val="18"/>
                <w:szCs w:val="18"/>
                <w:u w:val="single"/>
                <w:lang w:val="en-US" w:eastAsia="zh-CN"/>
              </w:rPr>
              <w:t>否</w:t>
            </w:r>
          </w:p>
        </w:tc>
        <w:tc>
          <w:tcPr>
            <w:tcW w:w="3434" w:type="dxa"/>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drawing>
                <wp:inline distT="0" distB="0" distL="114300" distR="114300">
                  <wp:extent cx="1178560" cy="1470660"/>
                  <wp:effectExtent l="0" t="0" r="2540" b="15240"/>
                  <wp:docPr id="7" name="图片 7" descr="175029362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0293624968"/>
                          <pic:cNvPicPr>
                            <a:picLocks noChangeAspect="1"/>
                          </pic:cNvPicPr>
                        </pic:nvPicPr>
                        <pic:blipFill>
                          <a:blip r:embed="rId9"/>
                          <a:stretch>
                            <a:fillRect/>
                          </a:stretch>
                        </pic:blipFill>
                        <pic:spPr>
                          <a:xfrm>
                            <a:off x="0" y="0"/>
                            <a:ext cx="1178560" cy="1470660"/>
                          </a:xfrm>
                          <a:prstGeom prst="rect">
                            <a:avLst/>
                          </a:prstGeom>
                        </pic:spPr>
                      </pic:pic>
                    </a:graphicData>
                  </a:graphic>
                </wp:inline>
              </w:drawing>
            </w:r>
          </w:p>
        </w:tc>
        <w:tc>
          <w:tcPr>
            <w:tcW w:w="531" w:type="dxa"/>
            <w:vAlign w:val="center"/>
          </w:tcPr>
          <w:p>
            <w:pPr>
              <w:jc w:val="center"/>
              <w:rPr>
                <w:rFonts w:ascii="宋体" w:hAnsi="宋体"/>
                <w:sz w:val="18"/>
                <w:szCs w:val="18"/>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9531" w:type="dxa"/>
            <w:gridSpan w:val="7"/>
            <w:noWrap/>
            <w:vAlign w:val="top"/>
          </w:tcPr>
          <w:p>
            <w:pPr>
              <w:rPr>
                <w:rFonts w:ascii="宋体" w:hAnsi="宋体"/>
                <w:sz w:val="18"/>
                <w:szCs w:val="18"/>
              </w:rPr>
            </w:pPr>
            <w:r>
              <w:rPr>
                <w:rFonts w:hint="eastAsia" w:ascii="仿宋" w:hAnsi="仿宋" w:eastAsia="仿宋" w:cs="仿宋"/>
                <w:sz w:val="24"/>
                <w:szCs w:val="24"/>
              </w:rPr>
              <w:t>合计金额</w:t>
            </w:r>
          </w:p>
        </w:tc>
        <w:tc>
          <w:tcPr>
            <w:tcW w:w="1095" w:type="dxa"/>
            <w:noWrap/>
            <w:vAlign w:val="center"/>
          </w:tcPr>
          <w:p>
            <w:pPr>
              <w:jc w:val="center"/>
              <w:rPr>
                <w:rFonts w:hint="default" w:ascii="宋体" w:hAnsi="宋体"/>
                <w:color w:val="000000"/>
                <w:sz w:val="18"/>
                <w:szCs w:val="18"/>
                <w:lang w:val="en-US"/>
              </w:rPr>
            </w:pPr>
            <w:r>
              <w:rPr>
                <w:rFonts w:hint="eastAsia" w:ascii="宋体" w:hAnsi="宋体"/>
                <w:color w:val="000000"/>
                <w:sz w:val="18"/>
                <w:szCs w:val="18"/>
                <w:lang w:val="en-US" w:eastAsia="zh-CN"/>
              </w:rPr>
              <w:t>705000</w:t>
            </w:r>
          </w:p>
        </w:tc>
        <w:tc>
          <w:tcPr>
            <w:tcW w:w="660" w:type="dxa"/>
            <w:noWrap/>
            <w:vAlign w:val="top"/>
          </w:tcPr>
          <w:p>
            <w:pPr>
              <w:rPr>
                <w:rFonts w:ascii="宋体" w:hAnsi="宋体"/>
                <w:sz w:val="18"/>
                <w:szCs w:val="18"/>
              </w:rPr>
            </w:pPr>
            <w:r>
              <w:rPr>
                <w:rFonts w:hint="eastAsia" w:ascii="宋体" w:hAnsi="宋体"/>
                <w:sz w:val="18"/>
                <w:szCs w:val="18"/>
              </w:rPr>
              <w:t>　</w:t>
            </w:r>
          </w:p>
        </w:tc>
        <w:tc>
          <w:tcPr>
            <w:tcW w:w="3434" w:type="dxa"/>
            <w:vAlign w:val="top"/>
          </w:tcPr>
          <w:p>
            <w:pPr>
              <w:rPr>
                <w:rFonts w:ascii="宋体" w:hAnsi="宋体"/>
                <w:sz w:val="18"/>
                <w:szCs w:val="18"/>
                <w:u w:val="single"/>
              </w:rPr>
            </w:pPr>
          </w:p>
        </w:tc>
        <w:tc>
          <w:tcPr>
            <w:tcW w:w="531" w:type="dxa"/>
            <w:noWrap/>
            <w:vAlign w:val="top"/>
          </w:tcPr>
          <w:p>
            <w:pPr>
              <w:rPr>
                <w:rFonts w:ascii="宋体" w:hAnsi="宋体"/>
                <w:sz w:val="18"/>
                <w:szCs w:val="18"/>
                <w:u w:val="single"/>
              </w:rPr>
            </w:pPr>
          </w:p>
        </w:tc>
      </w:tr>
    </w:tbl>
    <w:p>
      <w:pPr>
        <w:rPr>
          <w:rFonts w:ascii="宋体" w:hAnsi="宋体"/>
          <w:szCs w:val="21"/>
        </w:rPr>
      </w:pPr>
    </w:p>
    <w:tbl>
      <w:tblPr>
        <w:tblStyle w:val="10"/>
        <w:tblpPr w:leftFromText="180" w:rightFromText="180" w:vertAnchor="text" w:horzAnchor="margin" w:tblpX="-4" w:tblpY="4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2"/>
        <w:gridCol w:w="1559"/>
        <w:gridCol w:w="1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127" w:type="dxa"/>
            <w:gridSpan w:val="3"/>
            <w:vAlign w:val="top"/>
          </w:tcPr>
          <w:p>
            <w:pPr>
              <w:jc w:val="center"/>
              <w:rPr>
                <w:rFonts w:hint="eastAsia" w:ascii="仿宋" w:hAnsi="仿宋" w:eastAsia="仿宋" w:cs="仿宋"/>
                <w:b/>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sz w:val="24"/>
                <w:szCs w:val="24"/>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报价要求</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投标报价为采购人指定地点现场交货价，包括：</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（1）货物的价格：包括货款、杂配件、安装调试费、验收费；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（2）货物的标准附件、备品备件、专用工具的价格；</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（3）运输、装卸、调试、培训、技术支持、售后服务费；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（4）按采购人要求进行摆放的费用。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注：投标人自行考虑完成项目所需的辅材、杂配件等数量，投标报价中应包含全部内容，中标后采购人不再另行支付额外费用。</w:t>
            </w:r>
            <w:r>
              <w:rPr>
                <w:rFonts w:hint="eastAsia" w:ascii="仿宋" w:hAnsi="仿宋" w:eastAsia="仿宋" w:cs="仿宋"/>
                <w:w w:val="104"/>
                <w:sz w:val="24"/>
                <w:szCs w:val="24"/>
              </w:rPr>
              <w:t>竞标供应商的投标总报价≤采购预算。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货物性能要求</w:t>
            </w:r>
          </w:p>
        </w:tc>
        <w:tc>
          <w:tcPr>
            <w:tcW w:w="11656" w:type="dxa"/>
            <w:vAlign w:val="top"/>
          </w:tcPr>
          <w:p>
            <w:pPr>
              <w:pStyle w:val="14"/>
              <w:ind w:firstLine="480"/>
              <w:rPr>
                <w:rFonts w:hint="eastAsia" w:ascii="仿宋" w:hAnsi="仿宋" w:eastAsia="仿宋" w:cs="仿宋"/>
                <w:sz w:val="24"/>
                <w:szCs w:val="24"/>
              </w:rPr>
            </w:pPr>
            <w:r>
              <w:rPr>
                <w:rFonts w:hint="eastAsia" w:ascii="仿宋" w:hAnsi="仿宋" w:eastAsia="仿宋" w:cs="仿宋"/>
                <w:sz w:val="24"/>
                <w:szCs w:val="24"/>
              </w:rPr>
              <w:t>1、本项目所有货物参数</w:t>
            </w:r>
            <w:r>
              <w:rPr>
                <w:rFonts w:hint="eastAsia" w:ascii="仿宋" w:hAnsi="仿宋" w:eastAsia="仿宋" w:cs="仿宋"/>
                <w:sz w:val="24"/>
                <w:szCs w:val="24"/>
                <w:lang w:val="en-US" w:eastAsia="zh-CN"/>
              </w:rPr>
              <w:t>配置、款式、颜色</w:t>
            </w:r>
            <w:r>
              <w:rPr>
                <w:rFonts w:hint="eastAsia" w:ascii="仿宋" w:hAnsi="仿宋" w:eastAsia="仿宋" w:cs="仿宋"/>
                <w:sz w:val="24"/>
                <w:szCs w:val="24"/>
              </w:rPr>
              <w:t>已确定，不得做任何变更，否则视为不响应本采购要求；</w:t>
            </w:r>
          </w:p>
          <w:p>
            <w:pPr>
              <w:pStyle w:val="14"/>
              <w:ind w:firstLine="480"/>
              <w:rPr>
                <w:rFonts w:hint="eastAsia" w:ascii="仿宋" w:hAnsi="仿宋" w:eastAsia="仿宋" w:cs="仿宋"/>
                <w:sz w:val="24"/>
                <w:szCs w:val="24"/>
              </w:rPr>
            </w:pPr>
            <w:r>
              <w:rPr>
                <w:rFonts w:hint="eastAsia" w:ascii="仿宋" w:hAnsi="仿宋" w:eastAsia="仿宋" w:cs="仿宋"/>
                <w:sz w:val="24"/>
                <w:szCs w:val="24"/>
              </w:rPr>
              <w:t>2、对不能满足参数要求、虚假应标的，采购人将上报监督管理部门，由此所产生的的后果由</w:t>
            </w:r>
            <w:r>
              <w:rPr>
                <w:rFonts w:hint="eastAsia" w:ascii="仿宋" w:hAnsi="仿宋" w:eastAsia="仿宋" w:cs="仿宋"/>
                <w:color w:val="auto"/>
                <w:sz w:val="24"/>
                <w:szCs w:val="24"/>
                <w:highlight w:val="none"/>
                <w:lang w:val="en-US" w:eastAsia="zh-CN"/>
              </w:rPr>
              <w:t>应标</w:t>
            </w:r>
            <w:r>
              <w:rPr>
                <w:rFonts w:hint="eastAsia" w:ascii="仿宋" w:hAnsi="仿宋" w:eastAsia="仿宋" w:cs="仿宋"/>
                <w:sz w:val="24"/>
                <w:szCs w:val="24"/>
              </w:rPr>
              <w:t>供应商自行承担。</w:t>
            </w:r>
          </w:p>
          <w:p>
            <w:pPr>
              <w:widowControl/>
              <w:spacing w:line="276" w:lineRule="auto"/>
              <w:ind w:firstLine="260" w:firstLineChars="100"/>
              <w:jc w:val="left"/>
              <w:rPr>
                <w:rFonts w:hint="eastAsia" w:ascii="仿宋" w:hAnsi="仿宋" w:eastAsia="仿宋" w:cs="仿宋"/>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交货及安装期要求</w:t>
            </w:r>
          </w:p>
        </w:tc>
        <w:tc>
          <w:tcPr>
            <w:tcW w:w="11656" w:type="dxa"/>
            <w:vAlign w:val="top"/>
          </w:tcPr>
          <w:p>
            <w:pPr>
              <w:pStyle w:val="14"/>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合同签订期：自中标通知书发出之日起7日历日内。</w:t>
            </w:r>
          </w:p>
          <w:p>
            <w:pPr>
              <w:pStyle w:val="1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、在签订合同后</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0</w:t>
            </w:r>
            <w:r>
              <w:rPr>
                <w:rFonts w:hint="eastAsia" w:ascii="仿宋" w:hAnsi="仿宋" w:eastAsia="仿宋" w:cs="仿宋"/>
                <w:color w:val="auto"/>
                <w:sz w:val="24"/>
                <w:szCs w:val="24"/>
                <w:highlight w:val="none"/>
              </w:rPr>
              <w:t>天（自然日）内全部供货上门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具体安装时间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地点按</w:t>
            </w:r>
            <w:r>
              <w:rPr>
                <w:rFonts w:hint="eastAsia" w:ascii="仿宋" w:hAnsi="仿宋" w:eastAsia="仿宋" w:cs="仿宋"/>
                <w:color w:val="auto"/>
                <w:sz w:val="24"/>
                <w:szCs w:val="24"/>
                <w:highlight w:val="none"/>
              </w:rPr>
              <w:t>采购人广西中医药大学</w:t>
            </w:r>
            <w:r>
              <w:rPr>
                <w:rFonts w:hint="eastAsia" w:ascii="仿宋" w:hAnsi="仿宋" w:eastAsia="仿宋" w:cs="仿宋"/>
                <w:color w:val="auto"/>
                <w:sz w:val="24"/>
                <w:szCs w:val="24"/>
                <w:highlight w:val="none"/>
                <w:lang w:val="en-US" w:eastAsia="zh-CN"/>
              </w:rPr>
              <w:t>武装部（保卫处）指定时间、地点</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，调试</w:t>
            </w:r>
            <w:r>
              <w:rPr>
                <w:rFonts w:hint="eastAsia" w:ascii="仿宋" w:hAnsi="仿宋" w:eastAsia="仿宋" w:cs="仿宋"/>
                <w:color w:val="auto"/>
                <w:sz w:val="24"/>
                <w:szCs w:val="24"/>
                <w:highlight w:val="none"/>
              </w:rPr>
              <w:t>完毕交付使用。</w:t>
            </w:r>
          </w:p>
          <w:p>
            <w:pPr>
              <w:pStyle w:val="14"/>
              <w:ind w:firstLine="491"/>
              <w:rPr>
                <w:rFonts w:hint="eastAsia" w:ascii="仿宋" w:hAnsi="仿宋" w:eastAsia="仿宋" w:cs="仿宋"/>
                <w:sz w:val="24"/>
                <w:szCs w:val="24"/>
                <w:highlight w:val="none"/>
              </w:rPr>
            </w:pPr>
            <w:r>
              <w:rPr>
                <w:rFonts w:hint="eastAsia" w:ascii="仿宋" w:hAnsi="仿宋" w:eastAsia="仿宋" w:cs="仿宋"/>
                <w:spacing w:val="-2"/>
                <w:w w:val="104"/>
                <w:sz w:val="24"/>
                <w:szCs w:val="24"/>
                <w:highlight w:val="none"/>
                <w:lang w:val="en-US" w:eastAsia="zh-CN"/>
              </w:rPr>
              <w:t>3</w:t>
            </w:r>
            <w:r>
              <w:rPr>
                <w:rFonts w:hint="eastAsia" w:ascii="仿宋" w:hAnsi="仿宋" w:eastAsia="仿宋" w:cs="仿宋"/>
                <w:spacing w:val="-2"/>
                <w:w w:val="104"/>
                <w:sz w:val="24"/>
                <w:szCs w:val="24"/>
                <w:highlight w:val="none"/>
              </w:rPr>
              <w:t>、成交供应商提供的货物必须是原</w:t>
            </w:r>
            <w:r>
              <w:rPr>
                <w:rFonts w:hint="eastAsia" w:ascii="仿宋" w:hAnsi="仿宋" w:eastAsia="仿宋" w:cs="仿宋"/>
                <w:spacing w:val="15"/>
                <w:w w:val="104"/>
                <w:sz w:val="24"/>
                <w:szCs w:val="24"/>
                <w:highlight w:val="none"/>
              </w:rPr>
              <w:t>厂</w:t>
            </w:r>
            <w:r>
              <w:rPr>
                <w:rFonts w:hint="eastAsia" w:ascii="仿宋" w:hAnsi="仿宋" w:eastAsia="仿宋" w:cs="仿宋"/>
                <w:spacing w:val="-3"/>
                <w:w w:val="104"/>
                <w:sz w:val="24"/>
                <w:szCs w:val="24"/>
                <w:highlight w:val="none"/>
              </w:rPr>
              <w:t>生产全新的</w:t>
            </w:r>
            <w:r>
              <w:rPr>
                <w:rFonts w:hint="eastAsia" w:ascii="仿宋" w:hAnsi="仿宋" w:eastAsia="仿宋" w:cs="仿宋"/>
                <w:spacing w:val="-25"/>
                <w:w w:val="104"/>
                <w:sz w:val="24"/>
                <w:szCs w:val="24"/>
                <w:highlight w:val="none"/>
              </w:rPr>
              <w:t>、</w:t>
            </w:r>
            <w:r>
              <w:rPr>
                <w:rFonts w:hint="eastAsia" w:ascii="仿宋" w:hAnsi="仿宋" w:eastAsia="仿宋" w:cs="仿宋"/>
                <w:w w:val="104"/>
                <w:sz w:val="24"/>
                <w:szCs w:val="24"/>
                <w:highlight w:val="none"/>
              </w:rPr>
              <w:t>完整的</w:t>
            </w:r>
            <w:r>
              <w:rPr>
                <w:rFonts w:hint="eastAsia" w:ascii="仿宋" w:hAnsi="仿宋" w:eastAsia="仿宋" w:cs="仿宋"/>
                <w:spacing w:val="-14"/>
                <w:w w:val="104"/>
                <w:sz w:val="24"/>
                <w:szCs w:val="24"/>
                <w:highlight w:val="none"/>
              </w:rPr>
              <w:t>、</w:t>
            </w:r>
            <w:r>
              <w:rPr>
                <w:rFonts w:hint="eastAsia" w:ascii="仿宋" w:hAnsi="仿宋" w:eastAsia="仿宋" w:cs="仿宋"/>
                <w:spacing w:val="-3"/>
                <w:w w:val="104"/>
                <w:sz w:val="24"/>
                <w:szCs w:val="24"/>
                <w:highlight w:val="none"/>
              </w:rPr>
              <w:t>未使用过的合格产品</w:t>
            </w:r>
            <w:r>
              <w:rPr>
                <w:rFonts w:hint="eastAsia" w:ascii="仿宋" w:hAnsi="仿宋" w:eastAsia="仿宋" w:cs="仿宋"/>
                <w:spacing w:val="-49"/>
                <w:w w:val="104"/>
                <w:sz w:val="24"/>
                <w:szCs w:val="24"/>
                <w:highlight w:val="none"/>
              </w:rPr>
              <w:t xml:space="preserve">， </w:t>
            </w:r>
            <w:r>
              <w:rPr>
                <w:rFonts w:hint="eastAsia" w:ascii="仿宋" w:hAnsi="仿宋" w:eastAsia="仿宋" w:cs="仿宋"/>
                <w:w w:val="104"/>
                <w:sz w:val="24"/>
                <w:szCs w:val="24"/>
                <w:highlight w:val="none"/>
              </w:rPr>
              <w:t>货物</w:t>
            </w:r>
            <w:r>
              <w:rPr>
                <w:rFonts w:hint="eastAsia" w:ascii="仿宋" w:hAnsi="仿宋" w:eastAsia="仿宋" w:cs="仿宋"/>
                <w:spacing w:val="-1"/>
                <w:w w:val="104"/>
                <w:sz w:val="24"/>
                <w:szCs w:val="24"/>
                <w:highlight w:val="none"/>
              </w:rPr>
              <w:t>质量符合国家相关标准和规范</w:t>
            </w:r>
            <w:r>
              <w:rPr>
                <w:rFonts w:hint="eastAsia" w:ascii="仿宋" w:hAnsi="仿宋" w:eastAsia="仿宋" w:cs="仿宋"/>
                <w:spacing w:val="-42"/>
                <w:w w:val="104"/>
                <w:sz w:val="24"/>
                <w:szCs w:val="24"/>
                <w:highlight w:val="none"/>
              </w:rPr>
              <w:t xml:space="preserve">， </w:t>
            </w:r>
            <w:r>
              <w:rPr>
                <w:rFonts w:hint="eastAsia" w:ascii="仿宋" w:hAnsi="仿宋" w:eastAsia="仿宋" w:cs="仿宋"/>
                <w:spacing w:val="-12"/>
                <w:w w:val="104"/>
                <w:sz w:val="24"/>
                <w:szCs w:val="24"/>
                <w:highlight w:val="none"/>
              </w:rPr>
              <w:t>具备正规合法经销渠道。所有产品</w:t>
            </w:r>
            <w:r>
              <w:rPr>
                <w:rFonts w:hint="eastAsia" w:ascii="仿宋" w:hAnsi="仿宋" w:eastAsia="仿宋" w:cs="仿宋"/>
                <w:spacing w:val="-12"/>
                <w:w w:val="104"/>
                <w:sz w:val="24"/>
                <w:szCs w:val="24"/>
                <w:highlight w:val="none"/>
                <w:lang w:val="en-US" w:eastAsia="zh-CN"/>
              </w:rPr>
              <w:t>需</w:t>
            </w:r>
            <w:r>
              <w:rPr>
                <w:rFonts w:hint="eastAsia" w:ascii="仿宋" w:hAnsi="仿宋" w:eastAsia="仿宋" w:cs="仿宋"/>
                <w:spacing w:val="-12"/>
                <w:w w:val="104"/>
                <w:sz w:val="24"/>
                <w:szCs w:val="24"/>
                <w:highlight w:val="none"/>
              </w:rPr>
              <w:t>满足</w:t>
            </w:r>
            <w:r>
              <w:rPr>
                <w:rFonts w:hint="eastAsia" w:ascii="仿宋" w:hAnsi="仿宋" w:eastAsia="仿宋" w:cs="仿宋"/>
                <w:color w:val="auto"/>
                <w:spacing w:val="-12"/>
                <w:w w:val="104"/>
                <w:sz w:val="24"/>
                <w:szCs w:val="24"/>
                <w:highlight w:val="none"/>
                <w:lang w:eastAsia="zh-CN"/>
              </w:rPr>
              <w:t>（</w:t>
            </w:r>
            <w:r>
              <w:rPr>
                <w:rFonts w:hint="eastAsia" w:ascii="仿宋" w:hAnsi="仿宋" w:eastAsia="仿宋" w:cs="仿宋"/>
                <w:color w:val="auto"/>
                <w:spacing w:val="-12"/>
                <w:w w:val="104"/>
                <w:sz w:val="24"/>
                <w:szCs w:val="24"/>
                <w:highlight w:val="none"/>
                <w:lang w:val="en-US" w:eastAsia="zh-CN"/>
              </w:rPr>
              <w:t>或优于</w:t>
            </w:r>
            <w:r>
              <w:rPr>
                <w:rFonts w:hint="eastAsia" w:ascii="仿宋" w:hAnsi="仿宋" w:eastAsia="仿宋" w:cs="仿宋"/>
                <w:color w:val="auto"/>
                <w:spacing w:val="-12"/>
                <w:w w:val="104"/>
                <w:sz w:val="24"/>
                <w:szCs w:val="24"/>
                <w:highlight w:val="none"/>
                <w:lang w:eastAsia="zh-CN"/>
              </w:rPr>
              <w:t>）</w:t>
            </w:r>
            <w:r>
              <w:rPr>
                <w:rFonts w:hint="eastAsia" w:ascii="仿宋" w:hAnsi="仿宋" w:eastAsia="仿宋" w:cs="仿宋"/>
                <w:spacing w:val="-14"/>
                <w:w w:val="104"/>
                <w:sz w:val="24"/>
                <w:szCs w:val="24"/>
                <w:highlight w:val="none"/>
              </w:rPr>
              <w:t>上</w:t>
            </w:r>
            <w:r>
              <w:rPr>
                <w:rFonts w:hint="eastAsia" w:ascii="仿宋" w:hAnsi="仿宋" w:eastAsia="仿宋" w:cs="仿宋"/>
                <w:spacing w:val="-5"/>
                <w:w w:val="104"/>
                <w:sz w:val="24"/>
                <w:szCs w:val="24"/>
                <w:highlight w:val="none"/>
              </w:rPr>
              <w:t>表</w:t>
            </w:r>
            <w:r>
              <w:rPr>
                <w:rFonts w:hint="eastAsia" w:ascii="仿宋" w:hAnsi="仿宋" w:eastAsia="仿宋" w:cs="仿宋"/>
                <w:color w:val="auto"/>
                <w:spacing w:val="-5"/>
                <w:w w:val="104"/>
                <w:sz w:val="24"/>
                <w:szCs w:val="24"/>
                <w:highlight w:val="none"/>
                <w:lang w:val="en-US" w:eastAsia="zh-CN"/>
              </w:rPr>
              <w:t>参考</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rPr>
              <w:t>、参数</w:t>
            </w:r>
            <w:r>
              <w:rPr>
                <w:rFonts w:hint="eastAsia" w:ascii="仿宋" w:hAnsi="仿宋" w:eastAsia="仿宋" w:cs="仿宋"/>
                <w:sz w:val="24"/>
                <w:szCs w:val="24"/>
                <w:highlight w:val="none"/>
                <w:lang w:val="en-US" w:eastAsia="zh-CN"/>
              </w:rPr>
              <w:t>配置</w:t>
            </w:r>
            <w:r>
              <w:rPr>
                <w:rFonts w:hint="eastAsia" w:ascii="仿宋" w:hAnsi="仿宋" w:eastAsia="仿宋" w:cs="仿宋"/>
                <w:spacing w:val="-2"/>
                <w:w w:val="104"/>
                <w:sz w:val="24"/>
                <w:szCs w:val="24"/>
                <w:highlight w:val="none"/>
              </w:rPr>
              <w:t>。</w:t>
            </w:r>
            <w:bookmarkStart w:id="1" w:name="OLE_LINK1"/>
            <w:r>
              <w:rPr>
                <w:rFonts w:hint="eastAsia" w:ascii="仿宋" w:hAnsi="仿宋" w:eastAsia="仿宋" w:cs="仿宋"/>
                <w:spacing w:val="-2"/>
                <w:w w:val="104"/>
                <w:sz w:val="24"/>
                <w:szCs w:val="24"/>
                <w:highlight w:val="none"/>
              </w:rPr>
              <w:t>成交供应商</w:t>
            </w:r>
            <w:bookmarkEnd w:id="1"/>
            <w:r>
              <w:rPr>
                <w:rFonts w:hint="eastAsia" w:ascii="仿宋" w:hAnsi="仿宋" w:eastAsia="仿宋" w:cs="仿宋"/>
                <w:spacing w:val="-2"/>
                <w:w w:val="104"/>
                <w:sz w:val="24"/>
                <w:szCs w:val="24"/>
                <w:highlight w:val="none"/>
              </w:rPr>
              <w:t>提供的货物</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rPr>
              <w:t>、参数</w:t>
            </w:r>
            <w:r>
              <w:rPr>
                <w:rFonts w:hint="eastAsia" w:ascii="仿宋" w:hAnsi="仿宋" w:eastAsia="仿宋" w:cs="仿宋"/>
                <w:sz w:val="24"/>
                <w:szCs w:val="24"/>
                <w:highlight w:val="none"/>
                <w:lang w:val="en-US" w:eastAsia="zh-CN"/>
              </w:rPr>
              <w:t>配置</w:t>
            </w:r>
            <w:r>
              <w:rPr>
                <w:rFonts w:hint="eastAsia" w:ascii="仿宋" w:hAnsi="仿宋" w:eastAsia="仿宋" w:cs="仿宋"/>
                <w:w w:val="104"/>
                <w:sz w:val="24"/>
                <w:szCs w:val="24"/>
                <w:highlight w:val="none"/>
              </w:rPr>
              <w:t>、质量不符合合同规定及采购需求</w:t>
            </w:r>
            <w:r>
              <w:rPr>
                <w:rFonts w:hint="eastAsia" w:ascii="仿宋" w:hAnsi="仿宋" w:eastAsia="仿宋" w:cs="仿宋"/>
                <w:spacing w:val="-30"/>
                <w:w w:val="104"/>
                <w:sz w:val="24"/>
                <w:szCs w:val="24"/>
                <w:highlight w:val="none"/>
              </w:rPr>
              <w:t>规定标准的</w:t>
            </w:r>
            <w:r>
              <w:rPr>
                <w:rFonts w:hint="eastAsia" w:ascii="仿宋" w:hAnsi="仿宋" w:eastAsia="仿宋" w:cs="仿宋"/>
                <w:spacing w:val="-30"/>
                <w:w w:val="104"/>
                <w:sz w:val="24"/>
                <w:szCs w:val="24"/>
                <w:highlight w:val="none"/>
                <w:lang w:eastAsia="zh-CN"/>
              </w:rPr>
              <w:t>，</w:t>
            </w:r>
            <w:r>
              <w:rPr>
                <w:rFonts w:hint="eastAsia" w:ascii="仿宋" w:hAnsi="仿宋" w:eastAsia="仿宋" w:cs="仿宋"/>
                <w:w w:val="104"/>
                <w:sz w:val="24"/>
                <w:szCs w:val="24"/>
                <w:highlight w:val="none"/>
              </w:rPr>
              <w:t>采购人有权拒收该货物。</w:t>
            </w:r>
            <w:r>
              <w:rPr>
                <w:rFonts w:hint="eastAsia" w:ascii="仿宋" w:hAnsi="仿宋" w:eastAsia="仿宋" w:cs="仿宋"/>
                <w:spacing w:val="1"/>
                <w:sz w:val="24"/>
                <w:szCs w:val="24"/>
                <w:highlight w:val="none"/>
              </w:rPr>
              <w:t>成交供应商拒绝更换货物的，</w:t>
            </w:r>
            <w:r>
              <w:rPr>
                <w:rFonts w:hint="eastAsia" w:ascii="仿宋" w:hAnsi="仿宋" w:eastAsia="仿宋" w:cs="仿宋"/>
                <w:spacing w:val="-2"/>
                <w:sz w:val="24"/>
                <w:szCs w:val="24"/>
                <w:highlight w:val="none"/>
              </w:rPr>
              <w:t>采购人可单方面解除合同</w:t>
            </w:r>
            <w:r>
              <w:rPr>
                <w:rFonts w:hint="eastAsia" w:ascii="仿宋" w:hAnsi="仿宋" w:eastAsia="仿宋" w:cs="仿宋"/>
                <w:spacing w:val="6"/>
                <w:sz w:val="24"/>
                <w:szCs w:val="24"/>
                <w:highlight w:val="none"/>
              </w:rPr>
              <w:t xml:space="preserve">， </w:t>
            </w:r>
            <w:r>
              <w:rPr>
                <w:rFonts w:hint="eastAsia" w:ascii="仿宋" w:hAnsi="仿宋" w:eastAsia="仿宋" w:cs="仿宋"/>
                <w:sz w:val="24"/>
                <w:szCs w:val="24"/>
                <w:highlight w:val="none"/>
              </w:rPr>
              <w:t>并有权要求成交供应商赔偿经济损失。</w:t>
            </w:r>
          </w:p>
          <w:p>
            <w:pPr>
              <w:pStyle w:val="14"/>
              <w:ind w:firstLine="480"/>
              <w:rPr>
                <w:rFonts w:hint="eastAsia"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免费送货上门，按现场条件全程免费安装调试，直至验收前产生的所有费用</w:t>
            </w:r>
            <w:r>
              <w:rPr>
                <w:rFonts w:hint="eastAsia" w:ascii="仿宋" w:hAnsi="仿宋" w:eastAsia="仿宋" w:cs="仿宋"/>
                <w:color w:val="000000"/>
                <w:sz w:val="24"/>
                <w:szCs w:val="24"/>
                <w:highlight w:val="none"/>
                <w:lang w:eastAsia="zh-CN"/>
              </w:rPr>
              <w:t>、</w:t>
            </w:r>
            <w:r>
              <w:rPr>
                <w:rFonts w:hint="default" w:ascii="宋体" w:hAnsi="宋体" w:cs="宋体"/>
                <w:sz w:val="24"/>
                <w:szCs w:val="24"/>
                <w:highlight w:val="none"/>
                <w:lang w:val="en-US" w:eastAsia="zh-CN"/>
              </w:rPr>
              <w:t>验收时产生的验收费用</w:t>
            </w:r>
            <w:r>
              <w:rPr>
                <w:rFonts w:hint="eastAsia" w:ascii="宋体" w:hAnsi="宋体" w:cs="宋体"/>
                <w:sz w:val="24"/>
                <w:szCs w:val="24"/>
                <w:highlight w:val="none"/>
                <w:lang w:val="en-US" w:eastAsia="zh-CN"/>
              </w:rPr>
              <w:t>、</w:t>
            </w:r>
            <w:r>
              <w:rPr>
                <w:rFonts w:hint="default" w:ascii="宋体" w:hAnsi="宋体" w:cs="宋体"/>
                <w:sz w:val="24"/>
                <w:szCs w:val="24"/>
                <w:highlight w:val="none"/>
                <w:lang w:val="en-US" w:eastAsia="zh-CN"/>
              </w:rPr>
              <w:t>验收合格后产生的售后服务费等费用</w:t>
            </w:r>
            <w:r>
              <w:rPr>
                <w:rFonts w:hint="eastAsia" w:ascii="宋体" w:hAnsi="宋体" w:cs="宋体"/>
                <w:sz w:val="24"/>
                <w:szCs w:val="24"/>
                <w:highlight w:val="none"/>
                <w:lang w:val="en-US" w:eastAsia="zh-CN"/>
              </w:rPr>
              <w:t>均</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供应商承担</w:t>
            </w:r>
            <w:r>
              <w:rPr>
                <w:rFonts w:hint="eastAsia" w:ascii="仿宋" w:hAnsi="仿宋" w:eastAsia="仿宋" w:cs="仿宋"/>
                <w:sz w:val="24"/>
                <w:szCs w:val="24"/>
                <w:highlight w:val="none"/>
              </w:rPr>
              <w:t>，</w:t>
            </w:r>
            <w:r>
              <w:rPr>
                <w:rFonts w:hint="eastAsia" w:ascii="仿宋" w:hAnsi="仿宋" w:eastAsia="仿宋" w:cs="仿宋"/>
                <w:sz w:val="24"/>
                <w:szCs w:val="24"/>
              </w:rPr>
              <w:t>不接受物流快递发货以及远程指导安装，否则采购人有权取消合同。</w:t>
            </w:r>
          </w:p>
          <w:p>
            <w:pPr>
              <w:pStyle w:val="14"/>
              <w:ind w:firstLine="48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、如不能按期交货和安装完毕，则视为违约，造成的一切损失由成交供应商承担。成交供应商提供的货物及服务不满足</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文件要求而导致验收不合格的</w:t>
            </w:r>
            <w:r>
              <w:rPr>
                <w:rFonts w:hint="eastAsia" w:ascii="仿宋" w:hAnsi="仿宋" w:eastAsia="仿宋" w:cs="仿宋"/>
                <w:spacing w:val="7"/>
                <w:sz w:val="24"/>
                <w:szCs w:val="24"/>
              </w:rPr>
              <w:t>，</w:t>
            </w:r>
            <w:r>
              <w:rPr>
                <w:rFonts w:hint="eastAsia" w:ascii="仿宋" w:hAnsi="仿宋" w:eastAsia="仿宋" w:cs="仿宋"/>
                <w:spacing w:val="3"/>
                <w:sz w:val="24"/>
                <w:szCs w:val="24"/>
              </w:rPr>
              <w:t>采购人有权解除合同并追究成交供应商的法律责任。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交货及安装地点</w:t>
            </w:r>
          </w:p>
        </w:tc>
        <w:tc>
          <w:tcPr>
            <w:tcW w:w="11656" w:type="dxa"/>
            <w:vAlign w:val="top"/>
          </w:tcPr>
          <w:p>
            <w:pP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广西中医药大学仙葫校区学生宿舍（具体由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lang w:val="en-US" w:eastAsia="zh-CN"/>
              </w:rPr>
              <w:t>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验收</w:t>
            </w:r>
          </w:p>
        </w:tc>
        <w:tc>
          <w:tcPr>
            <w:tcW w:w="11656" w:type="dxa"/>
            <w:vAlign w:val="top"/>
          </w:tcPr>
          <w:p>
            <w:pPr>
              <w:pStyle w:val="14"/>
              <w:ind w:firstLine="480"/>
              <w:rPr>
                <w:rFonts w:hint="eastAsia" w:ascii="仿宋" w:hAnsi="仿宋" w:eastAsia="仿宋" w:cs="仿宋"/>
                <w:sz w:val="24"/>
                <w:szCs w:val="24"/>
              </w:rPr>
            </w:pPr>
            <w:r>
              <w:rPr>
                <w:rFonts w:hint="eastAsia" w:ascii="仿宋" w:hAnsi="仿宋" w:eastAsia="仿宋" w:cs="仿宋"/>
                <w:sz w:val="24"/>
                <w:szCs w:val="24"/>
              </w:rPr>
              <w:t>1、货物运抵采购人指定地点后，</w:t>
            </w:r>
            <w:r>
              <w:rPr>
                <w:rFonts w:hint="eastAsia" w:ascii="仿宋" w:hAnsi="仿宋" w:eastAsia="仿宋" w:cs="仿宋"/>
                <w:sz w:val="24"/>
                <w:szCs w:val="24"/>
                <w:highlight w:val="none"/>
              </w:rPr>
              <w:t>采购人对成交供应商提交的货物依据合同</w:t>
            </w:r>
            <w:r>
              <w:rPr>
                <w:rFonts w:hint="eastAsia" w:ascii="仿宋" w:hAnsi="仿宋" w:eastAsia="仿宋" w:cs="仿宋"/>
                <w:sz w:val="24"/>
                <w:szCs w:val="24"/>
              </w:rPr>
              <w:t>、参数</w:t>
            </w:r>
            <w:r>
              <w:rPr>
                <w:rFonts w:hint="eastAsia" w:ascii="仿宋" w:hAnsi="仿宋" w:eastAsia="仿宋" w:cs="仿宋"/>
                <w:sz w:val="24"/>
                <w:szCs w:val="24"/>
                <w:lang w:val="en-US" w:eastAsia="zh-CN"/>
              </w:rPr>
              <w:t>配置</w:t>
            </w:r>
            <w:r>
              <w:rPr>
                <w:rFonts w:hint="eastAsia" w:ascii="仿宋" w:hAnsi="仿宋" w:eastAsia="仿宋" w:cs="仿宋"/>
                <w:sz w:val="24"/>
                <w:szCs w:val="24"/>
              </w:rPr>
              <w:t>要求和国家有关质量标准进行现场验收，</w:t>
            </w:r>
            <w:r>
              <w:rPr>
                <w:rFonts w:hint="eastAsia" w:ascii="仿宋" w:hAnsi="仿宋" w:eastAsia="仿宋" w:cs="仿宋"/>
                <w:sz w:val="24"/>
                <w:szCs w:val="24"/>
                <w:lang w:val="en-US" w:eastAsia="zh-CN"/>
              </w:rPr>
              <w:t>品牌</w:t>
            </w:r>
            <w:r>
              <w:rPr>
                <w:rFonts w:hint="eastAsia" w:ascii="仿宋" w:hAnsi="仿宋" w:eastAsia="仿宋" w:cs="仿宋"/>
                <w:sz w:val="24"/>
                <w:szCs w:val="24"/>
              </w:rPr>
              <w:t>、参数</w:t>
            </w:r>
            <w:r>
              <w:rPr>
                <w:rFonts w:hint="eastAsia" w:ascii="仿宋" w:hAnsi="仿宋" w:eastAsia="仿宋" w:cs="仿宋"/>
                <w:sz w:val="24"/>
                <w:szCs w:val="24"/>
                <w:lang w:val="en-US" w:eastAsia="zh-CN"/>
              </w:rPr>
              <w:t>配置</w:t>
            </w:r>
            <w:r>
              <w:rPr>
                <w:rFonts w:hint="eastAsia" w:ascii="仿宋" w:hAnsi="仿宋" w:eastAsia="仿宋" w:cs="仿宋"/>
                <w:sz w:val="24"/>
                <w:szCs w:val="24"/>
              </w:rPr>
              <w:t>符合</w:t>
            </w:r>
            <w:r>
              <w:rPr>
                <w:rFonts w:hint="eastAsia" w:ascii="仿宋" w:hAnsi="仿宋" w:eastAsia="仿宋" w:cs="仿宋"/>
                <w:sz w:val="24"/>
                <w:szCs w:val="24"/>
                <w:lang w:val="en-US" w:eastAsia="zh-CN"/>
              </w:rPr>
              <w:t>在线询价</w:t>
            </w:r>
            <w:r>
              <w:rPr>
                <w:rFonts w:hint="eastAsia" w:ascii="仿宋" w:hAnsi="仿宋" w:eastAsia="仿宋" w:cs="仿宋"/>
                <w:sz w:val="24"/>
                <w:szCs w:val="24"/>
              </w:rPr>
              <w:t xml:space="preserve">文件技术要求的，给予签收，验收不合格的不予签收。如发生所供货物与合同约定不符，采购人有权退货或要求成交供应商进行更换、补齐，因此造成逾期交货的，成交供应商应承担逾期交货的违约责任。成交供应商应在接到采购人要求后 </w:t>
            </w:r>
            <w:r>
              <w:rPr>
                <w:rFonts w:hint="eastAsia" w:ascii="仿宋" w:hAnsi="仿宋" w:eastAsia="仿宋" w:cs="仿宋"/>
                <w:sz w:val="24"/>
                <w:szCs w:val="24"/>
                <w:lang w:val="en-US" w:eastAsia="zh-CN"/>
              </w:rPr>
              <w:t>5</w:t>
            </w:r>
            <w:r>
              <w:rPr>
                <w:rFonts w:hint="eastAsia" w:ascii="仿宋" w:hAnsi="仿宋" w:eastAsia="仿宋" w:cs="仿宋"/>
                <w:sz w:val="24"/>
                <w:szCs w:val="24"/>
              </w:rPr>
              <w:t>日内予以补救，所产生的费用及法律后果由成交供应商承担。</w:t>
            </w:r>
          </w:p>
          <w:p>
            <w:pPr>
              <w:adjustRightInd w:val="0"/>
              <w:snapToGrid w:val="0"/>
              <w:ind w:firstLine="480"/>
              <w:rPr>
                <w:rFonts w:hint="eastAsia" w:ascii="仿宋" w:hAnsi="仿宋" w:eastAsia="仿宋" w:cs="仿宋"/>
                <w:sz w:val="24"/>
                <w:szCs w:val="24"/>
                <w:lang w:eastAsia="zh-CN"/>
              </w:rPr>
            </w:pPr>
            <w:r>
              <w:rPr>
                <w:rFonts w:hint="eastAsia" w:ascii="仿宋" w:hAnsi="仿宋" w:eastAsia="仿宋" w:cs="仿宋"/>
                <w:sz w:val="24"/>
                <w:szCs w:val="24"/>
              </w:rPr>
              <w:t>2、验收所需工具、器材由</w:t>
            </w:r>
            <w:r>
              <w:rPr>
                <w:rFonts w:hint="eastAsia" w:ascii="仿宋" w:hAnsi="仿宋" w:eastAsia="仿宋" w:cs="仿宋"/>
                <w:color w:val="auto"/>
                <w:sz w:val="24"/>
                <w:szCs w:val="24"/>
                <w:highlight w:val="none"/>
                <w:lang w:val="en-US" w:eastAsia="zh-CN"/>
              </w:rPr>
              <w:t>成交</w:t>
            </w:r>
            <w:r>
              <w:rPr>
                <w:rFonts w:hint="eastAsia" w:ascii="仿宋" w:hAnsi="仿宋" w:eastAsia="仿宋" w:cs="仿宋"/>
                <w:sz w:val="24"/>
                <w:szCs w:val="24"/>
              </w:rPr>
              <w:t>供应商自理；各项性能指标达到技术要求的，由供需双方共同签字认可，现场验收</w:t>
            </w:r>
            <w:r>
              <w:rPr>
                <w:rFonts w:hint="eastAsia" w:ascii="仿宋" w:hAnsi="仿宋" w:eastAsia="仿宋" w:cs="仿宋"/>
                <w:sz w:val="24"/>
                <w:szCs w:val="24"/>
                <w:lang w:eastAsia="zh-CN"/>
              </w:rPr>
              <w:t>。</w:t>
            </w:r>
          </w:p>
          <w:p>
            <w:pPr>
              <w:pStyle w:val="8"/>
              <w:ind w:firstLine="480" w:firstLineChars="200"/>
              <w:rPr>
                <w:rFonts w:hint="eastAsia" w:ascii="仿宋" w:hAnsi="仿宋" w:eastAsia="仿宋" w:cs="仿宋"/>
                <w:sz w:val="24"/>
                <w:szCs w:val="24"/>
                <w:highlight w:val="none"/>
                <w:lang w:eastAsia="zh-CN"/>
              </w:rPr>
            </w:pPr>
            <w:r>
              <w:rPr>
                <w:rFonts w:hint="eastAsia" w:ascii="仿宋" w:hAnsi="仿宋" w:eastAsia="仿宋" w:cs="仿宋"/>
                <w:b w:val="0"/>
                <w:kern w:val="2"/>
                <w:sz w:val="24"/>
                <w:szCs w:val="24"/>
                <w:lang w:val="en-US" w:eastAsia="zh-CN" w:bidi="ar-SA"/>
              </w:rPr>
              <w:t>3、供货产品为整体或板式安装结构，供货时不接受任何产品或原材料现场切割、焊接、加工、喷漆、胶粘等对现场环境产生负面影响的施工作业，否则不予验收。</w:t>
            </w:r>
          </w:p>
          <w:p>
            <w:pPr>
              <w:pStyle w:val="8"/>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货款结算</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无预付款，</w:t>
            </w:r>
            <w:r>
              <w:rPr>
                <w:rFonts w:hint="eastAsia" w:ascii="仿宋" w:hAnsi="仿宋" w:eastAsia="仿宋" w:cs="仿宋"/>
                <w:color w:val="auto"/>
                <w:sz w:val="24"/>
                <w:szCs w:val="24"/>
                <w:highlight w:val="none"/>
                <w:lang w:val="en-US" w:eastAsia="zh-CN"/>
              </w:rPr>
              <w:t>成交供应商完成供货且验收通过后，采购人通知成交供应商开具发票，采购人自收到发票后10个工作日内付款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一次性支付全部合同款（无息），付款前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供应商开具等额增值税专用发票给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5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质保</w:t>
            </w:r>
            <w:r>
              <w:rPr>
                <w:rFonts w:hint="eastAsia" w:ascii="仿宋" w:hAnsi="仿宋" w:eastAsia="仿宋" w:cs="仿宋"/>
                <w:color w:val="auto"/>
                <w:sz w:val="24"/>
                <w:szCs w:val="24"/>
              </w:rPr>
              <w:t>期</w:t>
            </w:r>
          </w:p>
        </w:tc>
        <w:tc>
          <w:tcPr>
            <w:tcW w:w="11656" w:type="dxa"/>
            <w:vAlign w:val="top"/>
          </w:tcPr>
          <w:p>
            <w:pPr>
              <w:tabs>
                <w:tab w:val="center" w:pos="4153"/>
                <w:tab w:val="right" w:pos="8306"/>
              </w:tabs>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组合家具、双层钢架床</w:t>
            </w:r>
            <w:r>
              <w:rPr>
                <w:rFonts w:hint="eastAsia" w:ascii="仿宋" w:hAnsi="仿宋" w:eastAsia="仿宋" w:cs="仿宋"/>
                <w:color w:val="auto"/>
                <w:sz w:val="24"/>
                <w:szCs w:val="24"/>
                <w:highlight w:val="none"/>
              </w:rPr>
              <w:t>质量保证期</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书桌、椅子</w:t>
            </w:r>
            <w:r>
              <w:rPr>
                <w:rFonts w:hint="eastAsia" w:ascii="仿宋" w:hAnsi="仿宋" w:eastAsia="仿宋" w:cs="仿宋"/>
                <w:color w:val="auto"/>
                <w:sz w:val="24"/>
                <w:szCs w:val="24"/>
                <w:highlight w:val="none"/>
              </w:rPr>
              <w:t>质量保证期</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1"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售后服务要求</w:t>
            </w:r>
          </w:p>
        </w:tc>
        <w:tc>
          <w:tcPr>
            <w:tcW w:w="11656" w:type="dxa"/>
            <w:vAlign w:val="top"/>
          </w:tcPr>
          <w:p>
            <w:pPr>
              <w:numPr>
                <w:ilvl w:val="0"/>
                <w:numId w:val="1"/>
              </w:numPr>
              <w:adjustRightInd w:val="0"/>
              <w:snapToGrid w:val="0"/>
              <w:ind w:firstLine="480"/>
              <w:rPr>
                <w:rFonts w:hint="eastAsia" w:ascii="仿宋" w:hAnsi="仿宋" w:eastAsia="仿宋" w:cs="仿宋"/>
                <w:sz w:val="24"/>
                <w:szCs w:val="24"/>
                <w:highlight w:val="none"/>
              </w:rPr>
            </w:pPr>
            <w:r>
              <w:rPr>
                <w:rFonts w:hint="eastAsia" w:ascii="仿宋" w:hAnsi="仿宋" w:eastAsia="仿宋" w:cs="仿宋"/>
                <w:sz w:val="24"/>
                <w:szCs w:val="24"/>
              </w:rPr>
              <w:t>质量保证期：在质保期内非人为因素发生的故障均由</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供应商免费维修或更换，</w:t>
            </w:r>
            <w:r>
              <w:rPr>
                <w:rFonts w:hint="eastAsia" w:ascii="仿宋" w:hAnsi="仿宋" w:eastAsia="仿宋" w:cs="仿宋"/>
                <w:sz w:val="24"/>
                <w:szCs w:val="24"/>
                <w:highlight w:val="none"/>
                <w:lang w:val="en-US" w:eastAsia="zh-CN"/>
              </w:rPr>
              <w:t>并且</w:t>
            </w:r>
            <w:r>
              <w:rPr>
                <w:rFonts w:hint="eastAsia" w:ascii="仿宋" w:hAnsi="仿宋" w:eastAsia="仿宋" w:cs="仿宋"/>
                <w:sz w:val="24"/>
                <w:szCs w:val="24"/>
                <w:highlight w:val="none"/>
              </w:rPr>
              <w:t>所提供的</w:t>
            </w:r>
            <w:r>
              <w:rPr>
                <w:rFonts w:hint="eastAsia" w:ascii="仿宋" w:hAnsi="仿宋" w:eastAsia="仿宋" w:cs="仿宋"/>
                <w:sz w:val="24"/>
                <w:szCs w:val="24"/>
                <w:highlight w:val="none"/>
                <w:lang w:val="en-US" w:eastAsia="zh-CN"/>
              </w:rPr>
              <w:t>维修物件</w:t>
            </w:r>
            <w:r>
              <w:rPr>
                <w:rFonts w:hint="eastAsia" w:ascii="仿宋" w:hAnsi="仿宋" w:eastAsia="仿宋" w:cs="仿宋"/>
                <w:sz w:val="24"/>
                <w:szCs w:val="24"/>
                <w:highlight w:val="none"/>
              </w:rPr>
              <w:t>必须是全新的合格产品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质保期过后提供终身维护。投标人投标时必须承诺对本项目</w:t>
            </w:r>
            <w:r>
              <w:rPr>
                <w:rFonts w:hint="eastAsia" w:ascii="仿宋" w:hAnsi="仿宋" w:eastAsia="仿宋" w:cs="仿宋"/>
                <w:sz w:val="24"/>
                <w:szCs w:val="24"/>
                <w:highlight w:val="none"/>
                <w:lang w:val="en-US" w:eastAsia="zh-CN"/>
              </w:rPr>
              <w:t>家具</w:t>
            </w:r>
            <w:r>
              <w:rPr>
                <w:rFonts w:hint="eastAsia" w:ascii="仿宋" w:hAnsi="仿宋" w:eastAsia="仿宋" w:cs="仿宋"/>
                <w:sz w:val="24"/>
                <w:szCs w:val="24"/>
                <w:highlight w:val="none"/>
              </w:rPr>
              <w:t>提供终身服务，质保期外的服务费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维修的零配件需</w:t>
            </w:r>
            <w:r>
              <w:rPr>
                <w:rFonts w:hint="eastAsia" w:ascii="仿宋" w:hAnsi="仿宋" w:eastAsia="仿宋" w:cs="仿宋"/>
                <w:sz w:val="24"/>
                <w:szCs w:val="24"/>
                <w:highlight w:val="none"/>
                <w:lang w:eastAsia="zh-CN"/>
              </w:rPr>
              <w:t>按市场价</w:t>
            </w:r>
            <w:r>
              <w:rPr>
                <w:rFonts w:hint="eastAsia" w:ascii="仿宋" w:hAnsi="仿宋" w:eastAsia="仿宋" w:cs="仿宋"/>
                <w:sz w:val="24"/>
                <w:szCs w:val="24"/>
                <w:highlight w:val="none"/>
              </w:rPr>
              <w:t>优惠</w:t>
            </w:r>
            <w:r>
              <w:rPr>
                <w:rFonts w:hint="eastAsia" w:ascii="仿宋" w:hAnsi="仿宋" w:eastAsia="仿宋" w:cs="仿宋"/>
                <w:sz w:val="24"/>
                <w:szCs w:val="24"/>
                <w:highlight w:val="none"/>
                <w:lang w:val="en-US" w:eastAsia="zh-CN"/>
              </w:rPr>
              <w:t>8折</w:t>
            </w:r>
            <w:r>
              <w:rPr>
                <w:rFonts w:hint="eastAsia" w:ascii="仿宋" w:hAnsi="仿宋" w:eastAsia="仿宋" w:cs="仿宋"/>
                <w:sz w:val="24"/>
                <w:szCs w:val="24"/>
                <w:highlight w:val="none"/>
              </w:rPr>
              <w:t>。</w:t>
            </w:r>
          </w:p>
          <w:p>
            <w:pPr>
              <w:adjustRightInd w:val="0"/>
              <w:snapToGrid w:val="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故障响应时间：货物发生故障时，在接到采购人通知后24小时内到达现场处理，一般故障处理时限不超过12小时，12小时内不能修复的，提供替代品。</w:t>
            </w:r>
          </w:p>
          <w:p>
            <w:pPr>
              <w:adjustRightInd w:val="0"/>
              <w:snapToGrid w:val="0"/>
              <w:ind w:firstLine="480"/>
              <w:rPr>
                <w:rFonts w:hint="eastAsia" w:ascii="仿宋" w:hAnsi="仿宋" w:eastAsia="仿宋" w:cs="仿宋"/>
                <w:sz w:val="24"/>
                <w:szCs w:val="24"/>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质保期内</w:t>
            </w:r>
            <w:r>
              <w:rPr>
                <w:rFonts w:hint="eastAsia" w:ascii="仿宋" w:hAnsi="仿宋" w:eastAsia="仿宋" w:cs="仿宋"/>
                <w:color w:val="auto"/>
                <w:sz w:val="24"/>
                <w:szCs w:val="24"/>
                <w:highlight w:val="none"/>
                <w:lang w:val="en-US" w:eastAsia="zh-CN"/>
              </w:rPr>
              <w:t>成交</w:t>
            </w:r>
            <w:r>
              <w:rPr>
                <w:rFonts w:hint="eastAsia" w:ascii="仿宋" w:hAnsi="仿宋" w:eastAsia="仿宋" w:cs="仿宋"/>
                <w:sz w:val="24"/>
                <w:szCs w:val="24"/>
                <w:highlight w:val="none"/>
              </w:rPr>
              <w:t>供应商负责处理解决货物出现的质量及安全问题并承担一切费用，所有非故意性损坏以及正常使用范围内造成的损坏均要免费维修，因人为因素出现的故障不在免费保修范围内，但</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供应商也要积极帮助采购人修理，并提供优惠价格的配件和服务。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11656" w:type="dxa"/>
            <w:vAlign w:val="top"/>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1、本</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文件项下的货物在交货、安装、验收及质保期等任何阶段内不符合合同约定的技术规范要求和验收标准的，采购人有权向成交供应商索赔并选择下列一项或多项补救措施：</w:t>
            </w:r>
          </w:p>
          <w:p>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（1）由成交供应商采取措施消除货物缺陷或不符合合同之处，如果成交供应商不能及时消除缺陷，采购人有</w:t>
            </w:r>
            <w:r>
              <w:rPr>
                <w:rFonts w:hint="eastAsia" w:ascii="仿宋" w:hAnsi="仿宋" w:eastAsia="仿宋" w:cs="仿宋"/>
                <w:color w:val="auto"/>
                <w:sz w:val="24"/>
                <w:szCs w:val="24"/>
              </w:rPr>
              <w:t>权自行消除缺陷或不符合合同之处，由此产生的一切费用均由成交供应商承担。</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（3）根据货物的低劣程度、损坏程度以及采购人所遭受损失的数额，成交供应商必须降低货物的价格。</w:t>
            </w:r>
          </w:p>
          <w:p>
            <w:pPr>
              <w:rPr>
                <w:rFonts w:hint="eastAsia" w:ascii="仿宋" w:hAnsi="仿宋" w:eastAsia="仿宋" w:cs="仿宋"/>
                <w:sz w:val="24"/>
                <w:szCs w:val="24"/>
              </w:rPr>
            </w:pPr>
            <w:r>
              <w:rPr>
                <w:rFonts w:hint="eastAsia" w:ascii="仿宋" w:hAnsi="仿宋" w:eastAsia="仿宋" w:cs="仿宋"/>
                <w:sz w:val="24"/>
                <w:szCs w:val="24"/>
              </w:rPr>
              <w:t>成交供应商应退还采购人支付的全部合同款，同时应承担该货物的直接费用（运输、保险、检验、货款利息及银行手续费等）。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2、成交供应商逾期交付货物的，每逾期一日，应按逾期交货总额3‰向采购人支付违约金。逾期超过约定日期 </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个</w:t>
            </w:r>
            <w:r>
              <w:rPr>
                <w:rFonts w:hint="eastAsia" w:ascii="仿宋" w:hAnsi="仿宋" w:eastAsia="仿宋" w:cs="仿宋"/>
                <w:sz w:val="24"/>
                <w:szCs w:val="24"/>
                <w:highlight w:val="none"/>
                <w:lang w:val="en-US" w:eastAsia="zh-CN"/>
              </w:rPr>
              <w:t>自然</w:t>
            </w:r>
            <w:r>
              <w:rPr>
                <w:rFonts w:hint="eastAsia" w:ascii="仿宋" w:hAnsi="仿宋" w:eastAsia="仿宋" w:cs="仿宋"/>
                <w:sz w:val="24"/>
                <w:szCs w:val="24"/>
                <w:highlight w:val="none"/>
              </w:rPr>
              <w:t>日</w:t>
            </w:r>
            <w:r>
              <w:rPr>
                <w:rFonts w:hint="eastAsia" w:ascii="仿宋" w:hAnsi="仿宋" w:eastAsia="仿宋" w:cs="仿宋"/>
                <w:sz w:val="24"/>
                <w:szCs w:val="24"/>
              </w:rPr>
              <w:t>不能交货的，采购人有权解除本合同，并要求成交供应商支付合同总额 20 %的违约金。</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3、成交供应商所交付的货物规格、技术参数、质量不符合合同规定及</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11656" w:type="dxa"/>
            <w:vAlign w:val="center"/>
          </w:tcPr>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所供产品的规格、数量符合招标文件供应商投标承诺及采购合同约定的要求。</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所供产品的材质、颜色符合招标文件供应商投标承诺及采购合同约定的要求。</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所供产品的外观完好，无严重碰撞，五金件生锈</w:t>
            </w:r>
            <w:r>
              <w:rPr>
                <w:rFonts w:hint="eastAsia" w:ascii="仿宋" w:hAnsi="仿宋" w:eastAsia="仿宋" w:cs="仿宋"/>
                <w:sz w:val="24"/>
                <w:szCs w:val="24"/>
                <w:highlight w:val="none"/>
              </w:rPr>
              <w:t>等瑕疵</w:t>
            </w:r>
            <w:r>
              <w:rPr>
                <w:rFonts w:hint="eastAsia" w:ascii="仿宋" w:hAnsi="仿宋" w:eastAsia="仿宋" w:cs="仿宋"/>
                <w:sz w:val="24"/>
                <w:szCs w:val="24"/>
              </w:rPr>
              <w:t>。</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所供产品结构牢固，无安全隐患。</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 xml:space="preserve">如有抽检要求的，检测结果符合招标文件供应商投标承诺及采购合同约定的要求。 </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所有产品均已运输至指定地点，并安装调试完毕。</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招标文件供应商投标承诺及采购合同约定的附件、工具、技术资料等齐全；提供产品使用说明书、合格证。</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家具安装后，采购人随机抽取两间宿舍，由有资质的检测机构对室内空气进行检测，室内空气中甲醛、苯等气体的浓度必须符合现行国家和行业的标准。如检测不合格，采购人保留对家具进行破坏性检测，由采购人在所提供的家具中随机抽取不少于3块基材,送到具备家具成品及其原辅材料检测能力并具有国家计量认证(CMA 资质)的第三方检测机构进行检测，检验结果不合格的不予验收，并做退货处理，所有检测费用由</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供应商承担，由此产生的一切后果由</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供应商承担。</w:t>
            </w:r>
          </w:p>
          <w:p>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rPr>
              <w:t>采用随机抽取安装好的</w:t>
            </w:r>
            <w:r>
              <w:rPr>
                <w:rFonts w:hint="eastAsia" w:ascii="仿宋" w:hAnsi="仿宋" w:eastAsia="仿宋" w:cs="仿宋"/>
                <w:color w:val="auto"/>
                <w:sz w:val="24"/>
                <w:szCs w:val="24"/>
                <w:highlight w:val="none"/>
                <w:lang w:val="en-US" w:eastAsia="zh-CN"/>
              </w:rPr>
              <w:t>3套</w:t>
            </w:r>
            <w:r>
              <w:rPr>
                <w:rFonts w:hint="eastAsia" w:ascii="仿宋" w:hAnsi="仿宋" w:eastAsia="仿宋" w:cs="仿宋"/>
                <w:sz w:val="24"/>
                <w:szCs w:val="24"/>
              </w:rPr>
              <w:t>家具现场切割的方式验收。</w:t>
            </w:r>
            <w:r>
              <w:rPr>
                <w:rFonts w:hint="eastAsia" w:ascii="仿宋" w:hAnsi="仿宋" w:eastAsia="仿宋" w:cs="仿宋"/>
                <w:sz w:val="24"/>
                <w:szCs w:val="24"/>
                <w:highlight w:val="none"/>
              </w:rPr>
              <w:t>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运费等全部费用</w:t>
            </w:r>
            <w:r>
              <w:rPr>
                <w:rFonts w:hint="eastAsia" w:ascii="仿宋" w:hAnsi="仿宋" w:eastAsia="仿宋" w:cs="仿宋"/>
                <w:sz w:val="24"/>
                <w:szCs w:val="24"/>
                <w:highlight w:val="none"/>
              </w:rPr>
              <w:t>由中标供应商承担。</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验收不合格或不能按期履行合同的处理：中标供应商必须在合同指定时间内将货物运送到安装地点并完成安装工作，否则中标供应商必须承担由此产生的一切后果。如中标供应商不能按约定时间交货，视为违约。</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货物或服务技术参数与投标文件中响应表或证明材料一致，性能或指标达到规定的标准，否则，以实际货物或服务技术参数与投标文件响应表参数或证明材料比较，按如下情况处理：</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（1）供应商投标文件响应表或证明材料中满足或优于的技术参数，在验收时实际不满足技术参数要求的，视为供货商虚假应标，采购人有权终止合同拒收货物，并追究供应商责任，同时报财政部门备案。</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（2）供应商投标文件响应表或证明材料中优于的技术参数，在验收时实际仅满足并未优于技术参数要求的，视为供货商虚假应标，采购人有权终止合同拒收货物，并追究供应商责任，同时报财政部门备案。</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（3）供应商投标文件响应表或证明材料中满足的技术参数，在验收时实际优于技术参数的要求，以满足技术参数的要求验收。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检测报告</w:t>
            </w:r>
          </w:p>
        </w:tc>
        <w:tc>
          <w:tcPr>
            <w:tcW w:w="11656" w:type="dxa"/>
            <w:vAlign w:val="center"/>
          </w:tcPr>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1、为了保证产品质量的稳定性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投标时上传</w:t>
            </w:r>
            <w:r>
              <w:rPr>
                <w:rFonts w:hint="eastAsia" w:ascii="仿宋" w:hAnsi="仿宋" w:eastAsia="仿宋" w:cs="仿宋"/>
                <w:color w:val="auto"/>
                <w:sz w:val="24"/>
                <w:szCs w:val="24"/>
                <w:highlight w:val="none"/>
              </w:rPr>
              <w:t>具有检测资质的第三方检验机构出具的合格检测报告</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z w:val="24"/>
                <w:szCs w:val="24"/>
                <w:highlight w:val="none"/>
              </w:rPr>
              <w:t>供货前必须提供具有检测资质的第三方检验机构出具的合格检测报告</w:t>
            </w:r>
            <w:r>
              <w:rPr>
                <w:rFonts w:hint="eastAsia" w:ascii="仿宋" w:hAnsi="仿宋" w:eastAsia="仿宋" w:cs="仿宋"/>
                <w:color w:val="auto"/>
                <w:sz w:val="24"/>
                <w:szCs w:val="24"/>
                <w:highlight w:val="none"/>
                <w:lang w:val="en-US" w:eastAsia="zh-CN"/>
              </w:rPr>
              <w:t>备查</w:t>
            </w:r>
            <w:r>
              <w:rPr>
                <w:rFonts w:hint="eastAsia" w:ascii="仿宋" w:hAnsi="仿宋" w:eastAsia="仿宋" w:cs="仿宋"/>
                <w:sz w:val="24"/>
                <w:szCs w:val="24"/>
                <w:highlight w:val="none"/>
              </w:rPr>
              <w:t>，</w:t>
            </w:r>
            <w:r>
              <w:rPr>
                <w:rFonts w:hint="eastAsia" w:ascii="仿宋" w:hAnsi="仿宋" w:eastAsia="仿宋" w:cs="仿宋"/>
                <w:sz w:val="24"/>
                <w:szCs w:val="24"/>
              </w:rPr>
              <w:t>并加盖报价人公章（注：报价人需承诺检测报告中检测的材料在本次报价的产品中使用；检测的产品应与本次报价产品采用同样的材料和工艺生产）。</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（1）成品检测报告：</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1.1提供“公寓床”符合技术参数及性能（配置）要求中的检测报告复印件。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1.2提供“公寓椅”符合技术参数及性能（配置）要求中的检测报告复印件。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1.3提供“钢木课桌”符合技术参数及性能（配置）要求中的检测报告复印件。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（2）原材料检测报告：</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2.1提供“冷轧钢板”符合技术参数及性能（配置）要求中的检测报告复印件。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2.2提供“塑粉”符合技术参数及性能（配置）要求中的检测报告复印件。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2.3提供“多层实木板（胶合板）”符合技术参数及性能（配置）要求中的检测报告复印件。</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2、说明：</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（1）供货前未能提供检测报告的，或检测内容不齐全的，视为违约。</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（2）检验报告的名称与要求不相同的，只要检测内容相同则视为相符；检测报告的送检单位为竞标人或生产厂家、原材料商。</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（3）履行合同时，必须提供原件进行核查。</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（4）检测报告可以是一份或多份。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履约保证金收取及退付</w:t>
            </w:r>
          </w:p>
        </w:tc>
        <w:tc>
          <w:tcPr>
            <w:tcW w:w="11656" w:type="dxa"/>
            <w:vAlign w:val="center"/>
          </w:tcPr>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履约保证金金额：中标人为中小微企业的，履约保证金为合同金额的2%，大型企业的履约保证金为合同金额的5%（以响应文件中提交的中小企业声明函为依据）；签订合同前交至指定账户，否则不予签订合同（履约保证金缴纳时须备注项目名称+项目编号。）</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履约保证金递交方式：银行转账、电汇或者银行出具的保函等非现金方式。由中标人在签订合同前按规定的金额直接缴入以下采购人账户。凭履约保证金缴纳凭证签订合同。</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户名</w:t>
            </w:r>
            <w:r>
              <w:rPr>
                <w:rFonts w:hint="eastAsia" w:ascii="仿宋" w:hAnsi="仿宋" w:eastAsia="仿宋" w:cs="仿宋"/>
                <w:sz w:val="24"/>
                <w:szCs w:val="24"/>
                <w:lang w:eastAsia="zh-CN"/>
              </w:rPr>
              <w:t>：</w:t>
            </w:r>
            <w:r>
              <w:rPr>
                <w:rFonts w:hint="eastAsia" w:ascii="仿宋" w:hAnsi="仿宋" w:eastAsia="仿宋" w:cs="仿宋"/>
                <w:sz w:val="24"/>
                <w:szCs w:val="24"/>
              </w:rPr>
              <w:t xml:space="preserve">广西中医药大学  </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开户行：中国银行股份有限公司南宁市明秀东支行</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账号：621057498215</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地址：南宁市五合大道13号 </w:t>
            </w:r>
          </w:p>
          <w:p>
            <w:pPr>
              <w:spacing w:line="3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0771-4953625</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缴纳履约保证金注明：“项目名称+项目编号”履约保证金。</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履约保证金退付方式、时间及条件：中标人若不能完全履行合同，履约保证金不返还；中标人若完全履行合同，货物验收合格后，由</w:t>
            </w:r>
            <w:r>
              <w:rPr>
                <w:rFonts w:hint="eastAsia" w:ascii="仿宋" w:hAnsi="仿宋" w:eastAsia="仿宋" w:cs="仿宋"/>
                <w:sz w:val="24"/>
                <w:szCs w:val="24"/>
                <w:highlight w:val="none"/>
                <w:lang w:val="en-US" w:eastAsia="zh-CN"/>
              </w:rPr>
              <w:t>成交</w:t>
            </w:r>
            <w:r>
              <w:rPr>
                <w:rFonts w:hint="eastAsia" w:ascii="仿宋" w:hAnsi="仿宋" w:eastAsia="仿宋" w:cs="仿宋"/>
                <w:b w:val="0"/>
                <w:kern w:val="2"/>
                <w:sz w:val="24"/>
                <w:szCs w:val="24"/>
                <w:highlight w:val="none"/>
                <w:lang w:val="en-US" w:eastAsia="zh-CN" w:bidi="ar-SA"/>
              </w:rPr>
              <w:t>供应商</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提</w:t>
            </w:r>
            <w:r>
              <w:rPr>
                <w:rFonts w:hint="eastAsia" w:ascii="仿宋" w:hAnsi="仿宋" w:eastAsia="仿宋" w:cs="仿宋"/>
                <w:sz w:val="24"/>
                <w:szCs w:val="24"/>
              </w:rPr>
              <w:t>供《广西壮族自治区政府采购项目合同验收书》。中标人凭履约保证金缴款凭证、《项目履约保证金退付意见书》到采购人财务部门办理无息退还手续。</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备注：</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（1）履约保证金不足额缴纳的，或银行出具的保函额度不足的或者银行保函有效期低于合同履行期限（即签订采购合同之日起至履行完合同约定的权利及义务之日止）的，不予签订合同。</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（2）采用银行出具的保函的，必须为无条件的银行保函，否则不予签订合同。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0" w:hRule="atLeast"/>
        </w:trPr>
        <w:tc>
          <w:tcPr>
            <w:tcW w:w="191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小样要求</w:t>
            </w:r>
          </w:p>
        </w:tc>
        <w:tc>
          <w:tcPr>
            <w:tcW w:w="11656" w:type="dxa"/>
            <w:vAlign w:val="center"/>
          </w:tcPr>
          <w:tbl>
            <w:tblPr>
              <w:tblStyle w:val="11"/>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50"/>
              <w:gridCol w:w="1822"/>
              <w:gridCol w:w="145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项号</w:t>
                  </w:r>
                </w:p>
              </w:tc>
              <w:tc>
                <w:tcPr>
                  <w:tcW w:w="1350"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bCs/>
                      <w:color w:val="auto"/>
                      <w:sz w:val="24"/>
                      <w:szCs w:val="24"/>
                      <w:highlight w:val="none"/>
                    </w:rPr>
                    <w:t>货物名称</w:t>
                  </w:r>
                </w:p>
              </w:tc>
              <w:tc>
                <w:tcPr>
                  <w:tcW w:w="1822"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小样名称</w:t>
                  </w:r>
                </w:p>
              </w:tc>
              <w:tc>
                <w:tcPr>
                  <w:tcW w:w="1450"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数量</w:t>
                  </w:r>
                </w:p>
              </w:tc>
              <w:tc>
                <w:tcPr>
                  <w:tcW w:w="2293"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0" w:type="dxa"/>
                  <w:vMerge w:val="restart"/>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sz w:val="24"/>
                      <w:szCs w:val="24"/>
                      <w:highlight w:val="none"/>
                      <w:lang w:val="en-US" w:eastAsia="zh-CN"/>
                    </w:rPr>
                    <w:t>组合床</w:t>
                  </w:r>
                </w:p>
              </w:tc>
              <w:tc>
                <w:tcPr>
                  <w:tcW w:w="1822"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床立柱</w:t>
                  </w:r>
                </w:p>
              </w:tc>
              <w:tc>
                <w:tcPr>
                  <w:tcW w:w="1450"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长度</w:t>
                  </w:r>
                  <w:r>
                    <w:rPr>
                      <w:rFonts w:hint="eastAsia" w:ascii="仿宋" w:hAnsi="仿宋" w:eastAsia="仿宋" w:cs="仿宋"/>
                      <w:strike w:val="0"/>
                      <w:color w:val="auto"/>
                      <w:sz w:val="24"/>
                      <w:szCs w:val="24"/>
                      <w:highlight w:val="none"/>
                      <w:lang w:val="en-US" w:eastAsia="zh-CN"/>
                    </w:rPr>
                    <w:t>约30</w:t>
                  </w:r>
                  <w:r>
                    <w:rPr>
                      <w:rFonts w:hint="eastAsia" w:ascii="仿宋" w:hAnsi="仿宋" w:eastAsia="仿宋" w:cs="仿宋"/>
                      <w:strike w:val="0"/>
                      <w:color w:val="auto"/>
                      <w:sz w:val="24"/>
                      <w:szCs w:val="24"/>
                      <w:highlight w:val="none"/>
                    </w:rPr>
                    <w:t>0mm，（</w:t>
                  </w:r>
                  <w:r>
                    <w:rPr>
                      <w:rFonts w:hint="eastAsia" w:ascii="仿宋" w:hAnsi="仿宋" w:eastAsia="仿宋" w:cs="仿宋"/>
                      <w:strike w:val="0"/>
                      <w:color w:val="auto"/>
                      <w:sz w:val="24"/>
                      <w:szCs w:val="24"/>
                      <w:highlight w:val="none"/>
                      <w:lang w:val="en-US" w:eastAsia="zh-CN"/>
                    </w:rPr>
                    <w:t>要求开四个挂件孔位</w:t>
                  </w:r>
                  <w:r>
                    <w:rPr>
                      <w:rFonts w:hint="eastAsia" w:ascii="仿宋" w:hAnsi="仿宋" w:eastAsia="仿宋" w:cs="仿宋"/>
                      <w:strike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4" w:type="dxa"/>
                  <w:vMerge w:val="continue"/>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rPr>
                  </w:pPr>
                </w:p>
              </w:tc>
              <w:tc>
                <w:tcPr>
                  <w:tcW w:w="1822"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床母（床横梁）</w:t>
                  </w:r>
                </w:p>
              </w:tc>
              <w:tc>
                <w:tcPr>
                  <w:tcW w:w="1450"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trike w:val="0"/>
                      <w:color w:val="auto"/>
                      <w:sz w:val="24"/>
                      <w:szCs w:val="24"/>
                      <w:highlight w:val="none"/>
                      <w:lang w:val="en-US" w:eastAsia="zh-CN"/>
                    </w:rPr>
                    <w:t>连接处正面需满焊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p>
              </w:tc>
              <w:tc>
                <w:tcPr>
                  <w:tcW w:w="1350" w:type="dxa"/>
                  <w:vMerge w:val="continue"/>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rPr>
                  </w:pPr>
                </w:p>
              </w:tc>
              <w:tc>
                <w:tcPr>
                  <w:tcW w:w="1822"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挂件（床连接扣件）</w:t>
                  </w:r>
                </w:p>
              </w:tc>
              <w:tc>
                <w:tcPr>
                  <w:tcW w:w="1450"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trike w:val="0"/>
                      <w:color w:val="auto"/>
                      <w:sz w:val="24"/>
                      <w:szCs w:val="24"/>
                      <w:highlight w:val="none"/>
                      <w:lang w:val="en-US" w:eastAsia="zh-CN"/>
                    </w:rPr>
                    <w:t>2.0mm厚钢板冲压成型4扣榫卯内L（越承重越紧固）分左右，成型尺寸不小于27*27*195mm。正面需满焊</w:t>
                  </w:r>
                </w:p>
              </w:tc>
            </w:tr>
          </w:tbl>
          <w:p>
            <w:pPr>
              <w:spacing w:line="3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eastAsia="zh-CN"/>
              </w:rPr>
              <w:t>截止当日下午17:00点前，将小样送至</w:t>
            </w:r>
            <w:r>
              <w:rPr>
                <w:rFonts w:hint="eastAsia" w:ascii="仿宋" w:hAnsi="仿宋" w:eastAsia="仿宋" w:cs="仿宋"/>
                <w:b w:val="0"/>
                <w:color w:val="auto"/>
                <w:kern w:val="2"/>
                <w:sz w:val="24"/>
                <w:szCs w:val="24"/>
                <w:highlight w:val="none"/>
                <w:lang w:val="en" w:eastAsia="zh-CN" w:bidi="ar-SA"/>
              </w:rPr>
              <w:t>广西南宁市青秀区五合大道13号广西中医药大学仙葫校区后勤楼509室</w:t>
            </w:r>
            <w:r>
              <w:rPr>
                <w:rFonts w:hint="eastAsia" w:ascii="仿宋" w:hAnsi="仿宋" w:eastAsia="仿宋" w:cs="仿宋"/>
                <w:color w:val="auto"/>
                <w:sz w:val="24"/>
                <w:szCs w:val="24"/>
                <w:highlight w:val="none"/>
                <w:lang w:val="en-US" w:eastAsia="zh-CN"/>
              </w:rPr>
              <w:t>供核验，</w:t>
            </w:r>
            <w:r>
              <w:rPr>
                <w:rFonts w:hint="eastAsia" w:ascii="仿宋" w:hAnsi="仿宋" w:eastAsia="仿宋" w:cs="仿宋"/>
                <w:b w:val="0"/>
                <w:color w:val="auto"/>
                <w:kern w:val="2"/>
                <w:sz w:val="24"/>
                <w:szCs w:val="24"/>
                <w:highlight w:val="none"/>
                <w:lang w:val="en" w:eastAsia="zh-CN" w:bidi="ar-SA"/>
              </w:rPr>
              <w:t>逾期送达的将予以拒收（</w:t>
            </w:r>
            <w:r>
              <w:rPr>
                <w:rFonts w:hint="eastAsia" w:ascii="仿宋" w:hAnsi="仿宋" w:eastAsia="仿宋" w:cs="仿宋"/>
                <w:b w:val="0"/>
                <w:color w:val="auto"/>
                <w:kern w:val="2"/>
                <w:sz w:val="24"/>
                <w:szCs w:val="24"/>
                <w:highlight w:val="none"/>
                <w:lang w:val="en-US" w:eastAsia="zh-CN" w:bidi="ar-SA"/>
              </w:rPr>
              <w:t>联系人：唐老师 15240660760</w:t>
            </w:r>
            <w:r>
              <w:rPr>
                <w:rFonts w:hint="eastAsia" w:ascii="仿宋" w:hAnsi="仿宋" w:eastAsia="仿宋" w:cs="仿宋"/>
                <w:b w:val="0"/>
                <w:color w:val="auto"/>
                <w:kern w:val="2"/>
                <w:sz w:val="24"/>
                <w:szCs w:val="24"/>
                <w:highlight w:val="none"/>
                <w:lang w:val="en" w:eastAsia="zh-CN" w:bidi="ar-SA"/>
              </w:rPr>
              <w:t>）。</w:t>
            </w:r>
            <w:r>
              <w:rPr>
                <w:rFonts w:hint="eastAsia" w:ascii="仿宋" w:hAnsi="仿宋" w:eastAsia="仿宋" w:cs="仿宋"/>
                <w:b w:val="0"/>
                <w:kern w:val="2"/>
                <w:sz w:val="24"/>
                <w:szCs w:val="24"/>
                <w:highlight w:val="none"/>
                <w:lang w:val="en-US" w:eastAsia="zh-CN" w:bidi="ar-SA"/>
              </w:rPr>
              <w:t>未</w:t>
            </w:r>
            <w:r>
              <w:rPr>
                <w:rFonts w:hint="eastAsia" w:ascii="仿宋" w:hAnsi="仿宋" w:eastAsia="仿宋" w:cs="仿宋"/>
                <w:b w:val="0"/>
                <w:kern w:val="2"/>
                <w:sz w:val="24"/>
                <w:szCs w:val="24"/>
                <w:highlight w:val="none"/>
                <w:lang w:val="en" w:eastAsia="zh-CN" w:bidi="ar-SA"/>
              </w:rPr>
              <w:t>能</w:t>
            </w:r>
            <w:r>
              <w:rPr>
                <w:rFonts w:hint="eastAsia" w:ascii="仿宋" w:hAnsi="仿宋" w:eastAsia="仿宋" w:cs="仿宋"/>
                <w:b w:val="0"/>
                <w:kern w:val="2"/>
                <w:sz w:val="24"/>
                <w:szCs w:val="24"/>
                <w:highlight w:val="none"/>
                <w:lang w:val="en-US" w:eastAsia="zh-CN" w:bidi="ar-SA"/>
              </w:rPr>
              <w:t>按时</w:t>
            </w:r>
            <w:r>
              <w:rPr>
                <w:rFonts w:hint="eastAsia" w:ascii="仿宋" w:hAnsi="仿宋" w:eastAsia="仿宋" w:cs="仿宋"/>
                <w:b w:val="0"/>
                <w:kern w:val="2"/>
                <w:sz w:val="24"/>
                <w:szCs w:val="24"/>
                <w:highlight w:val="none"/>
                <w:lang w:val="en" w:eastAsia="zh-CN" w:bidi="ar-SA"/>
              </w:rPr>
              <w:t>提供上述</w:t>
            </w:r>
            <w:r>
              <w:rPr>
                <w:rFonts w:hint="eastAsia" w:ascii="仿宋" w:hAnsi="仿宋" w:eastAsia="仿宋" w:cs="仿宋"/>
                <w:b w:val="0"/>
                <w:kern w:val="2"/>
                <w:sz w:val="24"/>
                <w:szCs w:val="24"/>
                <w:highlight w:val="none"/>
                <w:lang w:val="en-US" w:eastAsia="zh-CN" w:bidi="ar-SA"/>
              </w:rPr>
              <w:t>小</w:t>
            </w:r>
            <w:r>
              <w:rPr>
                <w:rFonts w:hint="eastAsia" w:ascii="仿宋" w:hAnsi="仿宋" w:eastAsia="仿宋" w:cs="仿宋"/>
                <w:b w:val="0"/>
                <w:kern w:val="2"/>
                <w:sz w:val="24"/>
                <w:szCs w:val="24"/>
                <w:highlight w:val="none"/>
                <w:lang w:val="en" w:eastAsia="zh-CN" w:bidi="ar-SA"/>
              </w:rPr>
              <w:t>样或</w:t>
            </w:r>
            <w:r>
              <w:rPr>
                <w:rFonts w:hint="eastAsia" w:ascii="仿宋" w:hAnsi="仿宋" w:eastAsia="仿宋" w:cs="仿宋"/>
                <w:b w:val="0"/>
                <w:kern w:val="2"/>
                <w:sz w:val="24"/>
                <w:szCs w:val="24"/>
                <w:highlight w:val="none"/>
                <w:lang w:val="en-US" w:eastAsia="zh-CN" w:bidi="ar-SA"/>
              </w:rPr>
              <w:t>小</w:t>
            </w:r>
            <w:r>
              <w:rPr>
                <w:rFonts w:hint="eastAsia" w:ascii="仿宋" w:hAnsi="仿宋" w:eastAsia="仿宋" w:cs="仿宋"/>
                <w:b w:val="0"/>
                <w:kern w:val="2"/>
                <w:sz w:val="24"/>
                <w:szCs w:val="24"/>
                <w:highlight w:val="none"/>
                <w:lang w:val="en" w:eastAsia="zh-CN" w:bidi="ar-SA"/>
              </w:rPr>
              <w:t>样不符合技术参数及性能（配置）的，</w:t>
            </w:r>
            <w:r>
              <w:rPr>
                <w:rFonts w:hint="eastAsia" w:ascii="仿宋" w:hAnsi="仿宋" w:eastAsia="仿宋" w:cs="仿宋"/>
                <w:b w:val="0"/>
                <w:color w:val="auto"/>
                <w:kern w:val="2"/>
                <w:sz w:val="24"/>
                <w:szCs w:val="24"/>
                <w:highlight w:val="none"/>
                <w:lang w:val="en" w:eastAsia="zh-CN" w:bidi="ar-SA"/>
              </w:rPr>
              <w:t>视为</w:t>
            </w:r>
            <w:r>
              <w:rPr>
                <w:rFonts w:hint="eastAsia" w:ascii="仿宋" w:hAnsi="仿宋" w:eastAsia="仿宋" w:cs="仿宋"/>
                <w:b w:val="0"/>
                <w:color w:val="auto"/>
                <w:kern w:val="2"/>
                <w:sz w:val="24"/>
                <w:szCs w:val="24"/>
                <w:highlight w:val="none"/>
                <w:lang w:val="en-US" w:eastAsia="zh-CN" w:bidi="ar-SA"/>
              </w:rPr>
              <w:t>报价无效</w:t>
            </w:r>
            <w:r>
              <w:rPr>
                <w:rFonts w:hint="eastAsia" w:ascii="仿宋" w:hAnsi="仿宋" w:eastAsia="仿宋" w:cs="仿宋"/>
                <w:b w:val="0"/>
                <w:color w:val="auto"/>
                <w:kern w:val="2"/>
                <w:sz w:val="24"/>
                <w:szCs w:val="24"/>
                <w:highlight w:val="none"/>
                <w:lang w:val="en" w:eastAsia="zh-CN" w:bidi="ar-SA"/>
              </w:rPr>
              <w:t>。</w:t>
            </w:r>
            <w:r>
              <w:rPr>
                <w:rFonts w:hint="eastAsia" w:ascii="仿宋" w:hAnsi="仿宋" w:eastAsia="仿宋" w:cs="仿宋"/>
                <w:color w:val="auto"/>
                <w:sz w:val="24"/>
                <w:szCs w:val="24"/>
                <w:highlight w:val="none"/>
                <w:lang w:val="en-US" w:eastAsia="zh-CN"/>
              </w:rPr>
              <w:t>成交供应商的</w:t>
            </w:r>
            <w:r>
              <w:rPr>
                <w:rFonts w:hint="eastAsia" w:ascii="仿宋" w:hAnsi="仿宋" w:eastAsia="仿宋" w:cs="仿宋"/>
                <w:b w:val="0"/>
                <w:kern w:val="2"/>
                <w:sz w:val="24"/>
                <w:szCs w:val="24"/>
                <w:highlight w:val="none"/>
                <w:lang w:val="en" w:eastAsia="zh-CN" w:bidi="ar-SA"/>
              </w:rPr>
              <w:t>小样</w:t>
            </w:r>
            <w:r>
              <w:rPr>
                <w:rFonts w:hint="eastAsia" w:ascii="仿宋" w:hAnsi="仿宋" w:eastAsia="仿宋" w:cs="仿宋"/>
                <w:b w:val="0"/>
                <w:kern w:val="2"/>
                <w:sz w:val="24"/>
                <w:szCs w:val="24"/>
                <w:highlight w:val="none"/>
                <w:lang w:val="en-US" w:eastAsia="zh-CN" w:bidi="ar-SA"/>
              </w:rPr>
              <w:t>将留存</w:t>
            </w:r>
            <w:r>
              <w:rPr>
                <w:rFonts w:hint="eastAsia" w:ascii="仿宋" w:hAnsi="仿宋" w:eastAsia="仿宋" w:cs="仿宋"/>
                <w:b w:val="0"/>
                <w:kern w:val="2"/>
                <w:sz w:val="24"/>
                <w:szCs w:val="24"/>
                <w:highlight w:val="none"/>
                <w:lang w:val="en" w:eastAsia="zh-CN" w:bidi="ar-SA"/>
              </w:rPr>
              <w:t>作</w:t>
            </w:r>
            <w:r>
              <w:rPr>
                <w:rFonts w:hint="eastAsia" w:ascii="仿宋" w:hAnsi="仿宋" w:eastAsia="仿宋" w:cs="仿宋"/>
                <w:b w:val="0"/>
                <w:kern w:val="2"/>
                <w:sz w:val="24"/>
                <w:szCs w:val="24"/>
                <w:lang w:val="en" w:eastAsia="zh-CN" w:bidi="ar-SA"/>
              </w:rPr>
              <w:t>为验收依据。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其它要求及说明</w:t>
            </w:r>
          </w:p>
        </w:tc>
        <w:tc>
          <w:tcPr>
            <w:tcW w:w="11656" w:type="dxa"/>
            <w:vAlign w:val="center"/>
          </w:tcPr>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1、投标人请务必认真了解项目采购需求和要求(本项目供应商报价</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rPr>
              <w:t>品牌：懿德轩、桂红光、菲木森，供应商不得以任何埋由更改设备配置，配置必须是原厂出厂标配，否则报价将无效)，为确保采购人的合法权益，</w:t>
            </w: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不是生产厂家的</w:t>
            </w:r>
            <w:r>
              <w:rPr>
                <w:rFonts w:hint="eastAsia" w:ascii="仿宋" w:hAnsi="仿宋" w:eastAsia="仿宋" w:cs="仿宋"/>
                <w:sz w:val="24"/>
                <w:szCs w:val="24"/>
                <w:highlight w:val="none"/>
              </w:rPr>
              <w:t>在</w:t>
            </w:r>
            <w:r>
              <w:rPr>
                <w:rFonts w:hint="eastAsia" w:ascii="仿宋" w:hAnsi="仿宋" w:eastAsia="仿宋" w:cs="仿宋"/>
                <w:sz w:val="24"/>
                <w:szCs w:val="24"/>
              </w:rPr>
              <w:t>投标报价时需针对本次项目采购的产品出具生产厂家产品销售授权书，并按要求上传加盖供应商公章的相关材料，否则报价无效。</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lang w:val="en-US" w:eastAsia="zh-CN"/>
              </w:rPr>
              <w:t>成交</w:t>
            </w:r>
            <w:r>
              <w:rPr>
                <w:rFonts w:hint="eastAsia" w:ascii="仿宋" w:hAnsi="仿宋" w:eastAsia="仿宋" w:cs="仿宋"/>
                <w:b w:val="0"/>
                <w:kern w:val="2"/>
                <w:sz w:val="24"/>
                <w:szCs w:val="24"/>
                <w:highlight w:val="none"/>
                <w:lang w:val="en-US" w:eastAsia="zh-CN" w:bidi="ar-SA"/>
              </w:rPr>
              <w:t>供应商</w:t>
            </w:r>
            <w:r>
              <w:rPr>
                <w:rFonts w:hint="eastAsia" w:ascii="仿宋" w:hAnsi="仿宋" w:eastAsia="仿宋" w:cs="仿宋"/>
                <w:sz w:val="24"/>
                <w:szCs w:val="24"/>
              </w:rPr>
              <w:t>保证向采购人提供的货物是全新、完整、未使用过的。</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3、本项目不接受进口产品（即通过中国海关报关验放进入中国境内且产自关境外的产品）参与竞标。</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中标公示期内，成交供应商须向采购方提供符合技术参数及性能配置要求中所有相应的检测报告（原件核查），如不提供或提供不相符，视为不能履约，采购单位将上报政府采购主管部门按有关规定进行处理。</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、成交供应商在制作前应联系使用部门确定货品的尺寸、型号、款式及颜色等。</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、常用的、容易损坏的配件（三合一连接件、导轨、铰链、自攻螺钉等）的优惠价格清单</w:t>
            </w:r>
            <w:bookmarkStart w:id="2" w:name="_GoBack"/>
            <w:bookmarkEnd w:id="2"/>
            <w:r>
              <w:rPr>
                <w:rFonts w:hint="eastAsia" w:ascii="仿宋" w:hAnsi="仿宋" w:eastAsia="仿宋" w:cs="仿宋"/>
                <w:sz w:val="24"/>
                <w:szCs w:val="24"/>
              </w:rPr>
              <w:t>须在响应文件中列出。</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、采购数量是拟定数量，增加或减少以实际采购数量为准,并以成交单价为标准进行最终核算</w:t>
            </w:r>
          </w:p>
          <w:p>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、报价时必须提供：</w:t>
            </w:r>
          </w:p>
          <w:p>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（1）设计方案。方案中要有整套组合床设计结构图纸、产品部件图片及规格尺寸、产品使用功能描述等内容。</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售后服务方案。方案中要有响应故障处理要求后到达现场修理解决的时长承诺，售后服务团队介绍、定期维护方案（应列明维护时间、人员、材料等安排，维护标准等）、质保期、三包（包退、包换、包修）承诺；</w:t>
            </w:r>
          </w:p>
          <w:p>
            <w:pPr>
              <w:spacing w:line="3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highlight w:val="none"/>
                <w:lang w:val="en-US" w:eastAsia="zh-CN"/>
              </w:rPr>
              <w:t>请于</w:t>
            </w:r>
            <w:r>
              <w:rPr>
                <w:rFonts w:hint="eastAsia" w:ascii="仿宋" w:hAnsi="仿宋" w:eastAsia="仿宋" w:cs="仿宋"/>
                <w:color w:val="auto"/>
                <w:sz w:val="24"/>
                <w:szCs w:val="24"/>
                <w:highlight w:val="none"/>
                <w:lang w:val="en-US" w:eastAsia="zh-CN"/>
              </w:rPr>
              <w:t>在线询价结束报价当日下午17:00点前，将小样送至</w:t>
            </w:r>
            <w:r>
              <w:rPr>
                <w:rFonts w:hint="eastAsia" w:ascii="仿宋" w:hAnsi="仿宋" w:eastAsia="仿宋" w:cs="仿宋"/>
                <w:b w:val="0"/>
                <w:color w:val="auto"/>
                <w:kern w:val="2"/>
                <w:sz w:val="24"/>
                <w:szCs w:val="24"/>
                <w:highlight w:val="none"/>
                <w:lang w:val="en" w:eastAsia="zh-CN" w:bidi="ar-SA"/>
              </w:rPr>
              <w:t>广西南宁市青秀区五合大道13号广西中医药大学仙葫校区后勤楼509室</w:t>
            </w:r>
            <w:r>
              <w:rPr>
                <w:rFonts w:hint="eastAsia" w:ascii="仿宋" w:hAnsi="仿宋" w:eastAsia="仿宋" w:cs="仿宋"/>
                <w:color w:val="auto"/>
                <w:sz w:val="24"/>
                <w:szCs w:val="24"/>
                <w:highlight w:val="none"/>
                <w:lang w:val="en-US" w:eastAsia="zh-CN"/>
              </w:rPr>
              <w:t>供核验，</w:t>
            </w:r>
            <w:r>
              <w:rPr>
                <w:rFonts w:hint="eastAsia" w:ascii="仿宋" w:hAnsi="仿宋" w:eastAsia="仿宋" w:cs="仿宋"/>
                <w:b w:val="0"/>
                <w:color w:val="auto"/>
                <w:kern w:val="2"/>
                <w:sz w:val="24"/>
                <w:szCs w:val="24"/>
                <w:highlight w:val="none"/>
                <w:lang w:val="en" w:eastAsia="zh-CN" w:bidi="ar-SA"/>
              </w:rPr>
              <w:t>逾期送达的将予以拒收（</w:t>
            </w:r>
            <w:r>
              <w:rPr>
                <w:rFonts w:hint="eastAsia" w:ascii="仿宋" w:hAnsi="仿宋" w:eastAsia="仿宋" w:cs="仿宋"/>
                <w:b w:val="0"/>
                <w:color w:val="auto"/>
                <w:kern w:val="2"/>
                <w:sz w:val="24"/>
                <w:szCs w:val="24"/>
                <w:highlight w:val="none"/>
                <w:lang w:val="en-US" w:eastAsia="zh-CN" w:bidi="ar-SA"/>
              </w:rPr>
              <w:t>联系人：唐老师 15240660760</w:t>
            </w:r>
            <w:r>
              <w:rPr>
                <w:rFonts w:hint="eastAsia" w:ascii="仿宋" w:hAnsi="仿宋" w:eastAsia="仿宋" w:cs="仿宋"/>
                <w:b w:val="0"/>
                <w:color w:val="auto"/>
                <w:kern w:val="2"/>
                <w:sz w:val="24"/>
                <w:szCs w:val="24"/>
                <w:highlight w:val="none"/>
                <w:lang w:val="en" w:eastAsia="zh-CN" w:bidi="ar-SA"/>
              </w:rPr>
              <w:t>）。</w:t>
            </w:r>
            <w:r>
              <w:rPr>
                <w:rFonts w:hint="eastAsia" w:ascii="仿宋" w:hAnsi="仿宋" w:eastAsia="仿宋" w:cs="仿宋"/>
                <w:b w:val="0"/>
                <w:kern w:val="2"/>
                <w:sz w:val="24"/>
                <w:szCs w:val="24"/>
                <w:highlight w:val="none"/>
                <w:lang w:val="en-US" w:eastAsia="zh-CN" w:bidi="ar-SA"/>
              </w:rPr>
              <w:t>未</w:t>
            </w:r>
            <w:r>
              <w:rPr>
                <w:rFonts w:hint="eastAsia" w:ascii="仿宋" w:hAnsi="仿宋" w:eastAsia="仿宋" w:cs="仿宋"/>
                <w:b w:val="0"/>
                <w:kern w:val="2"/>
                <w:sz w:val="24"/>
                <w:szCs w:val="24"/>
                <w:highlight w:val="none"/>
                <w:lang w:val="en" w:eastAsia="zh-CN" w:bidi="ar-SA"/>
              </w:rPr>
              <w:t>能</w:t>
            </w:r>
            <w:r>
              <w:rPr>
                <w:rFonts w:hint="eastAsia" w:ascii="仿宋" w:hAnsi="仿宋" w:eastAsia="仿宋" w:cs="仿宋"/>
                <w:b w:val="0"/>
                <w:kern w:val="2"/>
                <w:sz w:val="24"/>
                <w:szCs w:val="24"/>
                <w:highlight w:val="none"/>
                <w:lang w:val="en-US" w:eastAsia="zh-CN" w:bidi="ar-SA"/>
              </w:rPr>
              <w:t>按时</w:t>
            </w:r>
            <w:r>
              <w:rPr>
                <w:rFonts w:hint="eastAsia" w:ascii="仿宋" w:hAnsi="仿宋" w:eastAsia="仿宋" w:cs="仿宋"/>
                <w:b w:val="0"/>
                <w:kern w:val="2"/>
                <w:sz w:val="24"/>
                <w:szCs w:val="24"/>
                <w:highlight w:val="none"/>
                <w:lang w:val="en" w:eastAsia="zh-CN" w:bidi="ar-SA"/>
              </w:rPr>
              <w:t>提供上述</w:t>
            </w:r>
            <w:r>
              <w:rPr>
                <w:rFonts w:hint="eastAsia" w:ascii="仿宋" w:hAnsi="仿宋" w:eastAsia="仿宋" w:cs="仿宋"/>
                <w:b w:val="0"/>
                <w:kern w:val="2"/>
                <w:sz w:val="24"/>
                <w:szCs w:val="24"/>
                <w:highlight w:val="none"/>
                <w:lang w:val="en-US" w:eastAsia="zh-CN" w:bidi="ar-SA"/>
              </w:rPr>
              <w:t>小</w:t>
            </w:r>
            <w:r>
              <w:rPr>
                <w:rFonts w:hint="eastAsia" w:ascii="仿宋" w:hAnsi="仿宋" w:eastAsia="仿宋" w:cs="仿宋"/>
                <w:b w:val="0"/>
                <w:kern w:val="2"/>
                <w:sz w:val="24"/>
                <w:szCs w:val="24"/>
                <w:highlight w:val="none"/>
                <w:lang w:val="en" w:eastAsia="zh-CN" w:bidi="ar-SA"/>
              </w:rPr>
              <w:t>样或</w:t>
            </w:r>
            <w:r>
              <w:rPr>
                <w:rFonts w:hint="eastAsia" w:ascii="仿宋" w:hAnsi="仿宋" w:eastAsia="仿宋" w:cs="仿宋"/>
                <w:b w:val="0"/>
                <w:kern w:val="2"/>
                <w:sz w:val="24"/>
                <w:szCs w:val="24"/>
                <w:highlight w:val="none"/>
                <w:lang w:val="en-US" w:eastAsia="zh-CN" w:bidi="ar-SA"/>
              </w:rPr>
              <w:t>小</w:t>
            </w:r>
            <w:r>
              <w:rPr>
                <w:rFonts w:hint="eastAsia" w:ascii="仿宋" w:hAnsi="仿宋" w:eastAsia="仿宋" w:cs="仿宋"/>
                <w:b w:val="0"/>
                <w:kern w:val="2"/>
                <w:sz w:val="24"/>
                <w:szCs w:val="24"/>
                <w:highlight w:val="none"/>
                <w:lang w:val="en" w:eastAsia="zh-CN" w:bidi="ar-SA"/>
              </w:rPr>
              <w:t>样不符合技术参数及性能（配置）的，</w:t>
            </w:r>
            <w:r>
              <w:rPr>
                <w:rFonts w:hint="eastAsia" w:ascii="仿宋" w:hAnsi="仿宋" w:eastAsia="仿宋" w:cs="仿宋"/>
                <w:b w:val="0"/>
                <w:color w:val="auto"/>
                <w:kern w:val="2"/>
                <w:sz w:val="24"/>
                <w:szCs w:val="24"/>
                <w:highlight w:val="none"/>
                <w:lang w:val="en" w:eastAsia="zh-CN" w:bidi="ar-SA"/>
              </w:rPr>
              <w:t>视为</w:t>
            </w:r>
            <w:r>
              <w:rPr>
                <w:rFonts w:hint="eastAsia" w:ascii="仿宋" w:hAnsi="仿宋" w:eastAsia="仿宋" w:cs="仿宋"/>
                <w:b w:val="0"/>
                <w:color w:val="auto"/>
                <w:kern w:val="2"/>
                <w:sz w:val="24"/>
                <w:szCs w:val="24"/>
                <w:highlight w:val="none"/>
                <w:lang w:val="en-US" w:eastAsia="zh-CN" w:bidi="ar-SA"/>
              </w:rPr>
              <w:t>报价无效</w:t>
            </w:r>
            <w:r>
              <w:rPr>
                <w:rFonts w:hint="eastAsia" w:ascii="仿宋" w:hAnsi="仿宋" w:eastAsia="仿宋" w:cs="仿宋"/>
                <w:b w:val="0"/>
                <w:color w:val="auto"/>
                <w:kern w:val="2"/>
                <w:sz w:val="24"/>
                <w:szCs w:val="24"/>
                <w:highlight w:val="none"/>
                <w:lang w:val="en" w:eastAsia="zh-CN" w:bidi="ar-SA"/>
              </w:rPr>
              <w:t>。</w:t>
            </w: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、供应商在报价活动中提供任何虚假材料，其报价无效，并报监管部门查处；成交后发现的，</w:t>
            </w:r>
            <w:r>
              <w:rPr>
                <w:rFonts w:hint="eastAsia" w:ascii="仿宋" w:hAnsi="仿宋" w:eastAsia="仿宋" w:cs="仿宋"/>
                <w:sz w:val="24"/>
                <w:szCs w:val="24"/>
                <w:highlight w:val="none"/>
                <w:lang w:val="en-US" w:eastAsia="zh-CN"/>
              </w:rPr>
              <w:t>成交</w:t>
            </w:r>
            <w:r>
              <w:rPr>
                <w:rFonts w:hint="eastAsia" w:ascii="仿宋" w:hAnsi="仿宋" w:eastAsia="仿宋" w:cs="仿宋"/>
                <w:b w:val="0"/>
                <w:kern w:val="2"/>
                <w:sz w:val="24"/>
                <w:szCs w:val="24"/>
                <w:highlight w:val="none"/>
                <w:lang w:val="en-US" w:eastAsia="zh-CN" w:bidi="ar-SA"/>
              </w:rPr>
              <w:t>供应商</w:t>
            </w:r>
            <w:r>
              <w:rPr>
                <w:rFonts w:hint="eastAsia" w:ascii="仿宋" w:hAnsi="仿宋" w:eastAsia="仿宋" w:cs="仿宋"/>
                <w:sz w:val="24"/>
                <w:szCs w:val="24"/>
                <w:highlight w:val="none"/>
              </w:rPr>
              <w:t>须按照《中华人民共和国消费者权益保护法》相关规定赔偿采购人，且民事赔偿并不免除违法报</w:t>
            </w:r>
            <w:r>
              <w:rPr>
                <w:rFonts w:hint="eastAsia" w:ascii="仿宋" w:hAnsi="仿宋" w:eastAsia="仿宋" w:cs="仿宋"/>
                <w:sz w:val="24"/>
                <w:szCs w:val="24"/>
              </w:rPr>
              <w:t>价人的行政与刑事责任。</w:t>
            </w:r>
          </w:p>
        </w:tc>
      </w:tr>
    </w:tbl>
    <w:p/>
    <w:sectPr>
      <w:footerReference r:id="rId3" w:type="default"/>
      <w:pgSz w:w="16838" w:h="11906" w:orient="landscape"/>
      <w:pgMar w:top="850" w:right="680"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pPr>
      <w:pStyle w:val="6"/>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5743F"/>
    <w:multiLevelType w:val="singleLevel"/>
    <w:tmpl w:val="146574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0094"/>
    <w:rsid w:val="01690B62"/>
    <w:rsid w:val="01A200F0"/>
    <w:rsid w:val="022B3A95"/>
    <w:rsid w:val="03A37560"/>
    <w:rsid w:val="046B3792"/>
    <w:rsid w:val="052F2A11"/>
    <w:rsid w:val="05BC1DCB"/>
    <w:rsid w:val="05DE4D34"/>
    <w:rsid w:val="068B677B"/>
    <w:rsid w:val="06933875"/>
    <w:rsid w:val="082F2E37"/>
    <w:rsid w:val="0845254C"/>
    <w:rsid w:val="085877FA"/>
    <w:rsid w:val="093A7BD7"/>
    <w:rsid w:val="096E162E"/>
    <w:rsid w:val="0B7F426C"/>
    <w:rsid w:val="0DBE0DD6"/>
    <w:rsid w:val="0EEC0407"/>
    <w:rsid w:val="0FA77648"/>
    <w:rsid w:val="1115264F"/>
    <w:rsid w:val="12AF5192"/>
    <w:rsid w:val="12D2386F"/>
    <w:rsid w:val="137457DA"/>
    <w:rsid w:val="13A44272"/>
    <w:rsid w:val="152D239E"/>
    <w:rsid w:val="159348F7"/>
    <w:rsid w:val="169D1199"/>
    <w:rsid w:val="18B9619D"/>
    <w:rsid w:val="18BD6589"/>
    <w:rsid w:val="192166BD"/>
    <w:rsid w:val="1A3A75E5"/>
    <w:rsid w:val="1A5C6152"/>
    <w:rsid w:val="1AD11A1D"/>
    <w:rsid w:val="1BA84185"/>
    <w:rsid w:val="1D4209B0"/>
    <w:rsid w:val="1F7F5EEC"/>
    <w:rsid w:val="1FA66F8E"/>
    <w:rsid w:val="201E3957"/>
    <w:rsid w:val="220A5F40"/>
    <w:rsid w:val="22C75BE0"/>
    <w:rsid w:val="243454F7"/>
    <w:rsid w:val="246468EF"/>
    <w:rsid w:val="25AE178C"/>
    <w:rsid w:val="269E759F"/>
    <w:rsid w:val="272B19B3"/>
    <w:rsid w:val="279E1BCD"/>
    <w:rsid w:val="28100696"/>
    <w:rsid w:val="281573ED"/>
    <w:rsid w:val="2AF32E94"/>
    <w:rsid w:val="2B8C79C6"/>
    <w:rsid w:val="2C2E1B2B"/>
    <w:rsid w:val="2CA248AA"/>
    <w:rsid w:val="2CFF2E66"/>
    <w:rsid w:val="2D572256"/>
    <w:rsid w:val="2DC07DFB"/>
    <w:rsid w:val="2EB31349"/>
    <w:rsid w:val="2F7B2918"/>
    <w:rsid w:val="30490BD0"/>
    <w:rsid w:val="3078676B"/>
    <w:rsid w:val="30E3452C"/>
    <w:rsid w:val="316D72BF"/>
    <w:rsid w:val="318A49E7"/>
    <w:rsid w:val="31AC1E7E"/>
    <w:rsid w:val="340026B1"/>
    <w:rsid w:val="34D36666"/>
    <w:rsid w:val="34F70C27"/>
    <w:rsid w:val="35977A46"/>
    <w:rsid w:val="363650FE"/>
    <w:rsid w:val="37273F82"/>
    <w:rsid w:val="375E1BAE"/>
    <w:rsid w:val="37C91214"/>
    <w:rsid w:val="37D01397"/>
    <w:rsid w:val="37D746BF"/>
    <w:rsid w:val="382D0E39"/>
    <w:rsid w:val="387719FE"/>
    <w:rsid w:val="391C046E"/>
    <w:rsid w:val="396D6C11"/>
    <w:rsid w:val="3A156427"/>
    <w:rsid w:val="3A7769EA"/>
    <w:rsid w:val="3A8B46EE"/>
    <w:rsid w:val="3AAB598F"/>
    <w:rsid w:val="3B220A43"/>
    <w:rsid w:val="3B7E3526"/>
    <w:rsid w:val="3BA628E5"/>
    <w:rsid w:val="3C811B65"/>
    <w:rsid w:val="3C9B2663"/>
    <w:rsid w:val="3CC75C15"/>
    <w:rsid w:val="3D436353"/>
    <w:rsid w:val="3E587BDC"/>
    <w:rsid w:val="3F000CE0"/>
    <w:rsid w:val="3FC63272"/>
    <w:rsid w:val="412B15D8"/>
    <w:rsid w:val="4131274A"/>
    <w:rsid w:val="420C3CDA"/>
    <w:rsid w:val="43271C30"/>
    <w:rsid w:val="44225F56"/>
    <w:rsid w:val="45400E49"/>
    <w:rsid w:val="45AB081E"/>
    <w:rsid w:val="45DB35CC"/>
    <w:rsid w:val="46167A40"/>
    <w:rsid w:val="47F047FF"/>
    <w:rsid w:val="498E0795"/>
    <w:rsid w:val="4C2555A1"/>
    <w:rsid w:val="4C575977"/>
    <w:rsid w:val="4D8944FA"/>
    <w:rsid w:val="4DCA6281"/>
    <w:rsid w:val="4DCB3F26"/>
    <w:rsid w:val="509251CF"/>
    <w:rsid w:val="510A120A"/>
    <w:rsid w:val="51470A7D"/>
    <w:rsid w:val="52592449"/>
    <w:rsid w:val="527821A3"/>
    <w:rsid w:val="53BD1CB7"/>
    <w:rsid w:val="54447A47"/>
    <w:rsid w:val="5495703C"/>
    <w:rsid w:val="54CB3821"/>
    <w:rsid w:val="555D226B"/>
    <w:rsid w:val="56D62286"/>
    <w:rsid w:val="575612E0"/>
    <w:rsid w:val="58323FB4"/>
    <w:rsid w:val="58327464"/>
    <w:rsid w:val="5B865931"/>
    <w:rsid w:val="5C746AD2"/>
    <w:rsid w:val="5F023D65"/>
    <w:rsid w:val="5F33784A"/>
    <w:rsid w:val="602A0F80"/>
    <w:rsid w:val="60455DBA"/>
    <w:rsid w:val="60B82A30"/>
    <w:rsid w:val="62FA50E3"/>
    <w:rsid w:val="647852CA"/>
    <w:rsid w:val="657C186D"/>
    <w:rsid w:val="65F653FA"/>
    <w:rsid w:val="66D1263E"/>
    <w:rsid w:val="66FD4A00"/>
    <w:rsid w:val="672917F8"/>
    <w:rsid w:val="675114E9"/>
    <w:rsid w:val="67594AE6"/>
    <w:rsid w:val="69140A20"/>
    <w:rsid w:val="69B61AD7"/>
    <w:rsid w:val="6A9F256B"/>
    <w:rsid w:val="6B874B2B"/>
    <w:rsid w:val="6B9D3F2B"/>
    <w:rsid w:val="6C523D39"/>
    <w:rsid w:val="6C7954BC"/>
    <w:rsid w:val="6DFFBA6E"/>
    <w:rsid w:val="6E0F6687"/>
    <w:rsid w:val="6E272FA3"/>
    <w:rsid w:val="6E8FBD88"/>
    <w:rsid w:val="71FC043D"/>
    <w:rsid w:val="71FF3215"/>
    <w:rsid w:val="731B00BA"/>
    <w:rsid w:val="739FC602"/>
    <w:rsid w:val="73AA3099"/>
    <w:rsid w:val="77A71100"/>
    <w:rsid w:val="77BC6EA4"/>
    <w:rsid w:val="78C647CA"/>
    <w:rsid w:val="79DF2984"/>
    <w:rsid w:val="7ADB5881"/>
    <w:rsid w:val="7B2014A6"/>
    <w:rsid w:val="7B226FCC"/>
    <w:rsid w:val="7C3F021B"/>
    <w:rsid w:val="7C647170"/>
    <w:rsid w:val="7CAC3D05"/>
    <w:rsid w:val="7DC71FDC"/>
    <w:rsid w:val="7DF94C66"/>
    <w:rsid w:val="7E9006F1"/>
    <w:rsid w:val="7FFFAB8C"/>
    <w:rsid w:val="BBFF3D65"/>
    <w:rsid w:val="BFAFB34F"/>
    <w:rsid w:val="F49B7AD2"/>
    <w:rsid w:val="FFFDD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9"/>
    <w:qFormat/>
    <w:uiPriority w:val="99"/>
    <w:pPr>
      <w:jc w:val="left"/>
    </w:pPr>
  </w:style>
  <w:style w:type="paragraph" w:styleId="4">
    <w:name w:val="Body Text"/>
    <w:basedOn w:val="1"/>
    <w:next w:val="1"/>
    <w:link w:val="16"/>
    <w:qFormat/>
    <w:uiPriority w:val="1"/>
    <w:pPr>
      <w:autoSpaceDE w:val="0"/>
      <w:autoSpaceDN w:val="0"/>
      <w:jc w:val="left"/>
    </w:pPr>
    <w:rPr>
      <w:rFonts w:ascii="宋体" w:hAnsi="宋体" w:cs="Times New Roman"/>
      <w:kern w:val="0"/>
      <w:sz w:val="20"/>
      <w:szCs w:val="24"/>
    </w:rPr>
  </w:style>
  <w:style w:type="paragraph" w:styleId="5">
    <w:name w:val="Balloon Text"/>
    <w:basedOn w:val="1"/>
    <w:link w:val="15"/>
    <w:qFormat/>
    <w:uiPriority w:val="99"/>
    <w:rPr>
      <w:sz w:val="18"/>
      <w:szCs w:val="18"/>
    </w:rPr>
  </w:style>
  <w:style w:type="paragraph" w:styleId="6">
    <w:name w:val="footer"/>
    <w:basedOn w:val="1"/>
    <w:link w:val="17"/>
    <w:qFormat/>
    <w:uiPriority w:val="99"/>
    <w:pPr>
      <w:tabs>
        <w:tab w:val="center" w:pos="4153"/>
        <w:tab w:val="right" w:pos="8306"/>
      </w:tabs>
      <w:jc w:val="left"/>
    </w:pPr>
    <w:rPr>
      <w:sz w:val="18"/>
      <w:szCs w:val="18"/>
    </w:rPr>
  </w:style>
  <w:style w:type="paragraph" w:styleId="7">
    <w:name w:val="header"/>
    <w:basedOn w:val="1"/>
    <w:link w:val="21"/>
    <w:qFormat/>
    <w:uiPriority w:val="99"/>
    <w:pPr>
      <w:pBdr>
        <w:bottom w:val="single" w:color="000000" w:sz="6" w:space="1"/>
      </w:pBdr>
      <w:tabs>
        <w:tab w:val="center" w:pos="4153"/>
        <w:tab w:val="right" w:pos="8306"/>
      </w:tabs>
      <w:jc w:val="center"/>
    </w:pPr>
    <w:rPr>
      <w:sz w:val="18"/>
      <w:szCs w:val="18"/>
    </w:rPr>
  </w:style>
  <w:style w:type="paragraph" w:styleId="8">
    <w:name w:val="toc 1"/>
    <w:basedOn w:val="1"/>
    <w:next w:val="1"/>
    <w:qFormat/>
    <w:uiPriority w:val="0"/>
    <w:pPr>
      <w:spacing w:line="360" w:lineRule="auto"/>
    </w:pPr>
    <w:rPr>
      <w:rFonts w:ascii="Times New Roman" w:hAnsi="Times New Roman" w:eastAsia="宋体"/>
      <w:b/>
      <w:sz w:val="24"/>
    </w:rPr>
  </w:style>
  <w:style w:type="paragraph" w:styleId="9">
    <w:name w:val="annotation subject"/>
    <w:basedOn w:val="3"/>
    <w:next w:val="3"/>
    <w:link w:val="18"/>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link w:val="1"/>
    <w:qFormat/>
    <w:uiPriority w:val="99"/>
    <w:rPr>
      <w:sz w:val="21"/>
      <w:szCs w:val="21"/>
    </w:rPr>
  </w:style>
  <w:style w:type="paragraph" w:customStyle="1" w:styleId="14">
    <w:name w:val="列出段落"/>
    <w:basedOn w:val="1"/>
    <w:qFormat/>
    <w:uiPriority w:val="34"/>
    <w:pPr>
      <w:ind w:firstLine="420" w:firstLineChars="200"/>
    </w:pPr>
    <w:rPr>
      <w:rFonts w:ascii="Times New Roman" w:hAnsi="Times New Roman" w:cs="Times New Roman"/>
      <w:szCs w:val="24"/>
    </w:rPr>
  </w:style>
  <w:style w:type="character" w:customStyle="1" w:styleId="15">
    <w:name w:val="批注框文本 Char"/>
    <w:link w:val="5"/>
    <w:qFormat/>
    <w:uiPriority w:val="99"/>
    <w:rPr>
      <w:sz w:val="18"/>
      <w:szCs w:val="18"/>
    </w:rPr>
  </w:style>
  <w:style w:type="character" w:customStyle="1" w:styleId="16">
    <w:name w:val="正文文本 Char"/>
    <w:link w:val="4"/>
    <w:qFormat/>
    <w:uiPriority w:val="99"/>
    <w:rPr>
      <w:rFonts w:ascii="宋体" w:hAnsi="宋体" w:eastAsia="宋体" w:cs="Times New Roman"/>
      <w:kern w:val="0"/>
      <w:sz w:val="20"/>
      <w:szCs w:val="24"/>
    </w:rPr>
  </w:style>
  <w:style w:type="character" w:customStyle="1" w:styleId="17">
    <w:name w:val="页脚 Char"/>
    <w:link w:val="6"/>
    <w:qFormat/>
    <w:uiPriority w:val="99"/>
    <w:rPr>
      <w:sz w:val="18"/>
      <w:szCs w:val="18"/>
    </w:rPr>
  </w:style>
  <w:style w:type="character" w:customStyle="1" w:styleId="18">
    <w:name w:val="批注主题 Char"/>
    <w:link w:val="9"/>
    <w:qFormat/>
    <w:uiPriority w:val="99"/>
    <w:rPr>
      <w:b/>
      <w:bCs/>
    </w:rPr>
  </w:style>
  <w:style w:type="character" w:customStyle="1" w:styleId="19">
    <w:name w:val="批注文字 Char"/>
    <w:link w:val="3"/>
    <w:qFormat/>
    <w:uiPriority w:val="99"/>
  </w:style>
  <w:style w:type="paragraph" w:customStyle="1" w:styleId="20">
    <w:name w:val="Table Text"/>
    <w:basedOn w:val="1"/>
    <w:semiHidden/>
    <w:qFormat/>
    <w:uiPriority w:val="0"/>
    <w:rPr>
      <w:rFonts w:ascii="宋体" w:hAnsi="宋体" w:eastAsia="宋体" w:cs="宋体"/>
      <w:sz w:val="20"/>
      <w:szCs w:val="20"/>
    </w:rPr>
  </w:style>
  <w:style w:type="character" w:customStyle="1" w:styleId="21">
    <w:name w:val="页眉 Char"/>
    <w:link w:val="7"/>
    <w:qFormat/>
    <w:uiPriority w:val="99"/>
    <w:rPr>
      <w:sz w:val="18"/>
      <w:szCs w:val="18"/>
    </w:rPr>
  </w:style>
  <w:style w:type="table" w:customStyle="1" w:styleId="22">
    <w:name w:val="Table Normal"/>
    <w:unhideWhenUsed/>
    <w:qFormat/>
    <w:uiPriority w:val="0"/>
    <w:rPr>
      <w:lang w:val="en-US" w:eastAsia="zh-CN" w:bidi="ar-SA"/>
    </w:rPr>
  </w:style>
  <w:style w:type="character" w:customStyle="1" w:styleId="23">
    <w:name w:val="font21"/>
    <w:link w:val="1"/>
    <w:qFormat/>
    <w:uiPriority w:val="0"/>
    <w:rPr>
      <w:rFonts w:hint="eastAsia" w:ascii="宋体" w:hAnsi="宋体" w:eastAsia="宋体" w:cs="宋体"/>
      <w:color w:val="FF0000"/>
      <w:sz w:val="22"/>
      <w:szCs w:val="22"/>
      <w:u w:val="none"/>
    </w:rPr>
  </w:style>
  <w:style w:type="character" w:customStyle="1" w:styleId="24">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6533</Words>
  <Characters>7336</Characters>
  <TotalTime>56</TotalTime>
  <ScaleCrop>false</ScaleCrop>
  <LinksUpToDate>false</LinksUpToDate>
  <CharactersWithSpaces>7382</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2025-05-29T19:23:00Z</dcterms:created>
  <dc:creator>Administrator</dc:creator>
  <cp:lastModifiedBy>资产处-杨旷希</cp:lastModifiedBy>
  <cp:lastPrinted>2025-07-06T17:14:00Z</cp:lastPrinted>
  <dcterms:modified xsi:type="dcterms:W3CDTF">2025-07-27T05:54:31Z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B38FCC66F053401A83AA8EAB2CB6E337_13</vt:lpwstr>
  </property>
  <property fmtid="{D5CDD505-2E9C-101B-9397-08002B2CF9AE}" pid="4" name="KSOTemplateDocerSaveRecord">
    <vt:lpwstr>eyJoZGlkIjoiMTU0MTFmNGY1YWQwYjEyODdlYjk5N2RlMDNkNzM5MTQiLCJ1c2VySWQiOiIyMzU1ODI3OTAifQ==</vt:lpwstr>
  </property>
</Properties>
</file>