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736"/>
        <w:gridCol w:w="727"/>
        <w:gridCol w:w="5558"/>
        <w:gridCol w:w="645"/>
        <w:gridCol w:w="600"/>
        <w:gridCol w:w="690"/>
        <w:gridCol w:w="1095"/>
        <w:gridCol w:w="660"/>
        <w:gridCol w:w="3434"/>
        <w:gridCol w:w="531"/>
      </w:tblGrid>
      <w:tr w14:paraId="01DB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2038" w:type="dxa"/>
            <w:gridSpan w:val="3"/>
            <w:tcBorders>
              <w:top w:val="nil"/>
              <w:left w:val="nil"/>
              <w:bottom w:val="single" w:color="auto" w:sz="4" w:space="0"/>
              <w:right w:val="nil"/>
            </w:tcBorders>
            <w:vAlign w:val="top"/>
          </w:tcPr>
          <w:p w14:paraId="2314B9D0">
            <w:pPr>
              <w:widowControl/>
              <w:spacing w:line="276" w:lineRule="auto"/>
              <w:jc w:val="left"/>
              <w:rPr>
                <w:rFonts w:ascii="宋体" w:hAnsi="宋体"/>
                <w:sz w:val="18"/>
                <w:szCs w:val="18"/>
                <w:u w:val="single"/>
              </w:rPr>
            </w:pPr>
          </w:p>
        </w:tc>
        <w:tc>
          <w:tcPr>
            <w:tcW w:w="13213" w:type="dxa"/>
            <w:gridSpan w:val="8"/>
            <w:tcBorders>
              <w:top w:val="nil"/>
              <w:left w:val="nil"/>
              <w:bottom w:val="single" w:color="auto" w:sz="4" w:space="0"/>
              <w:right w:val="nil"/>
            </w:tcBorders>
            <w:noWrap/>
            <w:vAlign w:val="top"/>
          </w:tcPr>
          <w:p w14:paraId="3B2E00CA">
            <w:pPr>
              <w:widowControl/>
              <w:spacing w:line="276" w:lineRule="auto"/>
              <w:jc w:val="left"/>
              <w:rPr>
                <w:rFonts w:ascii="宋体" w:hAnsi="宋体"/>
                <w:b/>
                <w:sz w:val="28"/>
                <w:szCs w:val="28"/>
              </w:rPr>
            </w:pPr>
            <w:r>
              <w:rPr>
                <w:rFonts w:hint="eastAsia" w:ascii="宋体" w:hAnsi="宋体"/>
                <w:b/>
                <w:sz w:val="28"/>
                <w:szCs w:val="28"/>
              </w:rPr>
              <w:t xml:space="preserve">   广西中医药大学</w:t>
            </w:r>
            <w:r>
              <w:rPr>
                <w:rFonts w:hint="eastAsia" w:ascii="宋体" w:hAnsi="宋体"/>
                <w:b/>
                <w:sz w:val="28"/>
                <w:szCs w:val="28"/>
                <w:lang w:val="en-US" w:eastAsia="zh-CN"/>
              </w:rPr>
              <w:t>仙葫校区学生宿舍家具采购项目政府采购在线询价</w:t>
            </w:r>
            <w:r>
              <w:rPr>
                <w:rFonts w:hint="eastAsia" w:ascii="宋体" w:hAnsi="宋体"/>
                <w:b/>
                <w:sz w:val="28"/>
                <w:szCs w:val="28"/>
              </w:rPr>
              <w:t>采购文件</w:t>
            </w:r>
          </w:p>
          <w:p w14:paraId="3D8D0E53">
            <w:pPr>
              <w:widowControl/>
              <w:spacing w:line="276" w:lineRule="auto"/>
              <w:jc w:val="left"/>
              <w:rPr>
                <w:rFonts w:ascii="宋体" w:hAnsi="宋体"/>
                <w:szCs w:val="21"/>
              </w:rPr>
            </w:pPr>
            <w:r>
              <w:rPr>
                <w:rFonts w:hint="eastAsia" w:ascii="宋体" w:hAnsi="宋体"/>
                <w:szCs w:val="21"/>
              </w:rPr>
              <w:t>说明：</w:t>
            </w:r>
          </w:p>
          <w:p w14:paraId="447E05F9">
            <w:pPr>
              <w:widowControl/>
              <w:spacing w:line="276" w:lineRule="auto"/>
              <w:jc w:val="left"/>
              <w:rPr>
                <w:rFonts w:ascii="宋体" w:hAnsi="宋体"/>
                <w:szCs w:val="21"/>
              </w:rPr>
            </w:pPr>
            <w:r>
              <w:rPr>
                <w:rFonts w:hint="eastAsia" w:ascii="宋体" w:hAnsi="宋体"/>
                <w:szCs w:val="21"/>
              </w:rPr>
              <w:t>1.投标人须根据技术参数及性能配置要求提供一一对应的技术响应偏离表。</w:t>
            </w:r>
          </w:p>
          <w:p w14:paraId="37AEB924">
            <w:pPr>
              <w:widowControl/>
              <w:spacing w:line="276" w:lineRule="auto"/>
              <w:jc w:val="left"/>
              <w:rPr>
                <w:rFonts w:ascii="宋体" w:hAnsi="宋体"/>
                <w:sz w:val="18"/>
                <w:szCs w:val="18"/>
              </w:rPr>
            </w:pPr>
            <w:r>
              <w:rPr>
                <w:rFonts w:hint="eastAsia" w:ascii="宋体" w:hAnsi="宋体"/>
                <w:szCs w:val="21"/>
              </w:rPr>
              <w:t>2.本章中带</w:t>
            </w:r>
            <w:r>
              <w:rPr>
                <w:rFonts w:hint="eastAsia"/>
                <w:color w:val="000000" w:themeColor="text1"/>
                <w14:textFill>
                  <w14:solidFill>
                    <w14:schemeClr w14:val="tx1"/>
                  </w14:solidFill>
                </w14:textFill>
              </w:rPr>
              <w:t>▲</w:t>
            </w:r>
            <w:r>
              <w:rPr>
                <w:rFonts w:hint="eastAsia" w:ascii="宋体" w:hAnsi="宋体"/>
                <w:szCs w:val="21"/>
              </w:rPr>
              <w:t>号条款为实质性内容要求，投标时必须满足。</w:t>
            </w:r>
          </w:p>
        </w:tc>
      </w:tr>
      <w:tr w14:paraId="4BC0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75" w:type="dxa"/>
            <w:tcBorders>
              <w:top w:val="single" w:color="auto" w:sz="4" w:space="0"/>
            </w:tcBorders>
            <w:vAlign w:val="center"/>
          </w:tcPr>
          <w:p w14:paraId="74A4819C">
            <w:pPr>
              <w:jc w:val="center"/>
              <w:rPr>
                <w:rFonts w:ascii="宋体" w:hAnsi="宋体"/>
                <w:sz w:val="18"/>
                <w:szCs w:val="18"/>
              </w:rPr>
            </w:pPr>
            <w:r>
              <w:rPr>
                <w:rFonts w:hint="eastAsia" w:ascii="宋体" w:hAnsi="宋体"/>
                <w:sz w:val="18"/>
                <w:szCs w:val="18"/>
              </w:rPr>
              <w:t>序号</w:t>
            </w:r>
          </w:p>
        </w:tc>
        <w:tc>
          <w:tcPr>
            <w:tcW w:w="736" w:type="dxa"/>
            <w:tcBorders>
              <w:top w:val="single" w:color="auto" w:sz="4" w:space="0"/>
            </w:tcBorders>
            <w:vAlign w:val="center"/>
          </w:tcPr>
          <w:p w14:paraId="0807D428">
            <w:pPr>
              <w:jc w:val="center"/>
              <w:rPr>
                <w:rFonts w:ascii="宋体" w:hAnsi="宋体"/>
                <w:sz w:val="18"/>
                <w:szCs w:val="18"/>
              </w:rPr>
            </w:pPr>
            <w:r>
              <w:rPr>
                <w:rFonts w:hint="eastAsia" w:ascii="宋体" w:hAnsi="宋体"/>
                <w:sz w:val="18"/>
                <w:szCs w:val="18"/>
              </w:rPr>
              <w:t>采购品目</w:t>
            </w:r>
          </w:p>
        </w:tc>
        <w:tc>
          <w:tcPr>
            <w:tcW w:w="727" w:type="dxa"/>
            <w:tcBorders>
              <w:top w:val="single" w:color="auto" w:sz="4" w:space="0"/>
            </w:tcBorders>
            <w:vAlign w:val="center"/>
          </w:tcPr>
          <w:p w14:paraId="58A221B5">
            <w:pPr>
              <w:jc w:val="center"/>
              <w:rPr>
                <w:rFonts w:ascii="宋体" w:hAnsi="宋体"/>
                <w:sz w:val="18"/>
                <w:szCs w:val="18"/>
              </w:rPr>
            </w:pPr>
            <w:r>
              <w:rPr>
                <w:rFonts w:hint="eastAsia" w:ascii="宋体" w:hAnsi="宋体" w:eastAsia="宋体"/>
                <w:sz w:val="18"/>
                <w:szCs w:val="18"/>
              </w:rPr>
              <w:t>参考品牌</w:t>
            </w:r>
          </w:p>
        </w:tc>
        <w:tc>
          <w:tcPr>
            <w:tcW w:w="5558" w:type="dxa"/>
            <w:tcBorders>
              <w:top w:val="single" w:color="auto" w:sz="4" w:space="0"/>
            </w:tcBorders>
            <w:vAlign w:val="center"/>
          </w:tcPr>
          <w:p w14:paraId="5F725902">
            <w:pPr>
              <w:jc w:val="center"/>
              <w:rPr>
                <w:rFonts w:ascii="宋体" w:hAnsi="宋体"/>
                <w:sz w:val="18"/>
                <w:szCs w:val="18"/>
              </w:rPr>
            </w:pPr>
            <w:r>
              <w:rPr>
                <w:rFonts w:hint="eastAsia"/>
                <w:color w:val="000000" w:themeColor="text1"/>
                <w14:textFill>
                  <w14:solidFill>
                    <w14:schemeClr w14:val="tx1"/>
                  </w14:solidFill>
                </w14:textFill>
              </w:rPr>
              <w:t>▲</w:t>
            </w:r>
            <w:r>
              <w:rPr>
                <w:rFonts w:hint="eastAsia" w:ascii="宋体" w:hAnsi="宋体"/>
                <w:sz w:val="18"/>
                <w:szCs w:val="18"/>
              </w:rPr>
              <w:t>参数配置</w:t>
            </w:r>
          </w:p>
        </w:tc>
        <w:tc>
          <w:tcPr>
            <w:tcW w:w="645" w:type="dxa"/>
            <w:tcBorders>
              <w:top w:val="single" w:color="auto" w:sz="4" w:space="0"/>
            </w:tcBorders>
            <w:vAlign w:val="center"/>
          </w:tcPr>
          <w:p w14:paraId="18342334">
            <w:pPr>
              <w:jc w:val="center"/>
              <w:rPr>
                <w:rFonts w:ascii="宋体" w:hAnsi="宋体"/>
                <w:sz w:val="18"/>
                <w:szCs w:val="18"/>
              </w:rPr>
            </w:pPr>
            <w:r>
              <w:rPr>
                <w:rFonts w:hint="eastAsia" w:ascii="宋体" w:hAnsi="宋体"/>
                <w:sz w:val="18"/>
                <w:szCs w:val="18"/>
              </w:rPr>
              <w:t>单位</w:t>
            </w:r>
          </w:p>
        </w:tc>
        <w:tc>
          <w:tcPr>
            <w:tcW w:w="600" w:type="dxa"/>
            <w:tcBorders>
              <w:top w:val="single" w:color="auto" w:sz="4" w:space="0"/>
            </w:tcBorders>
            <w:vAlign w:val="center"/>
          </w:tcPr>
          <w:p w14:paraId="3DB2F150">
            <w:pPr>
              <w:jc w:val="center"/>
              <w:rPr>
                <w:rFonts w:ascii="宋体" w:hAnsi="宋体"/>
                <w:sz w:val="18"/>
                <w:szCs w:val="18"/>
              </w:rPr>
            </w:pPr>
            <w:r>
              <w:rPr>
                <w:rFonts w:hint="eastAsia" w:ascii="宋体" w:hAnsi="宋体"/>
                <w:sz w:val="18"/>
                <w:szCs w:val="18"/>
              </w:rPr>
              <w:t>数量</w:t>
            </w:r>
          </w:p>
        </w:tc>
        <w:tc>
          <w:tcPr>
            <w:tcW w:w="690" w:type="dxa"/>
            <w:tcBorders>
              <w:top w:val="single" w:color="auto" w:sz="4" w:space="0"/>
            </w:tcBorders>
            <w:vAlign w:val="center"/>
          </w:tcPr>
          <w:p w14:paraId="1A4F69D9">
            <w:pPr>
              <w:jc w:val="center"/>
              <w:rPr>
                <w:rFonts w:hint="eastAsia" w:ascii="宋体" w:hAnsi="宋体"/>
                <w:sz w:val="18"/>
                <w:szCs w:val="18"/>
              </w:rPr>
            </w:pPr>
            <w:r>
              <w:rPr>
                <w:rFonts w:hint="eastAsia" w:ascii="宋体" w:hAnsi="宋体"/>
                <w:sz w:val="18"/>
                <w:szCs w:val="18"/>
              </w:rPr>
              <w:t>参考单价</w:t>
            </w:r>
          </w:p>
          <w:p w14:paraId="6B040092">
            <w:pPr>
              <w:jc w:val="center"/>
              <w:rPr>
                <w:rFonts w:ascii="宋体" w:hAnsi="宋体"/>
                <w:sz w:val="18"/>
                <w:szCs w:val="18"/>
              </w:rPr>
            </w:pPr>
            <w:r>
              <w:rPr>
                <w:rFonts w:hint="eastAsia" w:ascii="宋体" w:hAnsi="宋体"/>
                <w:sz w:val="18"/>
                <w:szCs w:val="18"/>
              </w:rPr>
              <w:t>（元）</w:t>
            </w:r>
          </w:p>
        </w:tc>
        <w:tc>
          <w:tcPr>
            <w:tcW w:w="1095" w:type="dxa"/>
            <w:tcBorders>
              <w:top w:val="single" w:color="auto" w:sz="4" w:space="0"/>
            </w:tcBorders>
            <w:vAlign w:val="center"/>
          </w:tcPr>
          <w:p w14:paraId="6E59420E">
            <w:pPr>
              <w:jc w:val="center"/>
              <w:rPr>
                <w:rFonts w:hint="eastAsia" w:ascii="宋体" w:hAnsi="宋体"/>
                <w:sz w:val="18"/>
                <w:szCs w:val="18"/>
              </w:rPr>
            </w:pPr>
            <w:r>
              <w:rPr>
                <w:rFonts w:hint="eastAsia" w:ascii="宋体" w:hAnsi="宋体"/>
                <w:sz w:val="18"/>
                <w:szCs w:val="18"/>
              </w:rPr>
              <w:t>合计金额</w:t>
            </w:r>
          </w:p>
          <w:p w14:paraId="4AE6649E">
            <w:pPr>
              <w:jc w:val="center"/>
              <w:rPr>
                <w:rFonts w:ascii="宋体" w:hAnsi="宋体"/>
                <w:sz w:val="18"/>
                <w:szCs w:val="18"/>
              </w:rPr>
            </w:pPr>
            <w:r>
              <w:rPr>
                <w:rFonts w:hint="eastAsia" w:ascii="宋体" w:hAnsi="宋体"/>
                <w:sz w:val="18"/>
                <w:szCs w:val="18"/>
              </w:rPr>
              <w:t>（元）</w:t>
            </w:r>
          </w:p>
        </w:tc>
        <w:tc>
          <w:tcPr>
            <w:tcW w:w="660" w:type="dxa"/>
            <w:tcBorders>
              <w:top w:val="single" w:color="auto" w:sz="4" w:space="0"/>
            </w:tcBorders>
            <w:vAlign w:val="center"/>
          </w:tcPr>
          <w:p w14:paraId="16588825">
            <w:pPr>
              <w:jc w:val="center"/>
              <w:rPr>
                <w:rFonts w:ascii="宋体" w:hAnsi="宋体"/>
                <w:sz w:val="18"/>
                <w:szCs w:val="18"/>
              </w:rPr>
            </w:pPr>
            <w:r>
              <w:rPr>
                <w:rFonts w:hint="eastAsia" w:ascii="宋体" w:hAnsi="宋体"/>
                <w:sz w:val="18"/>
                <w:szCs w:val="18"/>
              </w:rPr>
              <w:t>是否进口产品</w:t>
            </w:r>
          </w:p>
        </w:tc>
        <w:tc>
          <w:tcPr>
            <w:tcW w:w="3434" w:type="dxa"/>
            <w:tcBorders>
              <w:top w:val="single" w:color="auto" w:sz="4" w:space="0"/>
            </w:tcBorders>
            <w:vAlign w:val="center"/>
          </w:tcPr>
          <w:p w14:paraId="48F3BB3D">
            <w:pPr>
              <w:jc w:val="center"/>
              <w:rPr>
                <w:rFonts w:ascii="宋体" w:hAnsi="宋体"/>
                <w:sz w:val="18"/>
                <w:szCs w:val="18"/>
              </w:rPr>
            </w:pPr>
            <w:r>
              <w:rPr>
                <w:rFonts w:hint="eastAsia" w:ascii="宋体" w:hAnsi="宋体"/>
                <w:sz w:val="18"/>
                <w:szCs w:val="18"/>
              </w:rPr>
              <w:t>参考图片</w:t>
            </w:r>
          </w:p>
        </w:tc>
        <w:tc>
          <w:tcPr>
            <w:tcW w:w="531" w:type="dxa"/>
            <w:tcBorders>
              <w:top w:val="single" w:color="auto" w:sz="4" w:space="0"/>
            </w:tcBorders>
            <w:vAlign w:val="center"/>
          </w:tcPr>
          <w:p w14:paraId="1A2CA90E">
            <w:pPr>
              <w:jc w:val="center"/>
              <w:rPr>
                <w:rFonts w:ascii="宋体" w:hAnsi="宋体"/>
                <w:sz w:val="18"/>
                <w:szCs w:val="18"/>
              </w:rPr>
            </w:pPr>
            <w:r>
              <w:rPr>
                <w:rFonts w:hint="eastAsia" w:ascii="宋体" w:hAnsi="宋体"/>
                <w:sz w:val="18"/>
                <w:szCs w:val="18"/>
              </w:rPr>
              <w:t>备注</w:t>
            </w:r>
          </w:p>
        </w:tc>
      </w:tr>
      <w:tr w14:paraId="6A105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63541146">
            <w:pPr>
              <w:jc w:val="center"/>
              <w:rPr>
                <w:rFonts w:ascii="宋体" w:hAnsi="宋体"/>
                <w:color w:val="auto"/>
                <w:sz w:val="18"/>
                <w:szCs w:val="18"/>
                <w:u w:val="single"/>
              </w:rPr>
            </w:pPr>
            <w:r>
              <w:rPr>
                <w:rFonts w:hint="eastAsia" w:ascii="宋体" w:hAnsi="宋体"/>
                <w:color w:val="auto"/>
                <w:sz w:val="18"/>
                <w:szCs w:val="18"/>
              </w:rPr>
              <w:t>1</w:t>
            </w:r>
          </w:p>
        </w:tc>
        <w:tc>
          <w:tcPr>
            <w:tcW w:w="736" w:type="dxa"/>
            <w:vAlign w:val="center"/>
          </w:tcPr>
          <w:p w14:paraId="591E4AD9">
            <w:pPr>
              <w:jc w:val="center"/>
              <w:rPr>
                <w:rFonts w:hint="eastAsia" w:ascii="宋体" w:hAnsi="宋体"/>
                <w:color w:val="auto"/>
                <w:sz w:val="18"/>
                <w:szCs w:val="18"/>
              </w:rPr>
            </w:pPr>
            <w:r>
              <w:rPr>
                <w:rFonts w:hint="eastAsia" w:ascii="宋体" w:hAnsi="宋体"/>
                <w:color w:val="auto"/>
                <w:sz w:val="18"/>
                <w:szCs w:val="18"/>
              </w:rPr>
              <w:t>组合床</w:t>
            </w:r>
          </w:p>
        </w:tc>
        <w:tc>
          <w:tcPr>
            <w:tcW w:w="727" w:type="dxa"/>
            <w:vAlign w:val="center"/>
          </w:tcPr>
          <w:p w14:paraId="26621B0A">
            <w:pPr>
              <w:rPr>
                <w:rFonts w:ascii="宋体" w:hAnsi="宋体"/>
                <w:color w:val="auto"/>
                <w:sz w:val="18"/>
                <w:szCs w:val="18"/>
              </w:rPr>
            </w:pPr>
            <w:r>
              <w:rPr>
                <w:rFonts w:hint="eastAsia" w:ascii="宋体" w:hAnsi="宋体"/>
                <w:color w:val="auto"/>
                <w:sz w:val="18"/>
                <w:szCs w:val="18"/>
              </w:rPr>
              <w:t>懿德轩、桂红光、菲木森</w:t>
            </w:r>
          </w:p>
        </w:tc>
        <w:tc>
          <w:tcPr>
            <w:tcW w:w="5558" w:type="dxa"/>
            <w:vAlign w:val="top"/>
          </w:tcPr>
          <w:p w14:paraId="5E214F21">
            <w:pPr>
              <w:spacing w:line="360" w:lineRule="auto"/>
              <w:rPr>
                <w:rFonts w:hint="eastAsia"/>
                <w:color w:val="auto"/>
              </w:rPr>
            </w:pPr>
            <w:r>
              <w:rPr>
                <w:rFonts w:hint="eastAsia"/>
                <w:color w:val="auto"/>
                <w:lang w:val="en-US" w:eastAsia="zh-CN"/>
              </w:rPr>
              <w:t>单</w:t>
            </w:r>
            <w:r>
              <w:rPr>
                <w:rFonts w:hint="eastAsia"/>
                <w:color w:val="auto"/>
              </w:rPr>
              <w:t>体公寓床：规格：（长×宽×高）</w:t>
            </w:r>
            <w:r>
              <w:rPr>
                <w:rFonts w:hint="eastAsia"/>
                <w:color w:val="auto"/>
                <w:lang w:val="en-US" w:eastAsia="zh-CN"/>
              </w:rPr>
              <w:t>2</w:t>
            </w:r>
            <w:r>
              <w:rPr>
                <w:rFonts w:hint="eastAsia"/>
                <w:color w:val="auto"/>
              </w:rPr>
              <w:t>000（长）×900（宽）×2050（高）mm</w:t>
            </w:r>
          </w:p>
          <w:p w14:paraId="59C025C3">
            <w:pPr>
              <w:spacing w:line="360" w:lineRule="auto"/>
              <w:rPr>
                <w:rFonts w:hint="eastAsia"/>
                <w:color w:val="auto"/>
              </w:rPr>
            </w:pPr>
            <w:r>
              <w:rPr>
                <w:rFonts w:hint="eastAsia"/>
                <w:color w:val="auto"/>
              </w:rPr>
              <w:t>一、技术参数要求</w:t>
            </w:r>
          </w:p>
          <w:p w14:paraId="1BD1208F">
            <w:pPr>
              <w:spacing w:line="360" w:lineRule="auto"/>
              <w:rPr>
                <w:rFonts w:hint="eastAsia"/>
                <w:color w:val="auto"/>
              </w:rPr>
            </w:pPr>
            <w:r>
              <w:rPr>
                <w:rFonts w:hint="eastAsia"/>
                <w:color w:val="auto"/>
              </w:rPr>
              <w:t>1．材质要求：钢材横截面尺寸最大允许误差范围（±</w:t>
            </w:r>
            <w:r>
              <w:rPr>
                <w:rFonts w:hint="eastAsia"/>
                <w:color w:val="auto"/>
                <w:lang w:val="en-US" w:eastAsia="zh-CN"/>
              </w:rPr>
              <w:t>2</w:t>
            </w:r>
            <w:r>
              <w:rPr>
                <w:rFonts w:hint="eastAsia"/>
                <w:color w:val="auto"/>
              </w:rPr>
              <w:t>mm），选用优质冷轧钢材，经除油、酸洗、磷化、除锈处理，表面静电喷塑处理，灰白色，表面光滑无毛刺，无漏喷及留痕，具有耐腐蚀、防水抗老化等性能。</w:t>
            </w:r>
          </w:p>
          <w:p w14:paraId="77421E27">
            <w:pPr>
              <w:keepNext w:val="0"/>
              <w:keepLines w:val="0"/>
              <w:widowControl/>
              <w:suppressLineNumbers w:val="0"/>
              <w:kinsoku w:val="0"/>
              <w:autoSpaceDE w:val="0"/>
              <w:autoSpaceDN w:val="0"/>
              <w:adjustRightInd w:val="0"/>
              <w:snapToGrid w:val="0"/>
              <w:spacing w:before="0" w:beforeAutospacing="0" w:after="0" w:afterAutospacing="0" w:line="360" w:lineRule="auto"/>
              <w:ind w:left="109" w:right="0"/>
              <w:jc w:val="both"/>
              <w:rPr>
                <w:rFonts w:hint="eastAsia" w:ascii="宋体" w:hAnsi="宋体" w:eastAsia="宋体" w:cs="宋体"/>
                <w:color w:val="auto"/>
                <w:sz w:val="21"/>
                <w:szCs w:val="21"/>
                <w:highlight w:val="none"/>
                <w:lang w:val="en-US" w:eastAsia="zh-CN"/>
              </w:rPr>
            </w:pPr>
            <w:r>
              <w:rPr>
                <w:rFonts w:hint="eastAsia"/>
                <w:color w:val="auto"/>
              </w:rPr>
              <w:t>(1)床立柱：采用型材不小于</w:t>
            </w:r>
            <w:r>
              <w:rPr>
                <w:rFonts w:hint="eastAsia"/>
                <w:color w:val="auto"/>
                <w:lang w:val="en-US" w:eastAsia="zh-CN"/>
              </w:rPr>
              <w:t>65</w:t>
            </w:r>
            <w:r>
              <w:rPr>
                <w:rFonts w:hint="eastAsia"/>
                <w:color w:val="auto"/>
              </w:rPr>
              <w:t>*</w:t>
            </w:r>
            <w:r>
              <w:rPr>
                <w:rFonts w:hint="eastAsia"/>
                <w:color w:val="auto"/>
                <w:lang w:val="en-US" w:eastAsia="zh-CN"/>
              </w:rPr>
              <w:t>65</w:t>
            </w:r>
            <w:r>
              <w:rPr>
                <w:rFonts w:hint="eastAsia"/>
                <w:color w:val="auto"/>
              </w:rPr>
              <w:t>*1.2mm、</w:t>
            </w:r>
            <w:r>
              <w:rPr>
                <w:rFonts w:hint="eastAsia" w:ascii="宋体" w:hAnsi="宋体" w:eastAsia="宋体" w:cs="宋体"/>
                <w:snapToGrid/>
                <w:color w:val="auto"/>
                <w:kern w:val="0"/>
                <w:sz w:val="21"/>
                <w:szCs w:val="21"/>
                <w:highlight w:val="none"/>
                <w:lang w:val="en-US" w:eastAsia="zh-CN" w:bidi="ar"/>
              </w:rPr>
              <w:t>经轧压线辊压成闭口，外侧为圆弧形，管材厚度≥1.2mm，圆弧面上有5条加强筋  具有现代宿舍家具简洁立体风格，增强床立柱的抗扭力。立柱底部有防水胶套，防止水腐蚀，床立柱顶端有套与蚊帐架紧密结合，不易脱落。</w:t>
            </w:r>
          </w:p>
          <w:p w14:paraId="1DC0816B">
            <w:pPr>
              <w:spacing w:line="360" w:lineRule="auto"/>
              <w:rPr>
                <w:rFonts w:hint="eastAsia"/>
                <w:color w:val="auto"/>
              </w:rPr>
            </w:pPr>
            <w:r>
              <w:rPr>
                <w:rFonts w:hint="eastAsia"/>
                <w:color w:val="auto"/>
              </w:rPr>
              <w:t>(</w:t>
            </w:r>
            <w:r>
              <w:rPr>
                <w:rFonts w:hint="eastAsia"/>
                <w:color w:val="auto"/>
                <w:lang w:val="en-US" w:eastAsia="zh-CN"/>
              </w:rPr>
              <w:t>2</w:t>
            </w:r>
            <w:r>
              <w:rPr>
                <w:rFonts w:hint="eastAsia"/>
                <w:color w:val="auto"/>
              </w:rPr>
              <w:t>)床横梁 ：采用型材不小于</w:t>
            </w:r>
            <w:r>
              <w:rPr>
                <w:rFonts w:hint="eastAsia"/>
                <w:color w:val="auto"/>
                <w:lang w:val="en-US" w:eastAsia="zh-CN"/>
              </w:rPr>
              <w:t>84</w:t>
            </w:r>
            <w:r>
              <w:rPr>
                <w:rFonts w:hint="eastAsia"/>
                <w:color w:val="auto"/>
              </w:rPr>
              <w:t>*</w:t>
            </w:r>
            <w:r>
              <w:rPr>
                <w:rFonts w:hint="eastAsia"/>
                <w:color w:val="auto"/>
                <w:lang w:val="en-US" w:eastAsia="zh-CN"/>
              </w:rPr>
              <w:t xml:space="preserve">38 </w:t>
            </w:r>
            <w:r>
              <w:rPr>
                <w:rFonts w:hint="eastAsia"/>
                <w:color w:val="auto"/>
              </w:rPr>
              <w:t xml:space="preserve">*1.2mm ， </w:t>
            </w:r>
            <w:r>
              <w:rPr>
                <w:rFonts w:hint="eastAsia" w:ascii="宋体" w:hAnsi="宋体" w:eastAsia="宋体" w:cs="宋体"/>
                <w:snapToGrid/>
                <w:color w:val="auto"/>
                <w:kern w:val="0"/>
                <w:sz w:val="21"/>
                <w:szCs w:val="21"/>
                <w:highlight w:val="none"/>
                <w:lang w:val="en-US" w:eastAsia="zh-CN" w:bidi="ar"/>
              </w:rPr>
              <w:t>管材厚度≥</w:t>
            </w:r>
            <w:r>
              <w:rPr>
                <w:rFonts w:hint="eastAsia" w:ascii="宋体" w:hAnsi="宋体" w:eastAsia="宋体" w:cs="宋体"/>
                <w:snapToGrid/>
                <w:color w:val="auto"/>
                <w:kern w:val="0"/>
                <w:sz w:val="24"/>
                <w:szCs w:val="24"/>
                <w:highlight w:val="none"/>
                <w:lang w:val="en-US" w:eastAsia="zh-CN" w:bidi="ar"/>
              </w:rPr>
              <w:t>1.2mm；</w:t>
            </w:r>
            <w:r>
              <w:rPr>
                <w:rFonts w:hint="eastAsia" w:ascii="宋体" w:hAnsi="宋体" w:eastAsia="宋体" w:cs="宋体"/>
                <w:snapToGrid/>
                <w:color w:val="auto"/>
                <w:kern w:val="0"/>
                <w:sz w:val="21"/>
                <w:szCs w:val="21"/>
                <w:highlight w:val="none"/>
                <w:lang w:val="en-US" w:eastAsia="zh-CN" w:bidi="ar"/>
              </w:rPr>
              <w:t xml:space="preserve">经轧压线辊压成闭口P型管，床边有三条加强筋 </w:t>
            </w:r>
            <w:r>
              <w:rPr>
                <w:rFonts w:hint="eastAsia"/>
                <w:color w:val="auto"/>
              </w:rPr>
              <w:t>截面配置</w:t>
            </w:r>
            <w:r>
              <w:rPr>
                <w:rFonts w:hint="eastAsia"/>
                <w:color w:val="auto"/>
                <w:lang w:val="en-US" w:eastAsia="zh-CN"/>
              </w:rPr>
              <w:t>三</w:t>
            </w:r>
            <w:r>
              <w:rPr>
                <w:rFonts w:hint="eastAsia"/>
                <w:color w:val="auto"/>
              </w:rPr>
              <w:t>条以上凹形筋加固，增强其承重力 ；</w:t>
            </w:r>
          </w:p>
          <w:p w14:paraId="3B7910DD">
            <w:pPr>
              <w:keepNext w:val="0"/>
              <w:keepLines w:val="0"/>
              <w:widowControl/>
              <w:numPr>
                <w:ilvl w:val="0"/>
                <w:numId w:val="0"/>
              </w:numPr>
              <w:suppressLineNumbers w:val="0"/>
              <w:kinsoku w:val="0"/>
              <w:autoSpaceDE w:val="0"/>
              <w:autoSpaceDN w:val="0"/>
              <w:adjustRightInd w:val="0"/>
              <w:snapToGrid w:val="0"/>
              <w:spacing w:before="0" w:beforeAutospacing="0" w:after="0" w:afterAutospacing="0" w:line="360" w:lineRule="auto"/>
              <w:ind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bidi="ar"/>
              </w:rPr>
              <w:t>管材底部多边型，可有效防撞；要求侧短横梁内外面与床立柱外面满焊，床长横梁外面与连接挂件正面焊接，提高床架稳固度和使用安全性。</w:t>
            </w:r>
          </w:p>
          <w:p w14:paraId="531A0010">
            <w:pPr>
              <w:spacing w:line="360" w:lineRule="auto"/>
              <w:rPr>
                <w:rFonts w:hint="eastAsia"/>
                <w:color w:val="auto"/>
              </w:rPr>
            </w:pPr>
            <w:r>
              <w:rPr>
                <w:rFonts w:hint="eastAsia"/>
                <w:color w:val="auto"/>
              </w:rPr>
              <w:t>(</w:t>
            </w:r>
            <w:r>
              <w:rPr>
                <w:rFonts w:hint="eastAsia"/>
                <w:color w:val="auto"/>
                <w:lang w:val="en-US" w:eastAsia="zh-CN"/>
              </w:rPr>
              <w:t>3</w:t>
            </w:r>
            <w:r>
              <w:rPr>
                <w:rFonts w:hint="eastAsia"/>
                <w:color w:val="auto"/>
              </w:rPr>
              <w:t>)上下横梁 ：采用</w:t>
            </w:r>
            <w:r>
              <w:rPr>
                <w:rFonts w:hint="eastAsia"/>
                <w:color w:val="auto"/>
                <w:lang w:val="en-US" w:eastAsia="zh-CN"/>
              </w:rPr>
              <w:t>2</w:t>
            </w:r>
            <w:r>
              <w:rPr>
                <w:rFonts w:hint="eastAsia"/>
                <w:color w:val="auto"/>
              </w:rPr>
              <w:t>0*</w:t>
            </w:r>
            <w:r>
              <w:rPr>
                <w:rFonts w:hint="eastAsia"/>
                <w:color w:val="auto"/>
                <w:lang w:val="en-US" w:eastAsia="zh-CN"/>
              </w:rPr>
              <w:t>3</w:t>
            </w:r>
            <w:r>
              <w:rPr>
                <w:rFonts w:hint="eastAsia"/>
                <w:color w:val="auto"/>
              </w:rPr>
              <w:t>0*1.</w:t>
            </w:r>
            <w:r>
              <w:rPr>
                <w:rFonts w:hint="eastAsia"/>
                <w:color w:val="auto"/>
                <w:lang w:val="en-US" w:eastAsia="zh-CN"/>
              </w:rPr>
              <w:t>0</w:t>
            </w:r>
            <w:r>
              <w:rPr>
                <w:rFonts w:hint="eastAsia"/>
                <w:color w:val="auto"/>
              </w:rPr>
              <w:t xml:space="preserve">mm 矩形钢管； </w:t>
            </w:r>
          </w:p>
          <w:p w14:paraId="1A9B3FE6">
            <w:pPr>
              <w:spacing w:line="360" w:lineRule="auto"/>
              <w:rPr>
                <w:rFonts w:hint="eastAsia"/>
                <w:color w:val="auto"/>
                <w:lang w:val="en-US" w:eastAsia="zh-CN"/>
              </w:rPr>
            </w:pPr>
            <w:r>
              <w:rPr>
                <w:rFonts w:hint="eastAsia"/>
                <w:color w:val="auto"/>
              </w:rPr>
              <w:t>(</w:t>
            </w:r>
            <w:r>
              <w:rPr>
                <w:rFonts w:hint="eastAsia"/>
                <w:color w:val="auto"/>
                <w:lang w:val="en-US" w:eastAsia="zh-CN"/>
              </w:rPr>
              <w:t>4</w:t>
            </w:r>
            <w:r>
              <w:rPr>
                <w:rFonts w:hint="eastAsia"/>
                <w:color w:val="auto"/>
              </w:rPr>
              <w:t>)床连接扣件：</w:t>
            </w:r>
            <w:r>
              <w:rPr>
                <w:rFonts w:hint="eastAsia"/>
                <w:color w:val="auto"/>
                <w:lang w:val="en-US" w:eastAsia="zh-CN"/>
              </w:rPr>
              <w:t>连接</w:t>
            </w:r>
            <w:r>
              <w:rPr>
                <w:rFonts w:hint="eastAsia"/>
                <w:color w:val="auto"/>
              </w:rPr>
              <w:t>采用2.0mm厚钢板冲压成型</w:t>
            </w:r>
            <w:r>
              <w:rPr>
                <w:rFonts w:hint="eastAsia"/>
                <w:color w:val="auto"/>
                <w:lang w:val="en-US" w:eastAsia="zh-CN"/>
              </w:rPr>
              <w:t>4扣榫卯内L（越承重越紧固）分左右</w:t>
            </w:r>
            <w:r>
              <w:rPr>
                <w:rFonts w:hint="eastAsia"/>
                <w:color w:val="auto"/>
              </w:rPr>
              <w:t>，成型尺寸不小于</w:t>
            </w:r>
            <w:r>
              <w:rPr>
                <w:rFonts w:hint="eastAsia"/>
                <w:color w:val="auto"/>
                <w:lang w:val="en-US" w:eastAsia="zh-CN"/>
              </w:rPr>
              <w:t>27</w:t>
            </w:r>
            <w:r>
              <w:rPr>
                <w:rFonts w:hint="eastAsia"/>
                <w:color w:val="auto"/>
              </w:rPr>
              <w:t>*</w:t>
            </w:r>
            <w:r>
              <w:rPr>
                <w:rFonts w:hint="eastAsia"/>
                <w:color w:val="auto"/>
                <w:lang w:val="en-US" w:eastAsia="zh-CN"/>
              </w:rPr>
              <w:t>27</w:t>
            </w:r>
            <w:r>
              <w:rPr>
                <w:rFonts w:hint="eastAsia"/>
                <w:color w:val="auto"/>
              </w:rPr>
              <w:t>*195mm ；</w:t>
            </w:r>
            <w:r>
              <w:rPr>
                <w:rFonts w:hint="eastAsia"/>
                <w:color w:val="auto"/>
                <w:lang w:val="en-US" w:eastAsia="zh-CN"/>
              </w:rPr>
              <w:t>边立柱连接采用</w:t>
            </w:r>
            <w:r>
              <w:rPr>
                <w:rFonts w:hint="eastAsia"/>
                <w:color w:val="auto"/>
              </w:rPr>
              <w:t>2.0mm厚钢板冲压成</w:t>
            </w:r>
            <w:r>
              <w:rPr>
                <w:rFonts w:hint="eastAsia"/>
                <w:color w:val="auto"/>
                <w:lang w:val="en-US" w:eastAsia="zh-CN"/>
              </w:rPr>
              <w:t>梯</w:t>
            </w:r>
            <w:r>
              <w:rPr>
                <w:rFonts w:hint="eastAsia"/>
                <w:color w:val="auto"/>
              </w:rPr>
              <w:t>型</w:t>
            </w:r>
            <w:r>
              <w:rPr>
                <w:rFonts w:hint="eastAsia"/>
                <w:color w:val="auto"/>
                <w:lang w:val="en-US" w:eastAsia="zh-CN"/>
              </w:rPr>
              <w:t>3扣榫卯内L（越承重越紧固）， 成型尺寸35*18*135.</w:t>
            </w:r>
          </w:p>
          <w:p w14:paraId="770BD5D6">
            <w:pPr>
              <w:spacing w:line="360" w:lineRule="auto"/>
              <w:rPr>
                <w:color w:val="auto"/>
              </w:rPr>
            </w:pPr>
            <w:r>
              <w:rPr>
                <w:color w:val="auto"/>
              </w:rPr>
              <w:drawing>
                <wp:inline distT="0" distB="0" distL="114300" distR="114300">
                  <wp:extent cx="2513330" cy="1337310"/>
                  <wp:effectExtent l="0" t="0" r="127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513330" cy="1337310"/>
                          </a:xfrm>
                          <a:prstGeom prst="rect">
                            <a:avLst/>
                          </a:prstGeom>
                          <a:noFill/>
                          <a:ln>
                            <a:noFill/>
                          </a:ln>
                        </pic:spPr>
                      </pic:pic>
                    </a:graphicData>
                  </a:graphic>
                </wp:inline>
              </w:drawing>
            </w:r>
          </w:p>
          <w:p w14:paraId="19E3854B">
            <w:pPr>
              <w:spacing w:line="360" w:lineRule="auto"/>
              <w:rPr>
                <w:rFonts w:hint="eastAsia"/>
                <w:color w:val="auto"/>
              </w:rPr>
            </w:pPr>
          </w:p>
          <w:p w14:paraId="164EF084">
            <w:pPr>
              <w:spacing w:line="360" w:lineRule="auto"/>
              <w:rPr>
                <w:rFonts w:hint="eastAsia"/>
                <w:color w:val="auto"/>
              </w:rPr>
            </w:pPr>
            <w:r>
              <w:rPr>
                <w:rFonts w:hint="eastAsia"/>
                <w:color w:val="auto"/>
              </w:rPr>
              <w:t>(</w:t>
            </w:r>
            <w:r>
              <w:rPr>
                <w:rFonts w:hint="eastAsia"/>
                <w:color w:val="auto"/>
                <w:lang w:val="en-US" w:eastAsia="zh-CN"/>
              </w:rPr>
              <w:t>5</w:t>
            </w:r>
            <w:r>
              <w:rPr>
                <w:rFonts w:hint="eastAsia"/>
                <w:color w:val="auto"/>
              </w:rPr>
              <w:t>)床横担：采用20*</w:t>
            </w:r>
            <w:r>
              <w:rPr>
                <w:rFonts w:hint="eastAsia"/>
                <w:color w:val="auto"/>
                <w:lang w:val="en-US" w:eastAsia="zh-CN"/>
              </w:rPr>
              <w:t>3</w:t>
            </w:r>
            <w:r>
              <w:rPr>
                <w:rFonts w:hint="eastAsia"/>
                <w:color w:val="auto"/>
              </w:rPr>
              <w:t>0*1.</w:t>
            </w:r>
            <w:r>
              <w:rPr>
                <w:rFonts w:hint="eastAsia"/>
                <w:color w:val="auto"/>
                <w:lang w:val="en-US" w:eastAsia="zh-CN"/>
              </w:rPr>
              <w:t>0</w:t>
            </w:r>
            <w:r>
              <w:rPr>
                <w:rFonts w:hint="eastAsia"/>
                <w:color w:val="auto"/>
              </w:rPr>
              <w:t xml:space="preserve">mm 矩形钢管； </w:t>
            </w:r>
          </w:p>
          <w:p w14:paraId="4FF4465F">
            <w:pPr>
              <w:spacing w:line="360" w:lineRule="auto"/>
              <w:rPr>
                <w:rFonts w:hint="eastAsia"/>
                <w:color w:val="auto"/>
              </w:rPr>
            </w:pPr>
            <w:r>
              <w:rPr>
                <w:rFonts w:hint="eastAsia"/>
                <w:color w:val="auto"/>
              </w:rPr>
              <w:t>(</w:t>
            </w:r>
            <w:r>
              <w:rPr>
                <w:rFonts w:hint="eastAsia"/>
                <w:color w:val="auto"/>
                <w:lang w:val="en-US" w:eastAsia="zh-CN"/>
              </w:rPr>
              <w:t>6</w:t>
            </w:r>
            <w:r>
              <w:rPr>
                <w:rFonts w:hint="eastAsia"/>
                <w:color w:val="auto"/>
              </w:rPr>
              <w:t>)床安全护栏：采用 25*25*1.2mm钢管，整体结构配置美观大方。</w:t>
            </w:r>
          </w:p>
          <w:p w14:paraId="6251A1B5">
            <w:pPr>
              <w:spacing w:line="360" w:lineRule="auto"/>
              <w:rPr>
                <w:rFonts w:hint="eastAsia"/>
                <w:color w:val="auto"/>
              </w:rPr>
            </w:pPr>
            <w:r>
              <w:rPr>
                <w:rFonts w:hint="eastAsia"/>
                <w:color w:val="auto"/>
              </w:rPr>
              <w:t>(</w:t>
            </w:r>
            <w:r>
              <w:rPr>
                <w:rFonts w:hint="eastAsia"/>
                <w:color w:val="auto"/>
                <w:lang w:val="en-US" w:eastAsia="zh-CN"/>
              </w:rPr>
              <w:t>7</w:t>
            </w:r>
            <w:r>
              <w:rPr>
                <w:rFonts w:hint="eastAsia"/>
                <w:color w:val="auto"/>
              </w:rPr>
              <w:t>)床头立管：（Φ19）*1.0mm 圆管；</w:t>
            </w:r>
          </w:p>
          <w:p w14:paraId="66BBB4A1">
            <w:pPr>
              <w:spacing w:line="360" w:lineRule="auto"/>
              <w:rPr>
                <w:rFonts w:hint="eastAsia"/>
                <w:color w:val="auto"/>
              </w:rPr>
            </w:pPr>
            <w:r>
              <w:rPr>
                <w:rFonts w:hint="eastAsia"/>
                <w:color w:val="auto"/>
              </w:rPr>
              <w:t>(</w:t>
            </w:r>
            <w:r>
              <w:rPr>
                <w:rFonts w:hint="eastAsia"/>
                <w:color w:val="auto"/>
                <w:lang w:val="en-US" w:eastAsia="zh-CN"/>
              </w:rPr>
              <w:t>8</w:t>
            </w:r>
            <w:r>
              <w:rPr>
                <w:rFonts w:hint="eastAsia"/>
                <w:color w:val="auto"/>
              </w:rPr>
              <w:t>)蚊帐杆：采用Φ</w:t>
            </w:r>
            <w:r>
              <w:rPr>
                <w:rFonts w:hint="eastAsia"/>
                <w:color w:val="auto"/>
                <w:lang w:val="en-US" w:eastAsia="zh-CN"/>
              </w:rPr>
              <w:t>19</w:t>
            </w:r>
            <w:r>
              <w:rPr>
                <w:rFonts w:hint="eastAsia"/>
                <w:color w:val="auto"/>
              </w:rPr>
              <w:t xml:space="preserve">*1.0mm圆管，伸缩式隐藏床立柱内部，蚊帐架高1000㎜，蚊帐杆长2000㎜。 </w:t>
            </w:r>
          </w:p>
          <w:p w14:paraId="32BD7A32">
            <w:pPr>
              <w:spacing w:line="360" w:lineRule="auto"/>
              <w:rPr>
                <w:rFonts w:hint="eastAsia"/>
                <w:color w:val="auto"/>
              </w:rPr>
            </w:pPr>
            <w:r>
              <w:rPr>
                <w:rFonts w:hint="eastAsia"/>
                <w:color w:val="auto"/>
              </w:rPr>
              <w:t>(</w:t>
            </w:r>
            <w:r>
              <w:rPr>
                <w:rFonts w:hint="eastAsia"/>
                <w:color w:val="auto"/>
                <w:lang w:val="en-US" w:eastAsia="zh-CN"/>
              </w:rPr>
              <w:t>9</w:t>
            </w:r>
            <w:r>
              <w:rPr>
                <w:rFonts w:hint="eastAsia"/>
                <w:color w:val="auto"/>
              </w:rPr>
              <w:t>)床安全爬梯；采用 25*25*1.2mm钢管立柱，踏板采用1.2mm厚钢板冲压成型，尺寸不小于350*70*40mm，每层踏板配2条防滑条纹夜光条。</w:t>
            </w:r>
          </w:p>
          <w:p w14:paraId="67B24724">
            <w:pPr>
              <w:spacing w:line="360" w:lineRule="auto"/>
              <w:rPr>
                <w:rFonts w:hint="eastAsia"/>
                <w:color w:val="auto"/>
              </w:rPr>
            </w:pPr>
            <w:r>
              <w:rPr>
                <w:rFonts w:hint="eastAsia"/>
                <w:color w:val="auto"/>
              </w:rPr>
              <w:t>(</w:t>
            </w:r>
            <w:r>
              <w:rPr>
                <w:rFonts w:hint="eastAsia"/>
                <w:color w:val="auto"/>
                <w:lang w:val="en-US" w:eastAsia="zh-CN"/>
              </w:rPr>
              <w:t>10</w:t>
            </w:r>
            <w:r>
              <w:rPr>
                <w:rFonts w:hint="eastAsia"/>
                <w:color w:val="auto"/>
              </w:rPr>
              <w:t>)床板：采用15mm厚的杉木床板，长宽尺寸按实际空间加工，不多于7快杉木板拼接而成，经干燥、防腐、防蛀处理，板底加固4根30×30mm杉木条为支撑点，制作牢固可靠，双面平整。</w:t>
            </w:r>
          </w:p>
          <w:p w14:paraId="5D0C8A27">
            <w:pPr>
              <w:spacing w:line="360" w:lineRule="auto"/>
              <w:rPr>
                <w:rFonts w:hint="eastAsia"/>
                <w:color w:val="auto"/>
              </w:rPr>
            </w:pPr>
            <w:r>
              <w:rPr>
                <w:rFonts w:hint="eastAsia"/>
                <w:color w:val="auto"/>
              </w:rPr>
              <w:t>2．金属件材质加工要求：</w:t>
            </w:r>
          </w:p>
          <w:p w14:paraId="1BD88B45">
            <w:pPr>
              <w:spacing w:line="360" w:lineRule="auto"/>
              <w:rPr>
                <w:rFonts w:hint="eastAsia"/>
                <w:color w:val="auto"/>
              </w:rPr>
            </w:pPr>
            <w:r>
              <w:rPr>
                <w:rFonts w:hint="eastAsia"/>
                <w:color w:val="auto"/>
              </w:rPr>
              <w:t>(1)材料：钢材采用优质钢材，焊接后成品架床的质量按照轻工行业标准《金属家具质量检验及质量评定》的规定执行，采用二氧化碳保护焊，应满焊、均匀、牢固、平整、无毛刺。要求柜体与床立柱相连接，安装后应牢固可靠，无摇摆现，使用时床板与金属件无摩擦声。</w:t>
            </w:r>
          </w:p>
          <w:p w14:paraId="2F38C0EE">
            <w:pPr>
              <w:spacing w:line="360" w:lineRule="auto"/>
              <w:rPr>
                <w:rFonts w:hint="eastAsia"/>
                <w:color w:val="auto"/>
              </w:rPr>
            </w:pPr>
            <w:r>
              <w:rPr>
                <w:rFonts w:hint="eastAsia"/>
                <w:color w:val="auto"/>
              </w:rPr>
              <w:t>(2)金属件涂饰工艺要求：涂饰前零、部件的表面应光滑、平整，无开裂、脱焊、漏焊、焊渣或飞边、尖角、毛刺等可能造成机械伤害的缺陷。涂饰前零、部件表面工艺处理必须符合环保要求，表面经过：喷砂除锈→水洗→预脱脂→主脱脂→水洗→水洗→陶化→水洗→封闭洗→预烘干的10工位处理，预备处理后表面无氧化皮、锈蚀、粘砂等其他杂质，工件陶化镀膜层达到工艺要求，预备处理后及时进行涂饰，预备处理后表面无氧化皮、锈蚀、粘砂等其他杂质，工件陶化镀膜层达到工艺要求，预备处理后及时进行涂饰；</w:t>
            </w:r>
          </w:p>
          <w:p w14:paraId="4BEF90D3">
            <w:pPr>
              <w:spacing w:line="360" w:lineRule="auto"/>
              <w:rPr>
                <w:rFonts w:hint="eastAsia"/>
                <w:color w:val="auto"/>
              </w:rPr>
            </w:pPr>
            <w:r>
              <w:rPr>
                <w:rFonts w:hint="eastAsia"/>
                <w:color w:val="auto"/>
              </w:rPr>
              <w:t>3．喷涂处理：</w:t>
            </w:r>
          </w:p>
          <w:p w14:paraId="72B87BE6">
            <w:pPr>
              <w:spacing w:line="360" w:lineRule="auto"/>
              <w:rPr>
                <w:rFonts w:hint="eastAsia"/>
                <w:color w:val="auto"/>
              </w:rPr>
            </w:pPr>
            <w:r>
              <w:rPr>
                <w:rFonts w:hint="eastAsia"/>
                <w:color w:val="auto"/>
              </w:rPr>
              <w:t>(1)采用(“阿克苏”、杜邦、上海幻影）知名品牌塑粉静电喷塑，使用环保塑粉；涂层表面色泽均匀一致，不允许有流挂、起粒、皱皮、露底、剥落、伤痕等缺陷，颜色：灰白色，</w:t>
            </w:r>
          </w:p>
          <w:p w14:paraId="3BA19ADC">
            <w:pPr>
              <w:spacing w:line="360" w:lineRule="auto"/>
              <w:rPr>
                <w:rFonts w:hint="eastAsia"/>
                <w:color w:val="auto"/>
              </w:rPr>
            </w:pPr>
            <w:r>
              <w:rPr>
                <w:rFonts w:hint="eastAsia"/>
                <w:color w:val="auto"/>
              </w:rPr>
              <w:t>(2)表面涂层：架表面喷涂塑粉，不能有毒害气味气挥发、以免书库房环境有污染，造成对人体伤害，甲醛含量必须小于1.5mg/kg,不能超标。涂层表面应色泽均匀一致，工件的各部位不应有起粒、皱皮、露底、剥落、伤痕或漏喷等现象。</w:t>
            </w:r>
          </w:p>
          <w:p w14:paraId="76C5C186">
            <w:pPr>
              <w:spacing w:line="360" w:lineRule="auto"/>
              <w:rPr>
                <w:rFonts w:hint="eastAsia"/>
                <w:color w:val="auto"/>
              </w:rPr>
            </w:pPr>
            <w:r>
              <w:rPr>
                <w:rFonts w:hint="eastAsia"/>
                <w:color w:val="auto"/>
              </w:rPr>
              <w:t>(3)安装要求：铁床安装形式，床柱3挂扣连接方式，连接后组合牢固，长期使用不会出现松动、无安全隐患。</w:t>
            </w:r>
          </w:p>
          <w:p w14:paraId="534C6C9E">
            <w:pPr>
              <w:spacing w:line="360" w:lineRule="auto"/>
              <w:rPr>
                <w:rFonts w:hint="eastAsia" w:eastAsia="宋体"/>
                <w:color w:val="auto"/>
                <w:highlight w:val="none"/>
                <w:lang w:eastAsia="zh-CN"/>
              </w:rPr>
            </w:pPr>
            <w:r>
              <w:rPr>
                <w:rFonts w:hint="eastAsia"/>
                <w:color w:val="auto"/>
                <w:highlight w:val="none"/>
              </w:rPr>
              <w:t>二、床下组合柜</w:t>
            </w:r>
            <w:r>
              <w:rPr>
                <w:rFonts w:hint="eastAsia"/>
                <w:color w:val="auto"/>
                <w:highlight w:val="none"/>
                <w:lang w:eastAsia="zh-CN"/>
              </w:rPr>
              <w:t>：整体尺寸1</w:t>
            </w:r>
            <w:r>
              <w:rPr>
                <w:rFonts w:hint="eastAsia"/>
                <w:color w:val="auto"/>
                <w:highlight w:val="none"/>
                <w:lang w:val="en-US" w:eastAsia="zh-CN"/>
              </w:rPr>
              <w:t>90</w:t>
            </w:r>
            <w:r>
              <w:rPr>
                <w:rFonts w:hint="eastAsia"/>
                <w:color w:val="auto"/>
                <w:highlight w:val="none"/>
                <w:lang w:eastAsia="zh-CN"/>
              </w:rPr>
              <w:t>0W×600D×1700Hmm</w:t>
            </w:r>
          </w:p>
          <w:p w14:paraId="2585E1CD">
            <w:pPr>
              <w:widowControl/>
              <w:numPr>
                <w:ilvl w:val="0"/>
                <w:numId w:val="0"/>
              </w:numPr>
              <w:spacing w:line="420" w:lineRule="exact"/>
              <w:textAlignment w:val="baseline"/>
              <w:rPr>
                <w:rFonts w:hint="default" w:ascii="宋体" w:hAnsi="宋体" w:cs="宋体"/>
                <w:color w:val="auto"/>
                <w:szCs w:val="21"/>
                <w:lang w:val="en-US" w:eastAsia="zh-CN"/>
              </w:rPr>
            </w:pPr>
            <w:r>
              <w:rPr>
                <w:rFonts w:hint="eastAsia" w:ascii="宋体" w:hAnsi="宋体" w:cs="宋体"/>
                <w:color w:val="auto"/>
                <w:szCs w:val="21"/>
                <w:lang w:val="en-US" w:eastAsia="zh-CN"/>
              </w:rPr>
              <w:t>（一）学习柜</w:t>
            </w:r>
          </w:p>
          <w:p w14:paraId="69C15078">
            <w:pPr>
              <w:widowControl/>
              <w:numPr>
                <w:ilvl w:val="0"/>
                <w:numId w:val="0"/>
              </w:numPr>
              <w:spacing w:line="420" w:lineRule="exact"/>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产品规格：整体尺寸1</w:t>
            </w:r>
            <w:r>
              <w:rPr>
                <w:rFonts w:hint="eastAsia" w:ascii="宋体" w:hAnsi="宋体" w:cs="宋体"/>
                <w:color w:val="auto"/>
                <w:szCs w:val="21"/>
                <w:lang w:val="en-US" w:eastAsia="zh-CN"/>
              </w:rPr>
              <w:t>2</w:t>
            </w:r>
            <w:r>
              <w:rPr>
                <w:rFonts w:hint="eastAsia" w:ascii="宋体" w:hAnsi="宋体" w:cs="宋体"/>
                <w:color w:val="auto"/>
                <w:szCs w:val="21"/>
              </w:rPr>
              <w:t>00W×</w:t>
            </w:r>
            <w:r>
              <w:rPr>
                <w:rFonts w:hint="eastAsia" w:ascii="宋体" w:hAnsi="宋体" w:cs="宋体"/>
                <w:color w:val="auto"/>
                <w:szCs w:val="21"/>
                <w:lang w:val="en-US" w:eastAsia="zh-CN"/>
              </w:rPr>
              <w:t>6</w:t>
            </w:r>
            <w:r>
              <w:rPr>
                <w:rFonts w:hint="eastAsia" w:ascii="宋体" w:hAnsi="宋体" w:cs="宋体"/>
                <w:color w:val="auto"/>
                <w:szCs w:val="21"/>
              </w:rPr>
              <w:t>00D×1700Hmm</w:t>
            </w:r>
          </w:p>
          <w:p w14:paraId="4E506C06">
            <w:pPr>
              <w:spacing w:line="420" w:lineRule="exact"/>
              <w:ind w:left="420" w:leftChars="100" w:hanging="210" w:hangingChars="100"/>
              <w:textAlignment w:val="center"/>
              <w:rPr>
                <w:rFonts w:hint="default" w:ascii="宋体" w:hAnsi="宋体" w:cs="宋体"/>
                <w:color w:val="auto"/>
                <w:szCs w:val="21"/>
                <w:lang w:val="en-US"/>
              </w:rPr>
            </w:pPr>
            <w:r>
              <w:rPr>
                <w:rFonts w:hint="eastAsia" w:ascii="宋体" w:hAnsi="宋体" w:cs="宋体"/>
                <w:color w:val="auto"/>
                <w:szCs w:val="21"/>
              </w:rPr>
              <w:t>（1）</w:t>
            </w:r>
            <w:r>
              <w:rPr>
                <w:rFonts w:hint="eastAsia" w:ascii="宋体" w:hAnsi="宋体" w:cs="宋体"/>
                <w:color w:val="auto"/>
                <w:szCs w:val="21"/>
                <w:lang w:val="en-US" w:eastAsia="zh-CN"/>
              </w:rPr>
              <w:t>学习</w:t>
            </w:r>
            <w:r>
              <w:rPr>
                <w:rFonts w:hint="eastAsia" w:ascii="宋体" w:hAnsi="宋体" w:cs="宋体"/>
                <w:color w:val="auto"/>
                <w:szCs w:val="21"/>
              </w:rPr>
              <w:t>桌</w:t>
            </w:r>
            <w:r>
              <w:rPr>
                <w:rFonts w:hint="eastAsia" w:ascii="宋体" w:hAnsi="宋体" w:cs="宋体"/>
                <w:color w:val="auto"/>
                <w:szCs w:val="21"/>
                <w:lang w:val="en-US" w:eastAsia="zh-CN"/>
              </w:rPr>
              <w:t>长度1200mm，宽度600mm，高度750mm；</w:t>
            </w:r>
          </w:p>
          <w:p w14:paraId="28F5E25B">
            <w:pPr>
              <w:spacing w:line="420" w:lineRule="exact"/>
              <w:ind w:left="420" w:leftChars="100" w:hanging="210" w:hangingChars="100"/>
              <w:textAlignment w:val="center"/>
              <w:rPr>
                <w:rFonts w:hint="default" w:ascii="宋体" w:hAnsi="宋体" w:cs="宋体"/>
                <w:color w:val="auto"/>
                <w:szCs w:val="21"/>
                <w:lang w:val="en-US"/>
              </w:rPr>
            </w:pPr>
            <w:r>
              <w:rPr>
                <w:rFonts w:hint="eastAsia" w:ascii="宋体" w:hAnsi="宋体" w:cs="宋体"/>
                <w:color w:val="auto"/>
                <w:szCs w:val="21"/>
              </w:rPr>
              <w:t>（2）桌上柜</w:t>
            </w:r>
            <w:r>
              <w:rPr>
                <w:rFonts w:hint="eastAsia" w:ascii="宋体" w:hAnsi="宋体" w:cs="宋体"/>
                <w:color w:val="auto"/>
                <w:szCs w:val="21"/>
                <w:lang w:val="en-US" w:eastAsia="zh-CN"/>
              </w:rPr>
              <w:t>长度1200mm，深度300mm，高度950mm。</w:t>
            </w:r>
          </w:p>
          <w:p w14:paraId="6FA979EC">
            <w:pPr>
              <w:spacing w:line="420" w:lineRule="exact"/>
              <w:rPr>
                <w:rFonts w:hint="eastAsia" w:ascii="宋体" w:hAnsi="宋体" w:cs="宋体"/>
                <w:color w:val="auto"/>
                <w:szCs w:val="21"/>
                <w:lang w:val="en-US" w:eastAsia="zh-CN"/>
              </w:rPr>
            </w:pPr>
            <w:r>
              <w:rPr>
                <w:rFonts w:hint="eastAsia" w:ascii="宋体" w:hAnsi="宋体" w:cs="宋体"/>
                <w:color w:val="auto"/>
                <w:szCs w:val="21"/>
              </w:rPr>
              <w:t>2、颜色：</w:t>
            </w:r>
            <w:r>
              <w:rPr>
                <w:rFonts w:hint="eastAsia" w:ascii="宋体" w:hAnsi="宋体" w:cs="宋体"/>
                <w:color w:val="auto"/>
                <w:szCs w:val="21"/>
                <w:lang w:val="en-US" w:eastAsia="zh-CN"/>
              </w:rPr>
              <w:t>定制色</w:t>
            </w:r>
          </w:p>
          <w:p w14:paraId="2D7882CA">
            <w:pPr>
              <w:spacing w:line="420" w:lineRule="exact"/>
              <w:rPr>
                <w:rFonts w:ascii="宋体" w:hAnsi="宋体" w:cs="宋体"/>
                <w:color w:val="auto"/>
                <w:szCs w:val="21"/>
              </w:rPr>
            </w:pPr>
            <w:r>
              <w:rPr>
                <w:rFonts w:hint="eastAsia" w:ascii="宋体" w:hAnsi="宋体" w:cs="宋体"/>
                <w:color w:val="auto"/>
                <w:szCs w:val="21"/>
              </w:rPr>
              <w:t>3、材质参数：</w:t>
            </w:r>
          </w:p>
          <w:p w14:paraId="7CD3ED3F">
            <w:pPr>
              <w:spacing w:line="420" w:lineRule="exact"/>
              <w:textAlignment w:val="center"/>
              <w:rPr>
                <w:rFonts w:hint="eastAsia" w:ascii="宋体" w:hAnsi="宋体" w:cs="宋体"/>
                <w:color w:val="auto"/>
                <w:szCs w:val="21"/>
              </w:rPr>
            </w:pPr>
            <w:r>
              <w:rPr>
                <w:rFonts w:hint="eastAsia" w:ascii="宋体" w:hAnsi="宋体" w:cs="宋体"/>
                <w:color w:val="auto"/>
                <w:szCs w:val="21"/>
              </w:rPr>
              <w:t>（1）功能结构:学习柜分为书桌、柜子两部分；桌面下设计有抽屉储物柜，便于多功能型使用，桌面上即为书柜，方便学生归纳整理书籍。</w:t>
            </w:r>
          </w:p>
          <w:p w14:paraId="73570162">
            <w:pPr>
              <w:spacing w:line="420" w:lineRule="exact"/>
              <w:textAlignment w:val="center"/>
              <w:rPr>
                <w:rFonts w:hint="eastAsia" w:ascii="宋体" w:hAnsi="宋体" w:cs="宋体"/>
                <w:color w:val="auto"/>
                <w:szCs w:val="21"/>
              </w:rPr>
            </w:pPr>
            <w:r>
              <w:rPr>
                <w:rFonts w:hint="eastAsia" w:ascii="宋体" w:hAnsi="宋体" w:cs="宋体"/>
                <w:color w:val="auto"/>
                <w:szCs w:val="21"/>
              </w:rPr>
              <w:t>（2）桌面：采用≥25mm厚E1 级环保颗粒板制作，面贴防火板，桌面前沿倒鸭嘴边，桌面后边缘开过线孔。</w:t>
            </w:r>
          </w:p>
          <w:p w14:paraId="6093693F">
            <w:pPr>
              <w:spacing w:line="420" w:lineRule="exact"/>
              <w:textAlignment w:val="center"/>
              <w:rPr>
                <w:rFonts w:hint="eastAsia" w:ascii="宋体" w:hAnsi="宋体" w:cs="宋体"/>
                <w:color w:val="auto"/>
                <w:szCs w:val="21"/>
              </w:rPr>
            </w:pPr>
            <w:r>
              <w:rPr>
                <w:rFonts w:hint="eastAsia" w:ascii="宋体" w:hAnsi="宋体" w:cs="宋体"/>
                <w:color w:val="auto"/>
                <w:szCs w:val="21"/>
              </w:rPr>
              <w:t>（3）板材：主材均采用16mm厚E1 级环保三聚氰胺饰面实木颗粒板制作，背板采用5mm厚中密度板。</w:t>
            </w:r>
          </w:p>
          <w:p w14:paraId="6C78AB49">
            <w:pPr>
              <w:spacing w:line="420" w:lineRule="exact"/>
              <w:textAlignment w:val="center"/>
              <w:rPr>
                <w:rFonts w:hint="eastAsia" w:ascii="宋体" w:hAnsi="宋体" w:cs="宋体"/>
                <w:color w:val="auto"/>
                <w:szCs w:val="21"/>
              </w:rPr>
            </w:pPr>
            <w:r>
              <w:rPr>
                <w:rFonts w:hint="eastAsia" w:ascii="宋体" w:hAnsi="宋体" w:cs="宋体"/>
                <w:color w:val="auto"/>
                <w:szCs w:val="21"/>
              </w:rPr>
              <w:t>（4）ABS防潮脚垫(≥50×20×28mm)：脚垫高度为≥18mm，板材不直接接触地面，防水效果好。</w:t>
            </w:r>
          </w:p>
          <w:p w14:paraId="1F84D15E">
            <w:pPr>
              <w:spacing w:line="420" w:lineRule="exact"/>
              <w:textAlignment w:val="center"/>
              <w:rPr>
                <w:rFonts w:hint="eastAsia" w:ascii="宋体" w:hAnsi="宋体" w:cs="宋体"/>
                <w:color w:val="auto"/>
                <w:szCs w:val="21"/>
              </w:rPr>
            </w:pPr>
            <w:r>
              <w:rPr>
                <w:rFonts w:hint="eastAsia" w:ascii="宋体" w:hAnsi="宋体" w:cs="宋体"/>
                <w:color w:val="auto"/>
                <w:szCs w:val="21"/>
              </w:rPr>
              <w:t>（5）封边：均采用1.5mm厚的PVC 封边条，无透胶、无凹陷、无压痕、无脱胶、无气泡。</w:t>
            </w:r>
          </w:p>
          <w:p w14:paraId="3FC54F33">
            <w:pPr>
              <w:spacing w:line="420" w:lineRule="exact"/>
              <w:textAlignment w:val="center"/>
              <w:rPr>
                <w:rFonts w:hint="eastAsia" w:ascii="宋体" w:hAnsi="宋体" w:cs="宋体"/>
                <w:color w:val="auto"/>
                <w:szCs w:val="21"/>
              </w:rPr>
            </w:pPr>
            <w:r>
              <w:rPr>
                <w:rFonts w:hint="eastAsia" w:ascii="宋体" w:hAnsi="宋体" w:cs="宋体"/>
                <w:color w:val="auto"/>
                <w:szCs w:val="21"/>
              </w:rPr>
              <w:t>（6）拉手：采用明锁暗挂。</w:t>
            </w:r>
          </w:p>
          <w:p w14:paraId="3FA87A6D">
            <w:pPr>
              <w:spacing w:line="420" w:lineRule="exact"/>
              <w:textAlignment w:val="center"/>
              <w:rPr>
                <w:rFonts w:ascii="宋体" w:hAnsi="宋体" w:cs="宋体"/>
                <w:color w:val="auto"/>
                <w:szCs w:val="21"/>
              </w:rPr>
            </w:pPr>
            <w:r>
              <w:rPr>
                <w:rFonts w:hint="eastAsia" w:ascii="宋体" w:hAnsi="宋体" w:cs="宋体"/>
                <w:color w:val="auto"/>
                <w:szCs w:val="21"/>
              </w:rPr>
              <w:t>（7）五金件：均采用“迪森”或“DTC”或“顶固”等同等档次品牌五金配件。</w:t>
            </w:r>
          </w:p>
          <w:p w14:paraId="4559F21E">
            <w:pPr>
              <w:spacing w:line="360" w:lineRule="auto"/>
              <w:rPr>
                <w:rFonts w:hint="eastAsia" w:ascii="宋体" w:hAnsi="宋体" w:cs="宋体"/>
                <w:color w:val="auto"/>
                <w:szCs w:val="21"/>
              </w:rPr>
            </w:pPr>
            <w:r>
              <w:rPr>
                <w:rFonts w:hint="eastAsia" w:ascii="宋体" w:hAnsi="宋体" w:cs="宋体"/>
                <w:color w:val="auto"/>
                <w:szCs w:val="21"/>
              </w:rPr>
              <w:t>（8）柜门铰链：采用“迪森”或“DTC”或“顶固”等同等档次品牌铰链，开度≥90度，开门任意位置定位。</w:t>
            </w:r>
          </w:p>
          <w:p w14:paraId="79A22A59">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二）衣柜</w:t>
            </w:r>
          </w:p>
          <w:p w14:paraId="79315FB2">
            <w:pPr>
              <w:spacing w:line="42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1、产品规格：整体尺寸</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00W×</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00D×</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00Hmm</w:t>
            </w:r>
          </w:p>
          <w:p w14:paraId="03C5BA19">
            <w:pPr>
              <w:spacing w:line="4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2、颜色：</w:t>
            </w:r>
            <w:r>
              <w:rPr>
                <w:rFonts w:hint="eastAsia" w:ascii="宋体" w:hAnsi="宋体" w:cs="宋体"/>
                <w:color w:val="auto"/>
                <w:szCs w:val="21"/>
                <w:highlight w:val="none"/>
                <w:lang w:val="en-US" w:eastAsia="zh-CN"/>
              </w:rPr>
              <w:t>定制色</w:t>
            </w:r>
          </w:p>
          <w:p w14:paraId="504C9067">
            <w:pPr>
              <w:spacing w:line="420" w:lineRule="exact"/>
              <w:rPr>
                <w:rFonts w:ascii="宋体" w:hAnsi="宋体" w:cs="宋体"/>
                <w:color w:val="auto"/>
                <w:szCs w:val="21"/>
                <w:highlight w:val="none"/>
              </w:rPr>
            </w:pPr>
            <w:r>
              <w:rPr>
                <w:rFonts w:hint="eastAsia" w:ascii="宋体" w:hAnsi="宋体" w:cs="宋体"/>
                <w:color w:val="auto"/>
                <w:szCs w:val="21"/>
                <w:highlight w:val="none"/>
              </w:rPr>
              <w:t>3、材质参数：</w:t>
            </w:r>
          </w:p>
          <w:p w14:paraId="47727AFB">
            <w:pPr>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（1）板材：主材均采用16mm厚E1 级环保三聚氰胺饰面实木颗粒板制作，背板采用5mm厚中密度板。</w:t>
            </w:r>
          </w:p>
          <w:p w14:paraId="10BF58D2">
            <w:pPr>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）ABS防潮脚垫(≥50×20×28mm)：脚垫高度为≥18mm，板材不直接接触地面，防水效果好。</w:t>
            </w:r>
          </w:p>
          <w:p w14:paraId="6051C180">
            <w:pPr>
              <w:widowControl/>
              <w:spacing w:line="420" w:lineRule="exact"/>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w:t>
            </w:r>
            <w:r>
              <w:rPr>
                <w:rFonts w:hint="eastAsia" w:ascii="宋体" w:hAnsi="宋体" w:cs="宋体"/>
                <w:color w:val="auto"/>
                <w:kern w:val="0"/>
                <w:szCs w:val="21"/>
                <w:highlight w:val="none"/>
              </w:rPr>
              <w:t>封边：均采用1.5mm厚的PVC 封边条，无透胶、无凹陷、无压痕、 无脱胶、无气泡。</w:t>
            </w:r>
          </w:p>
          <w:p w14:paraId="7EB066E6">
            <w:pPr>
              <w:widowControl/>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)拉手：采用明锁暗挂。</w:t>
            </w:r>
          </w:p>
          <w:p w14:paraId="3645D9FA">
            <w:pPr>
              <w:widowControl/>
              <w:spacing w:line="420" w:lineRule="exact"/>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）五金件：均采用“迪森”或“DTC”或“顶固”等同等档次品牌五金配件。</w:t>
            </w:r>
          </w:p>
          <w:p w14:paraId="05157CED">
            <w:pPr>
              <w:spacing w:line="360" w:lineRule="auto"/>
              <w:rPr>
                <w:rFonts w:hint="default" w:ascii="宋体" w:hAnsi="宋体" w:cs="宋体"/>
                <w:color w:val="auto"/>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）柜门铰链：采用“迪森”或“DTC”或“顶固”等同等档次品牌铰链，开度≥90度，开门任意位置定位</w:t>
            </w:r>
            <w:r>
              <w:rPr>
                <w:rFonts w:hint="eastAsia"/>
                <w:color w:val="auto"/>
                <w:highlight w:val="none"/>
              </w:rPr>
              <w:t>。</w:t>
            </w:r>
          </w:p>
          <w:p w14:paraId="583B4100">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三、公寓椅</w:t>
            </w:r>
          </w:p>
          <w:p w14:paraId="2C2806D0">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1、规格</w:t>
            </w:r>
            <w:r>
              <w:rPr>
                <w:rFonts w:hint="eastAsia" w:ascii="宋体" w:hAnsi="宋体" w:cs="宋体"/>
                <w:color w:val="auto"/>
                <w:szCs w:val="21"/>
                <w:lang w:val="en-US" w:eastAsia="zh-CN"/>
              </w:rPr>
              <w:t>尺寸</w:t>
            </w:r>
            <w:r>
              <w:rPr>
                <w:rFonts w:hint="eastAsia" w:ascii="宋体" w:hAnsi="宋体" w:cs="宋体"/>
                <w:color w:val="auto"/>
                <w:szCs w:val="21"/>
                <w:lang w:eastAsia="zh-CN"/>
              </w:rPr>
              <w:t>: ≧360L×360D×780H（mm）</w:t>
            </w:r>
          </w:p>
          <w:p w14:paraId="4F2FBCE8">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2、座板规格：≧360×360×9mm，靠背为≧：360×150×9mm。</w:t>
            </w:r>
          </w:p>
          <w:p w14:paraId="5FE37165">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3、座椅的金属管件采用尺寸不小于20mm×40mm、管壁厚度不小于1.0mm的椭圆管，椅背金属管件进深不小于座面有效深的1/3，且不大于座面有效深的1/2。</w:t>
            </w:r>
            <w:r>
              <w:rPr>
                <w:rFonts w:hint="eastAsia" w:ascii="宋体" w:hAnsi="宋体" w:cs="宋体"/>
                <w:color w:val="auto"/>
                <w:szCs w:val="21"/>
                <w:lang w:val="en-US" w:eastAsia="zh-CN"/>
              </w:rPr>
              <w:t>椅架经预脱脂-脱脂-水洗-酸洗-水洗-中和-表调-磷化-水洗-钝化等十工位表面处理工序，表面喷涂优质环保环氧聚脂粉静电喷塑。喷塑外膜的表面光滑平整，色泽均匀，喷塑层无漏喷、起泡、模糊、划痕或碰伤等缺陷，采用粉末涂料符合国家标准，符合HG/T 2006-2022《热固性和热塑性粉末涂料》标准。</w:t>
            </w:r>
          </w:p>
          <w:p w14:paraId="5D75B235">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4、座椅座面采用厚度不小于10mm，甲醛释放量不大于E1级的7层（或7层以上）普通胶合板，座板采用木纹贴面防火板。</w:t>
            </w:r>
          </w:p>
          <w:p w14:paraId="4BA95C9B">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5、座椅靠背面采用厚度不小于9mm，甲醛释放量不大于E1级的7层（或7层以上）普通胶合板，靠背板采用木纹贴面防火板。</w:t>
            </w:r>
          </w:p>
          <w:p w14:paraId="3CCEB7AB">
            <w:pPr>
              <w:spacing w:line="360" w:lineRule="auto"/>
              <w:rPr>
                <w:rFonts w:hint="eastAsia"/>
                <w:color w:val="auto"/>
                <w:lang w:val="en-US" w:eastAsia="zh-CN"/>
              </w:rPr>
            </w:pPr>
            <w:r>
              <w:rPr>
                <w:rFonts w:hint="eastAsia" w:ascii="宋体" w:hAnsi="宋体" w:cs="宋体"/>
                <w:color w:val="auto"/>
                <w:szCs w:val="21"/>
                <w:lang w:eastAsia="zh-CN"/>
              </w:rPr>
              <w:t>6、胶合板符合GB/T 9846-2015《普通胶合板》的标准。</w:t>
            </w:r>
          </w:p>
          <w:p w14:paraId="3E88F830">
            <w:pPr>
              <w:spacing w:line="360" w:lineRule="auto"/>
              <w:rPr>
                <w:rFonts w:hint="eastAsia"/>
                <w:color w:val="auto"/>
              </w:rPr>
            </w:pPr>
            <w:r>
              <w:rPr>
                <w:rFonts w:hint="eastAsia"/>
                <w:color w:val="auto"/>
                <w:lang w:val="en-US" w:eastAsia="zh-CN"/>
              </w:rPr>
              <w:t>四</w:t>
            </w:r>
            <w:r>
              <w:rPr>
                <w:rFonts w:hint="eastAsia"/>
                <w:color w:val="auto"/>
              </w:rPr>
              <w:t>、其它要求：</w:t>
            </w:r>
          </w:p>
          <w:p w14:paraId="4B09D50C">
            <w:pPr>
              <w:spacing w:line="360" w:lineRule="auto"/>
              <w:rPr>
                <w:rFonts w:hint="eastAsia"/>
                <w:color w:val="auto"/>
              </w:rPr>
            </w:pPr>
            <w:r>
              <w:rPr>
                <w:rFonts w:hint="eastAsia"/>
                <w:color w:val="auto"/>
              </w:rPr>
              <w:t>为确保采购项目的完成质量和维护公平的竞争及合同的正常履行，防止虚假应标，投标厂家投标文件中必需提供下列检测报告，原件备查;检测报告的送检单位必须是投标人或生产厂家，检测内容必须符合，否则竞标无效：</w:t>
            </w:r>
          </w:p>
          <w:p w14:paraId="0C1A738F">
            <w:pPr>
              <w:spacing w:line="360" w:lineRule="auto"/>
              <w:rPr>
                <w:rFonts w:hint="eastAsia" w:eastAsia="宋体"/>
                <w:color w:val="auto"/>
                <w:lang w:val="en-US" w:eastAsia="zh-CN"/>
              </w:rPr>
            </w:pPr>
            <w:r>
              <w:rPr>
                <w:rFonts w:hint="eastAsia"/>
                <w:color w:val="auto"/>
                <w:lang w:val="en-US" w:eastAsia="zh-CN"/>
              </w:rPr>
              <w:t>1、“公寓床”第三方检测机构出具符合参数要求的检测报告：检验依据包含但不限于QB/T 2741-2013《学生公寓多功能家具》，检测项目包含但不限于：形状和位置公差、外观要求、理化性能、力学性能、安装、甲醛释放量、产品寿命、甲醛释放量、苯、甲苯、二甲苯、总挥发性有机化合物(TVOC)、家具涂层可迁移元素、燃烧性能、抗菌性能、耐毒菌性、气干密度，所检项目符合相关规定。</w:t>
            </w:r>
          </w:p>
          <w:p w14:paraId="024616E8">
            <w:pPr>
              <w:spacing w:line="360" w:lineRule="auto"/>
              <w:rPr>
                <w:rFonts w:hint="eastAsia" w:eastAsia="宋体"/>
                <w:color w:val="auto"/>
                <w:lang w:val="en-US" w:eastAsia="zh-CN"/>
              </w:rPr>
            </w:pPr>
            <w:r>
              <w:rPr>
                <w:rFonts w:hint="eastAsia"/>
                <w:color w:val="auto"/>
                <w:lang w:val="en-US" w:eastAsia="zh-CN"/>
              </w:rPr>
              <w:t>2、“冷轧钢板”第三方检测机构出具符合参数要求的检测报告：检验依据包含但不限于GB/T 11253-2019《碳素结构钢冷轧钢板及钢带》，检测项目包含但不限于：化学成分、力学性能、乙酸盐雾试验耐腐蚀等级达到 10 级等，可溶性铅</w:t>
            </w:r>
            <w:r>
              <w:rPr>
                <w:rFonts w:hint="default" w:ascii="Arial" w:hAnsi="Arial" w:cs="Arial"/>
                <w:color w:val="auto"/>
                <w:lang w:val="en-US" w:eastAsia="zh-CN"/>
              </w:rPr>
              <w:t>≤</w:t>
            </w:r>
            <w:r>
              <w:rPr>
                <w:rFonts w:hint="eastAsia"/>
                <w:color w:val="auto"/>
                <w:lang w:val="en-US" w:eastAsia="zh-CN"/>
              </w:rPr>
              <w:t>90mg/kg，可溶性镉</w:t>
            </w:r>
            <w:r>
              <w:rPr>
                <w:rFonts w:hint="default" w:ascii="Arial" w:hAnsi="Arial" w:cs="Arial"/>
                <w:color w:val="auto"/>
                <w:lang w:val="en-US" w:eastAsia="zh-CN"/>
              </w:rPr>
              <w:t>≤</w:t>
            </w:r>
            <w:r>
              <w:rPr>
                <w:rFonts w:hint="eastAsia"/>
                <w:color w:val="auto"/>
                <w:lang w:val="en-US" w:eastAsia="zh-CN"/>
              </w:rPr>
              <w:t>75mg/kg，可溶性铬</w:t>
            </w:r>
            <w:r>
              <w:rPr>
                <w:rFonts w:hint="default" w:ascii="Arial" w:hAnsi="Arial" w:cs="Arial"/>
                <w:color w:val="auto"/>
                <w:lang w:val="en-US" w:eastAsia="zh-CN"/>
              </w:rPr>
              <w:t>≤</w:t>
            </w:r>
            <w:r>
              <w:rPr>
                <w:rFonts w:hint="eastAsia"/>
                <w:color w:val="auto"/>
                <w:lang w:val="en-US" w:eastAsia="zh-CN"/>
              </w:rPr>
              <w:t>60mg/kg，可溶性贡</w:t>
            </w:r>
            <w:r>
              <w:rPr>
                <w:rFonts w:hint="default" w:ascii="Arial" w:hAnsi="Arial" w:cs="Arial"/>
                <w:color w:val="auto"/>
                <w:lang w:val="en-US" w:eastAsia="zh-CN"/>
              </w:rPr>
              <w:t>≤</w:t>
            </w:r>
            <w:r>
              <w:rPr>
                <w:rFonts w:hint="eastAsia"/>
                <w:color w:val="auto"/>
                <w:lang w:val="en-US" w:eastAsia="zh-CN"/>
              </w:rPr>
              <w:t>60mg/kg，所检项目符合相关规定。</w:t>
            </w:r>
          </w:p>
          <w:p w14:paraId="0601C74A">
            <w:pPr>
              <w:spacing w:line="360" w:lineRule="auto"/>
              <w:rPr>
                <w:rFonts w:hint="default" w:eastAsia="宋体"/>
                <w:color w:val="auto"/>
                <w:lang w:val="en-US" w:eastAsia="zh-CN"/>
              </w:rPr>
            </w:pPr>
            <w:r>
              <w:rPr>
                <w:rFonts w:hint="eastAsia"/>
                <w:color w:val="auto"/>
                <w:lang w:val="en-US" w:eastAsia="zh-CN"/>
              </w:rPr>
              <w:t>3、“塑粉”第三方检测机构出具符合参数要求的检测报告：检验依据包含但不限于：HG/T 2006-2022《热固性和热塑性粉末涂料》，检测项目包含但不限于：外观、筛余物、涂膜外观、附着力（干附着力、沸水附着力、湿附着力）、铅笔硬度、耐冲击性、杯突试验、弯曲试验、耐磨性、耐酸性（240h）、耐碱性（168h）、耐沸水性、耐中性盐雾性、耐湿性、抗细菌率99% ，所检项目符合相关规定。</w:t>
            </w:r>
          </w:p>
          <w:p w14:paraId="39BECD08">
            <w:pPr>
              <w:spacing w:line="360" w:lineRule="auto"/>
              <w:rPr>
                <w:rFonts w:hint="default" w:eastAsia="宋体"/>
                <w:color w:val="auto"/>
                <w:lang w:val="en-US" w:eastAsia="zh-CN"/>
              </w:rPr>
            </w:pPr>
            <w:r>
              <w:rPr>
                <w:rFonts w:hint="eastAsia"/>
                <w:color w:val="auto"/>
                <w:lang w:val="en-US" w:eastAsia="zh-CN"/>
              </w:rPr>
              <w:t>4、“公寓椅”第三方检测机构出具符合参数要求的检测报告：检验依据包含但不限于：GB/T 3325-2024《金属家具通用技术条件》，检测项目包含但不限于：理化性能、力学性能，所检项目符合相关规定。</w:t>
            </w:r>
          </w:p>
          <w:p w14:paraId="39D43949">
            <w:pPr>
              <w:widowControl/>
              <w:spacing w:line="276" w:lineRule="auto"/>
              <w:jc w:val="left"/>
              <w:rPr>
                <w:rFonts w:hint="eastAsia" w:ascii="宋体" w:hAnsi="宋体" w:eastAsia="宋体" w:cs="宋体"/>
                <w:color w:val="auto"/>
                <w:sz w:val="21"/>
                <w:szCs w:val="21"/>
              </w:rPr>
            </w:pPr>
            <w:r>
              <w:rPr>
                <w:rFonts w:hint="eastAsia"/>
                <w:color w:val="auto"/>
                <w:lang w:val="en-US" w:eastAsia="zh-CN"/>
              </w:rPr>
              <w:t>5、“多层实木板（胶合板）”第三方检测机构出具符合参数要求的检测报告：检验依据包含但不限于：GB/T9846-2015《普通胶合板》、，检测项目包含但不限于：规格尺寸及其偏差、外观质量、含水率、胶合强度、浸渍剥离、静曲强度、弹性模量、甲醛释放量分级要求、挥发性有机化合物(72h)，所检项目符合相关规定。</w:t>
            </w:r>
          </w:p>
        </w:tc>
        <w:tc>
          <w:tcPr>
            <w:tcW w:w="645" w:type="dxa"/>
            <w:vAlign w:val="center"/>
          </w:tcPr>
          <w:p w14:paraId="15A981FB">
            <w:pPr>
              <w:jc w:val="center"/>
              <w:rPr>
                <w:rFonts w:hint="eastAsia" w:ascii="宋体" w:hAnsi="宋体" w:eastAsia="宋体"/>
                <w:color w:val="auto"/>
                <w:sz w:val="18"/>
                <w:szCs w:val="18"/>
                <w:u w:val="single"/>
                <w:lang w:val="en-US" w:eastAsia="zh-CN"/>
              </w:rPr>
            </w:pPr>
            <w:r>
              <w:rPr>
                <w:rFonts w:hint="eastAsia" w:ascii="宋体" w:hAnsi="宋体"/>
                <w:color w:val="auto"/>
                <w:sz w:val="18"/>
                <w:szCs w:val="18"/>
                <w:u w:val="single"/>
                <w:lang w:val="en-US" w:eastAsia="zh-CN"/>
              </w:rPr>
              <w:t>套</w:t>
            </w:r>
          </w:p>
        </w:tc>
        <w:tc>
          <w:tcPr>
            <w:tcW w:w="600" w:type="dxa"/>
            <w:vAlign w:val="center"/>
          </w:tcPr>
          <w:p w14:paraId="52175AA4">
            <w:pPr>
              <w:jc w:val="center"/>
              <w:rPr>
                <w:rFonts w:ascii="宋体" w:hAnsi="宋体" w:eastAsia="宋体"/>
                <w:color w:val="auto"/>
                <w:sz w:val="18"/>
                <w:szCs w:val="18"/>
                <w:lang w:val="en-US" w:eastAsia="zh-CN"/>
              </w:rPr>
            </w:pPr>
            <w:r>
              <w:rPr>
                <w:rFonts w:hint="eastAsia" w:ascii="宋体" w:hAnsi="宋体"/>
                <w:color w:val="auto"/>
                <w:sz w:val="18"/>
                <w:szCs w:val="18"/>
                <w:lang w:val="en-US" w:eastAsia="zh-CN"/>
              </w:rPr>
              <w:t>240</w:t>
            </w:r>
          </w:p>
        </w:tc>
        <w:tc>
          <w:tcPr>
            <w:tcW w:w="690" w:type="dxa"/>
            <w:vAlign w:val="center"/>
          </w:tcPr>
          <w:p w14:paraId="1B718DAB">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2000</w:t>
            </w:r>
          </w:p>
        </w:tc>
        <w:tc>
          <w:tcPr>
            <w:tcW w:w="1095" w:type="dxa"/>
            <w:vAlign w:val="center"/>
          </w:tcPr>
          <w:p w14:paraId="674C0E95">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480000</w:t>
            </w:r>
          </w:p>
        </w:tc>
        <w:tc>
          <w:tcPr>
            <w:tcW w:w="660" w:type="dxa"/>
            <w:vAlign w:val="center"/>
          </w:tcPr>
          <w:p w14:paraId="5BBB5795">
            <w:pPr>
              <w:jc w:val="center"/>
              <w:rPr>
                <w:rFonts w:ascii="宋体" w:hAnsi="宋体" w:eastAsia="宋体"/>
                <w:color w:val="auto"/>
                <w:sz w:val="18"/>
                <w:szCs w:val="18"/>
                <w:u w:val="single"/>
                <w:lang w:val="en-US" w:eastAsia="zh-CN"/>
              </w:rPr>
            </w:pPr>
            <w:r>
              <w:rPr>
                <w:rFonts w:hint="eastAsia" w:ascii="宋体" w:hAnsi="宋体" w:eastAsia="宋体"/>
                <w:color w:val="auto"/>
                <w:sz w:val="18"/>
                <w:szCs w:val="18"/>
                <w:u w:val="single"/>
                <w:lang w:val="en-US" w:eastAsia="zh-CN"/>
              </w:rPr>
              <w:t>否</w:t>
            </w:r>
          </w:p>
        </w:tc>
        <w:tc>
          <w:tcPr>
            <w:tcW w:w="3434" w:type="dxa"/>
            <w:vAlign w:val="center"/>
          </w:tcPr>
          <w:p w14:paraId="6C11732A">
            <w:pPr>
              <w:rPr>
                <w:color w:val="auto"/>
                <w:sz w:val="18"/>
                <w:szCs w:val="18"/>
                <w:u w:val="single"/>
              </w:rPr>
            </w:pPr>
          </w:p>
          <w:p w14:paraId="2C91048F">
            <w:pPr>
              <w:rPr>
                <w:color w:val="auto"/>
                <w:sz w:val="18"/>
                <w:szCs w:val="18"/>
                <w:u w:val="single"/>
              </w:rPr>
            </w:pPr>
          </w:p>
          <w:p w14:paraId="07DBB58C">
            <w:pPr>
              <w:jc w:val="center"/>
              <w:rPr>
                <w:rFonts w:hint="eastAsia"/>
                <w:color w:val="auto"/>
                <w:sz w:val="18"/>
                <w:szCs w:val="18"/>
                <w:u w:val="single"/>
              </w:rPr>
            </w:pPr>
            <w:r>
              <w:rPr>
                <w:rFonts w:hint="eastAsia" w:ascii="宋体" w:hAnsi="宋体" w:eastAsia="宋体" w:cs="宋体"/>
                <w:color w:val="auto"/>
                <w:sz w:val="21"/>
                <w:szCs w:val="21"/>
                <w:vertAlign w:val="baseline"/>
                <w:lang w:eastAsia="zh-CN"/>
              </w:rPr>
              <w:drawing>
                <wp:inline distT="0" distB="0" distL="114300" distR="114300">
                  <wp:extent cx="1179195" cy="1247775"/>
                  <wp:effectExtent l="0" t="0" r="1905" b="9525"/>
                  <wp:docPr id="6" name="图片 6" descr="0bd46f57ac169023023dc8d6fd8b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d46f57ac169023023dc8d6fd8b540"/>
                          <pic:cNvPicPr>
                            <a:picLocks noChangeAspect="1"/>
                          </pic:cNvPicPr>
                        </pic:nvPicPr>
                        <pic:blipFill>
                          <a:blip r:embed="rId6"/>
                          <a:stretch>
                            <a:fillRect/>
                          </a:stretch>
                        </pic:blipFill>
                        <pic:spPr>
                          <a:xfrm>
                            <a:off x="0" y="0"/>
                            <a:ext cx="1179195" cy="1247775"/>
                          </a:xfrm>
                          <a:prstGeom prst="rect">
                            <a:avLst/>
                          </a:prstGeom>
                        </pic:spPr>
                      </pic:pic>
                    </a:graphicData>
                  </a:graphic>
                </wp:inline>
              </w:drawing>
            </w:r>
          </w:p>
          <w:p w14:paraId="3E1424E8">
            <w:pPr>
              <w:jc w:val="center"/>
              <w:rPr>
                <w:color w:val="auto"/>
                <w:sz w:val="18"/>
                <w:szCs w:val="18"/>
                <w:u w:val="single"/>
              </w:rPr>
            </w:pPr>
          </w:p>
          <w:p w14:paraId="5EB78991">
            <w:pPr>
              <w:jc w:val="center"/>
              <w:rPr>
                <w:color w:val="auto"/>
                <w:sz w:val="18"/>
                <w:szCs w:val="18"/>
                <w:u w:val="single"/>
              </w:rPr>
            </w:pPr>
          </w:p>
          <w:p w14:paraId="716168FB">
            <w:pPr>
              <w:jc w:val="center"/>
              <w:rPr>
                <w:color w:val="auto"/>
                <w:sz w:val="18"/>
                <w:szCs w:val="18"/>
                <w:u w:val="single"/>
              </w:rPr>
            </w:pPr>
          </w:p>
          <w:p w14:paraId="0E0E955C">
            <w:pPr>
              <w:jc w:val="center"/>
              <w:rPr>
                <w:color w:val="auto"/>
                <w:sz w:val="18"/>
                <w:szCs w:val="18"/>
                <w:u w:val="single"/>
              </w:rPr>
            </w:pPr>
          </w:p>
          <w:p w14:paraId="728C8EC2">
            <w:pPr>
              <w:jc w:val="center"/>
              <w:rPr>
                <w:color w:val="auto"/>
                <w:sz w:val="18"/>
                <w:szCs w:val="18"/>
                <w:u w:val="single"/>
              </w:rPr>
            </w:pPr>
          </w:p>
          <w:p w14:paraId="3573F4C6">
            <w:pPr>
              <w:jc w:val="center"/>
              <w:rPr>
                <w:color w:val="auto"/>
                <w:sz w:val="18"/>
                <w:szCs w:val="18"/>
                <w:u w:val="single"/>
              </w:rPr>
            </w:pPr>
            <w:r>
              <w:rPr>
                <w:color w:val="auto"/>
              </w:rPr>
              <w:drawing>
                <wp:anchor distT="0" distB="0" distL="114300" distR="114300" simplePos="0" relativeHeight="251659264" behindDoc="0" locked="0" layoutInCell="1" allowOverlap="1">
                  <wp:simplePos x="0" y="0"/>
                  <wp:positionH relativeFrom="column">
                    <wp:posOffset>560070</wp:posOffset>
                  </wp:positionH>
                  <wp:positionV relativeFrom="paragraph">
                    <wp:posOffset>155575</wp:posOffset>
                  </wp:positionV>
                  <wp:extent cx="1028700" cy="1323975"/>
                  <wp:effectExtent l="0" t="0" r="0" b="952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028700" cy="1323975"/>
                          </a:xfrm>
                          <a:prstGeom prst="rect">
                            <a:avLst/>
                          </a:prstGeom>
                          <a:noFill/>
                          <a:ln>
                            <a:noFill/>
                          </a:ln>
                        </pic:spPr>
                      </pic:pic>
                    </a:graphicData>
                  </a:graphic>
                </wp:anchor>
              </w:drawing>
            </w:r>
          </w:p>
          <w:p w14:paraId="1F1AD679">
            <w:pPr>
              <w:jc w:val="center"/>
              <w:rPr>
                <w:color w:val="auto"/>
                <w:sz w:val="18"/>
                <w:szCs w:val="18"/>
                <w:u w:val="single"/>
              </w:rPr>
            </w:pPr>
          </w:p>
          <w:p w14:paraId="48B2721E">
            <w:pPr>
              <w:jc w:val="center"/>
              <w:rPr>
                <w:color w:val="auto"/>
                <w:sz w:val="18"/>
                <w:szCs w:val="18"/>
                <w:u w:val="single"/>
              </w:rPr>
            </w:pPr>
          </w:p>
          <w:p w14:paraId="5EB9F151">
            <w:pPr>
              <w:jc w:val="center"/>
              <w:rPr>
                <w:color w:val="auto"/>
                <w:sz w:val="18"/>
                <w:szCs w:val="18"/>
                <w:u w:val="single"/>
              </w:rPr>
            </w:pPr>
          </w:p>
          <w:p w14:paraId="0706F9D3">
            <w:pPr>
              <w:jc w:val="center"/>
              <w:rPr>
                <w:color w:val="auto"/>
                <w:sz w:val="18"/>
                <w:szCs w:val="18"/>
                <w:u w:val="single"/>
              </w:rPr>
            </w:pPr>
          </w:p>
          <w:p w14:paraId="4FFBF440">
            <w:pPr>
              <w:jc w:val="center"/>
              <w:rPr>
                <w:color w:val="auto"/>
                <w:sz w:val="18"/>
                <w:szCs w:val="18"/>
                <w:u w:val="single"/>
              </w:rPr>
            </w:pPr>
          </w:p>
          <w:p w14:paraId="0651F0C7">
            <w:pPr>
              <w:jc w:val="center"/>
              <w:rPr>
                <w:color w:val="auto"/>
                <w:sz w:val="18"/>
                <w:szCs w:val="18"/>
                <w:u w:val="single"/>
              </w:rPr>
            </w:pPr>
          </w:p>
          <w:p w14:paraId="2904F83C">
            <w:pPr>
              <w:jc w:val="center"/>
              <w:rPr>
                <w:color w:val="auto"/>
                <w:sz w:val="18"/>
                <w:szCs w:val="18"/>
                <w:u w:val="single"/>
              </w:rPr>
            </w:pPr>
          </w:p>
          <w:p w14:paraId="715015DC">
            <w:pPr>
              <w:jc w:val="center"/>
              <w:rPr>
                <w:color w:val="auto"/>
                <w:sz w:val="18"/>
                <w:szCs w:val="18"/>
                <w:u w:val="single"/>
              </w:rPr>
            </w:pPr>
          </w:p>
          <w:p w14:paraId="6620670E">
            <w:pPr>
              <w:jc w:val="center"/>
              <w:rPr>
                <w:color w:val="auto"/>
                <w:sz w:val="18"/>
                <w:szCs w:val="18"/>
                <w:u w:val="single"/>
              </w:rPr>
            </w:pPr>
          </w:p>
          <w:p w14:paraId="503D17BD">
            <w:pPr>
              <w:jc w:val="center"/>
              <w:rPr>
                <w:color w:val="auto"/>
                <w:sz w:val="18"/>
                <w:szCs w:val="18"/>
                <w:u w:val="single"/>
              </w:rPr>
            </w:pPr>
          </w:p>
        </w:tc>
        <w:tc>
          <w:tcPr>
            <w:tcW w:w="531" w:type="dxa"/>
            <w:vAlign w:val="center"/>
          </w:tcPr>
          <w:p w14:paraId="7EB2A22D">
            <w:pPr>
              <w:jc w:val="center"/>
              <w:rPr>
                <w:rFonts w:ascii="宋体" w:hAnsi="宋体"/>
                <w:color w:val="auto"/>
                <w:sz w:val="18"/>
                <w:szCs w:val="18"/>
                <w:u w:val="single"/>
              </w:rPr>
            </w:pPr>
          </w:p>
        </w:tc>
      </w:tr>
      <w:tr w14:paraId="3C6A1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028F018D">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36" w:type="dxa"/>
            <w:vAlign w:val="center"/>
          </w:tcPr>
          <w:p w14:paraId="532C284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上下铺钢架床</w:t>
            </w:r>
          </w:p>
        </w:tc>
        <w:tc>
          <w:tcPr>
            <w:tcW w:w="727" w:type="dxa"/>
            <w:vAlign w:val="center"/>
          </w:tcPr>
          <w:p w14:paraId="12DCA1F1">
            <w:pPr>
              <w:rPr>
                <w:rFonts w:hint="eastAsia" w:ascii="宋体" w:hAnsi="宋体" w:eastAsia="宋体" w:cs="宋体"/>
                <w:color w:val="auto"/>
                <w:sz w:val="18"/>
                <w:szCs w:val="18"/>
              </w:rPr>
            </w:pPr>
            <w:r>
              <w:rPr>
                <w:rFonts w:hint="eastAsia" w:ascii="宋体" w:hAnsi="宋体" w:eastAsia="宋体" w:cs="宋体"/>
                <w:color w:val="auto"/>
                <w:sz w:val="18"/>
                <w:szCs w:val="18"/>
              </w:rPr>
              <w:t>懿德轩、桂红光、菲木森</w:t>
            </w:r>
          </w:p>
        </w:tc>
        <w:tc>
          <w:tcPr>
            <w:tcW w:w="5558" w:type="dxa"/>
            <w:vAlign w:val="top"/>
          </w:tcPr>
          <w:p w14:paraId="786CD2E7">
            <w:pPr>
              <w:snapToGrid/>
              <w:spacing w:before="0" w:beforeAutospacing="0" w:after="0" w:afterAutospacing="0" w:line="360" w:lineRule="auto"/>
              <w:jc w:val="left"/>
              <w:textAlignment w:val="baseline"/>
              <w:rPr>
                <w:rStyle w:val="24"/>
                <w:rFonts w:hint="eastAsia" w:ascii="宋体" w:hAnsi="宋体" w:eastAsia="宋体" w:cs="宋体"/>
                <w:b/>
                <w:i w:val="0"/>
                <w:caps w:val="0"/>
                <w:color w:val="auto"/>
                <w:spacing w:val="0"/>
                <w:w w:val="100"/>
                <w:kern w:val="2"/>
                <w:sz w:val="21"/>
                <w:szCs w:val="21"/>
                <w:lang w:val="en-US" w:eastAsia="zh-CN" w:bidi="ar-SA"/>
              </w:rPr>
            </w:pPr>
            <w:r>
              <w:rPr>
                <w:rStyle w:val="24"/>
                <w:rFonts w:hint="eastAsia" w:ascii="宋体" w:hAnsi="宋体" w:eastAsia="宋体" w:cs="宋体"/>
                <w:b/>
                <w:i w:val="0"/>
                <w:caps w:val="0"/>
                <w:color w:val="auto"/>
                <w:spacing w:val="0"/>
                <w:w w:val="100"/>
                <w:kern w:val="2"/>
                <w:sz w:val="21"/>
                <w:szCs w:val="21"/>
                <w:lang w:val="en-US" w:eastAsia="zh-CN" w:bidi="ar-SA"/>
              </w:rPr>
              <w:t>概述：本双层床为单体双层床，床架钢件部份分为7个组件，具体为：1、床左拼，2、床右拼，3、上床架（含安全栏），4、下床架，5、蚊帐架1副，6、床梯子1套。7、床下柜1组</w:t>
            </w:r>
          </w:p>
          <w:p w14:paraId="7A3F82B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床架材质要求：管材选用符合GB/T3094-2012标准的优质钢管，钢管材质为Q235（或优于Q235）优质钢材，经除油、酸洗、磷化、除锈处理，表面静电喷塑处理，钢管材质符合国家标准。</w:t>
            </w:r>
          </w:p>
          <w:p w14:paraId="62121DA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规格：长</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0mm×宽</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00mm×高</w:t>
            </w: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rPr>
              <w:t>0mm；</w:t>
            </w:r>
          </w:p>
          <w:p w14:paraId="36224D6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床立柱：采用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0mm×</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0mm×1.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mm壁厚优质方钢管；</w:t>
            </w:r>
          </w:p>
          <w:p w14:paraId="0C00314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床母：采用25mm×50mm×1.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mm优质冷轧钢管；</w:t>
            </w:r>
          </w:p>
          <w:p w14:paraId="07F1484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立柱床头横管：采用20mm×30mm×1.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mm优质冷轧钢管；</w:t>
            </w:r>
          </w:p>
          <w:p w14:paraId="6C9F42A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床母横担：采用20mm×30mm×1.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mm优质冷轧钢管，横担不少于4根；</w:t>
            </w:r>
          </w:p>
          <w:p w14:paraId="627EB7F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床横梁与床立柱卡式连接件：①整张床架除床梯为螺丝插入式连接外，其余采用卡扣式连接，不得采用螺丝连接，</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连接扣件经冲床冲压而成，连接卡口不少于三个，成型后卡梢部位钢材厚度为1.8mm，卡梢总宽度不小于20mm；卡梢进深不少于15mm，床梃（床母）扣件规格不小于200mm×</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mm；</w:t>
            </w:r>
          </w:p>
          <w:p w14:paraId="1F3713D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床护栏：采用Φ19mm×1.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mm优质圆管，高度不小于300mm，长度不小于1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00mm。</w:t>
            </w:r>
          </w:p>
          <w:p w14:paraId="17EA9C3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爬</w:t>
            </w:r>
            <w:r>
              <w:rPr>
                <w:rFonts w:hint="eastAsia" w:ascii="宋体" w:hAnsi="宋体" w:eastAsia="宋体" w:cs="宋体"/>
                <w:color w:val="auto"/>
                <w:sz w:val="21"/>
                <w:szCs w:val="21"/>
              </w:rPr>
              <w:t>梯：采用25mm×25mm×1.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mm方管；</w:t>
            </w:r>
          </w:p>
          <w:p w14:paraId="24A3380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蚊帐杆：采用Φ1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mm×1.0mm壁厚的圆管为支撑；</w:t>
            </w:r>
          </w:p>
          <w:p w14:paraId="768E2AA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床板：采用1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mm厚杉木实木铺板，</w:t>
            </w:r>
            <w:r>
              <w:rPr>
                <w:rFonts w:hint="eastAsia" w:ascii="宋体" w:hAnsi="宋体" w:eastAsia="宋体" w:cs="宋体"/>
                <w:color w:val="auto"/>
                <w:sz w:val="21"/>
                <w:szCs w:val="21"/>
                <w:lang w:eastAsia="zh-CN"/>
              </w:rPr>
              <w:t>单面抛光，</w:t>
            </w:r>
            <w:r>
              <w:rPr>
                <w:rFonts w:hint="eastAsia" w:ascii="宋体" w:hAnsi="宋体" w:eastAsia="宋体" w:cs="宋体"/>
                <w:color w:val="auto"/>
                <w:sz w:val="21"/>
                <w:szCs w:val="21"/>
              </w:rPr>
              <w:t>带加强筋，干燥处理，拼装板数不超过</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块，背部固定横条不少于3条，规格为30mm×20mm的实木方料；</w:t>
            </w:r>
          </w:p>
          <w:p w14:paraId="7EC1ACDE">
            <w:pPr>
              <w:spacing w:line="360" w:lineRule="auto"/>
              <w:rPr>
                <w:rFonts w:hint="eastAsia" w:ascii="宋体" w:hAnsi="宋体" w:eastAsia="宋体" w:cs="宋体"/>
                <w:color w:val="auto"/>
                <w:sz w:val="21"/>
                <w:szCs w:val="21"/>
              </w:rPr>
            </w:pPr>
            <w:r>
              <w:rPr>
                <w:rStyle w:val="24"/>
                <w:rFonts w:hint="eastAsia" w:ascii="宋体" w:hAnsi="宋体" w:eastAsia="宋体" w:cs="宋体"/>
                <w:b/>
                <w:bCs/>
                <w:i w:val="0"/>
                <w:caps w:val="0"/>
                <w:color w:val="auto"/>
                <w:spacing w:val="0"/>
                <w:w w:val="100"/>
                <w:kern w:val="0"/>
                <w:sz w:val="21"/>
                <w:szCs w:val="21"/>
                <w:lang w:val="en-US" w:eastAsia="zh-CN" w:bidi="ar-SA"/>
              </w:rPr>
              <w:t>12、床下柜：</w:t>
            </w:r>
            <w:r>
              <w:rPr>
                <w:rStyle w:val="24"/>
                <w:rFonts w:hint="eastAsia" w:ascii="宋体" w:hAnsi="宋体" w:eastAsia="宋体" w:cs="宋体"/>
                <w:b w:val="0"/>
                <w:bCs w:val="0"/>
                <w:i w:val="0"/>
                <w:caps w:val="0"/>
                <w:color w:val="auto"/>
                <w:spacing w:val="0"/>
                <w:w w:val="100"/>
                <w:kern w:val="0"/>
                <w:sz w:val="21"/>
                <w:szCs w:val="21"/>
                <w:lang w:val="en-US" w:eastAsia="zh-CN" w:bidi="ar-SA"/>
              </w:rPr>
              <w:t>规格为1800</w:t>
            </w:r>
            <w:r>
              <w:rPr>
                <w:rStyle w:val="24"/>
                <w:rFonts w:hint="eastAsia" w:ascii="宋体" w:hAnsi="宋体" w:eastAsia="宋体" w:cs="宋体"/>
                <w:b w:val="0"/>
                <w:i w:val="0"/>
                <w:caps w:val="0"/>
                <w:color w:val="auto"/>
                <w:spacing w:val="0"/>
                <w:w w:val="100"/>
                <w:kern w:val="2"/>
                <w:sz w:val="21"/>
                <w:szCs w:val="21"/>
                <w:lang w:val="en-US" w:eastAsia="zh-CN" w:bidi="ar-SA"/>
              </w:rPr>
              <w:t>mm×400mm×370mm，鞋架采用20*20≥1.2mm厚方管。柜体采用厚度≥0.6mm优质冷轧钢板，经预脱脂-水洗-酸洗-中和-表调-磷化-水洗-钝化前处理、灰白色喷塑，不易变形，抗冲击力强，韧度强，经久耐用。</w:t>
            </w:r>
          </w:p>
          <w:p w14:paraId="541E6D7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钢件表面处理：床体焊接采用二氧化碳气体保护焊，焊痕打磨光滑平整；表面经过严格的除油-水洗-除锈-水洗-表调-陶化-环氧处理，铁架床四脚配防滑胶套，铁床结构组合牢固，长期使用不会出现松动；</w:t>
            </w:r>
          </w:p>
          <w:p w14:paraId="7352E92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安装：①整床全部采用卡式连接紧固，②整床床体组装好后结实、牢固、安全和耐用；</w:t>
            </w:r>
          </w:p>
          <w:p w14:paraId="70E4017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床表面处理工艺：表面采用亚光静电喷塑工艺，经预脱脂-脱脂-水洗-酸洗-水洗-中和-表调-磷化-水洗-钝化十工位表面前处理工序；塑粉为表面喷涂飞亚环氧聚脂粉，颜色为皱纹灰白；</w:t>
            </w:r>
          </w:p>
          <w:p w14:paraId="5BDF8BF7">
            <w:pPr>
              <w:spacing w:line="360" w:lineRule="auto"/>
              <w:rPr>
                <w:rStyle w:val="24"/>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产品质量全部符合QB/T2741《学生公寓多功能家具》适用条款的要求；</w:t>
            </w:r>
          </w:p>
          <w:p w14:paraId="1D9C4A6F">
            <w:pPr>
              <w:tabs>
                <w:tab w:val="left" w:pos="425"/>
              </w:tabs>
              <w:snapToGrid/>
              <w:spacing w:before="0" w:beforeAutospacing="0" w:after="0" w:afterAutospacing="0" w:line="360" w:lineRule="auto"/>
              <w:ind w:right="76"/>
              <w:jc w:val="left"/>
              <w:textAlignment w:val="baseline"/>
              <w:rPr>
                <w:rStyle w:val="24"/>
                <w:rFonts w:hint="eastAsia" w:ascii="宋体" w:hAnsi="宋体" w:eastAsia="宋体" w:cs="宋体"/>
                <w:b/>
                <w:i w:val="0"/>
                <w:caps w:val="0"/>
                <w:color w:val="auto"/>
                <w:spacing w:val="0"/>
                <w:w w:val="100"/>
                <w:kern w:val="2"/>
                <w:sz w:val="21"/>
                <w:szCs w:val="21"/>
                <w:lang w:val="en-US" w:eastAsia="zh-CN" w:bidi="ar-SA"/>
              </w:rPr>
            </w:pPr>
            <w:r>
              <w:rPr>
                <w:rStyle w:val="24"/>
                <w:rFonts w:hint="eastAsia" w:ascii="宋体" w:hAnsi="宋体" w:eastAsia="宋体" w:cs="宋体"/>
                <w:b/>
                <w:i w:val="0"/>
                <w:caps w:val="0"/>
                <w:color w:val="auto"/>
                <w:spacing w:val="0"/>
                <w:w w:val="100"/>
                <w:kern w:val="2"/>
                <w:sz w:val="21"/>
                <w:szCs w:val="21"/>
                <w:lang w:val="en-US" w:eastAsia="zh-CN" w:bidi="ar-SA"/>
              </w:rPr>
              <w:t>其他说明：</w:t>
            </w:r>
          </w:p>
          <w:p w14:paraId="70F44ADB">
            <w:pPr>
              <w:widowControl/>
              <w:spacing w:line="276" w:lineRule="auto"/>
              <w:jc w:val="left"/>
              <w:rPr>
                <w:rFonts w:hint="eastAsia" w:ascii="宋体" w:hAnsi="宋体" w:eastAsia="宋体" w:cs="宋体"/>
                <w:color w:val="auto"/>
                <w:lang w:val="en-US" w:eastAsia="zh-CN"/>
              </w:rPr>
            </w:pPr>
            <w:r>
              <w:rPr>
                <w:rStyle w:val="24"/>
                <w:rFonts w:hint="eastAsia" w:ascii="宋体" w:hAnsi="宋体" w:eastAsia="宋体" w:cs="宋体"/>
                <w:b w:val="0"/>
                <w:i w:val="0"/>
                <w:caps w:val="0"/>
                <w:color w:val="auto"/>
                <w:spacing w:val="0"/>
                <w:w w:val="100"/>
                <w:kern w:val="2"/>
                <w:sz w:val="21"/>
                <w:szCs w:val="21"/>
                <w:lang w:val="en-US" w:eastAsia="zh-CN" w:bidi="ar-SA"/>
              </w:rPr>
              <w:t>1.货物的各项参数以“技术参数及性能（配置）要求”中给出的数据为准，采购人提供的图样仅供投标人作为参考，产品设计及制作由投标人自行完成。如投标人因对参考图样中的信息理解不当导致产品出现偏差或错误，其后果与采购人无关</w:t>
            </w:r>
            <w:ins w:id="0" w:author="资产处-杨" w:date="2025-07-15T18:01:37Z">
              <w:r>
                <w:rPr>
                  <w:rStyle w:val="24"/>
                  <w:rFonts w:hint="eastAsia" w:ascii="宋体" w:hAnsi="宋体" w:cs="宋体"/>
                  <w:b w:val="0"/>
                  <w:i w:val="0"/>
                  <w:caps w:val="0"/>
                  <w:color w:val="auto"/>
                  <w:spacing w:val="0"/>
                  <w:w w:val="100"/>
                  <w:kern w:val="2"/>
                  <w:sz w:val="21"/>
                  <w:szCs w:val="21"/>
                  <w:lang w:val="en-US" w:eastAsia="zh-CN" w:bidi="ar-SA"/>
                </w:rPr>
                <w:t>。</w:t>
              </w:r>
            </w:ins>
            <w:del w:id="1" w:author="资产处-杨" w:date="2025-07-15T18:01:37Z">
              <w:r>
                <w:rPr>
                  <w:rStyle w:val="24"/>
                  <w:rFonts w:hint="eastAsia" w:ascii="宋体" w:hAnsi="宋体" w:eastAsia="宋体" w:cs="宋体"/>
                  <w:b w:val="0"/>
                  <w:i w:val="0"/>
                  <w:caps w:val="0"/>
                  <w:color w:val="auto"/>
                  <w:spacing w:val="0"/>
                  <w:w w:val="100"/>
                  <w:kern w:val="2"/>
                  <w:sz w:val="21"/>
                  <w:szCs w:val="21"/>
                  <w:lang w:val="en-US" w:eastAsia="zh-CN" w:bidi="ar-SA"/>
                </w:rPr>
                <w:delText>；</w:delText>
              </w:r>
            </w:del>
          </w:p>
        </w:tc>
        <w:tc>
          <w:tcPr>
            <w:tcW w:w="645" w:type="dxa"/>
            <w:vAlign w:val="center"/>
          </w:tcPr>
          <w:p w14:paraId="1993D537">
            <w:pPr>
              <w:jc w:val="center"/>
              <w:rPr>
                <w:rFonts w:hint="eastAsia" w:ascii="宋体" w:hAnsi="宋体" w:eastAsia="宋体" w:cs="宋体"/>
                <w:color w:val="auto"/>
                <w:sz w:val="18"/>
                <w:szCs w:val="18"/>
                <w:u w:val="single"/>
                <w:lang w:val="en-US" w:eastAsia="zh-CN"/>
              </w:rPr>
            </w:pPr>
            <w:r>
              <w:rPr>
                <w:rFonts w:hint="eastAsia" w:ascii="宋体" w:hAnsi="宋体" w:eastAsia="宋体" w:cs="宋体"/>
                <w:color w:val="auto"/>
                <w:sz w:val="18"/>
                <w:szCs w:val="18"/>
                <w:u w:val="single"/>
                <w:lang w:val="en-US" w:eastAsia="zh-CN"/>
              </w:rPr>
              <w:t>张</w:t>
            </w:r>
          </w:p>
        </w:tc>
        <w:tc>
          <w:tcPr>
            <w:tcW w:w="600" w:type="dxa"/>
            <w:vAlign w:val="center"/>
          </w:tcPr>
          <w:p w14:paraId="69C7EAF4">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w:t>
            </w:r>
          </w:p>
        </w:tc>
        <w:tc>
          <w:tcPr>
            <w:tcW w:w="690" w:type="dxa"/>
            <w:vAlign w:val="center"/>
          </w:tcPr>
          <w:p w14:paraId="000FFB5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800</w:t>
            </w:r>
          </w:p>
        </w:tc>
        <w:tc>
          <w:tcPr>
            <w:tcW w:w="1095" w:type="dxa"/>
            <w:vAlign w:val="center"/>
          </w:tcPr>
          <w:p w14:paraId="02012E5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144000</w:t>
            </w:r>
          </w:p>
        </w:tc>
        <w:tc>
          <w:tcPr>
            <w:tcW w:w="660" w:type="dxa"/>
            <w:vAlign w:val="center"/>
          </w:tcPr>
          <w:p w14:paraId="6374DAE6">
            <w:pPr>
              <w:jc w:val="center"/>
              <w:rPr>
                <w:rFonts w:hint="eastAsia" w:ascii="宋体" w:hAnsi="宋体" w:eastAsia="宋体" w:cs="宋体"/>
                <w:color w:val="auto"/>
                <w:sz w:val="18"/>
                <w:szCs w:val="18"/>
                <w:u w:val="single"/>
                <w:lang w:val="en-US" w:eastAsia="zh-CN"/>
              </w:rPr>
            </w:pPr>
            <w:r>
              <w:rPr>
                <w:rFonts w:hint="eastAsia" w:ascii="宋体" w:hAnsi="宋体" w:eastAsia="宋体" w:cs="宋体"/>
                <w:color w:val="auto"/>
                <w:sz w:val="18"/>
                <w:szCs w:val="18"/>
                <w:u w:val="single"/>
                <w:lang w:val="en-US" w:eastAsia="zh-CN"/>
              </w:rPr>
              <w:t>否</w:t>
            </w:r>
          </w:p>
        </w:tc>
        <w:tc>
          <w:tcPr>
            <w:tcW w:w="3434" w:type="dxa"/>
            <w:vAlign w:val="center"/>
          </w:tcPr>
          <w:p w14:paraId="4920E0E5">
            <w:pPr>
              <w:jc w:val="center"/>
              <w:rPr>
                <w:rFonts w:hint="eastAsia" w:ascii="宋体" w:hAnsi="宋体" w:eastAsia="宋体" w:cs="宋体"/>
                <w:color w:val="auto"/>
                <w:sz w:val="18"/>
                <w:szCs w:val="18"/>
                <w:u w:val="single"/>
              </w:rPr>
            </w:pPr>
            <w:r>
              <w:rPr>
                <w:rFonts w:hint="eastAsia" w:ascii="宋体" w:hAnsi="宋体" w:eastAsia="宋体" w:cs="宋体"/>
                <w:color w:val="auto"/>
                <w:sz w:val="21"/>
                <w:szCs w:val="21"/>
                <w:vertAlign w:val="baseline"/>
                <w:lang w:eastAsia="zh-CN"/>
              </w:rPr>
              <w:drawing>
                <wp:inline distT="0" distB="0" distL="114300" distR="114300">
                  <wp:extent cx="1181100" cy="938530"/>
                  <wp:effectExtent l="0" t="0" r="0" b="13970"/>
                  <wp:docPr id="1" name="图片 1" descr="175029360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293609713"/>
                          <pic:cNvPicPr>
                            <a:picLocks noChangeAspect="1"/>
                          </pic:cNvPicPr>
                        </pic:nvPicPr>
                        <pic:blipFill>
                          <a:blip r:embed="rId8"/>
                          <a:stretch>
                            <a:fillRect/>
                          </a:stretch>
                        </pic:blipFill>
                        <pic:spPr>
                          <a:xfrm>
                            <a:off x="0" y="0"/>
                            <a:ext cx="1181100" cy="938530"/>
                          </a:xfrm>
                          <a:prstGeom prst="rect">
                            <a:avLst/>
                          </a:prstGeom>
                        </pic:spPr>
                      </pic:pic>
                    </a:graphicData>
                  </a:graphic>
                </wp:inline>
              </w:drawing>
            </w:r>
          </w:p>
        </w:tc>
        <w:tc>
          <w:tcPr>
            <w:tcW w:w="531" w:type="dxa"/>
            <w:vAlign w:val="center"/>
          </w:tcPr>
          <w:p w14:paraId="329A9553">
            <w:pPr>
              <w:jc w:val="center"/>
              <w:rPr>
                <w:rFonts w:hint="eastAsia" w:ascii="宋体" w:hAnsi="宋体" w:eastAsia="宋体" w:cs="宋体"/>
                <w:color w:val="auto"/>
                <w:sz w:val="18"/>
                <w:szCs w:val="18"/>
                <w:u w:val="single"/>
              </w:rPr>
            </w:pPr>
          </w:p>
        </w:tc>
      </w:tr>
      <w:tr w14:paraId="69851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124D48CD">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3</w:t>
            </w:r>
          </w:p>
        </w:tc>
        <w:tc>
          <w:tcPr>
            <w:tcW w:w="736" w:type="dxa"/>
            <w:vAlign w:val="center"/>
          </w:tcPr>
          <w:p w14:paraId="505B266D">
            <w:pPr>
              <w:jc w:val="center"/>
              <w:rPr>
                <w:rFonts w:hint="eastAsia" w:ascii="宋体" w:hAnsi="宋体"/>
                <w:color w:val="auto"/>
                <w:sz w:val="18"/>
                <w:szCs w:val="18"/>
              </w:rPr>
            </w:pPr>
            <w:r>
              <w:rPr>
                <w:rFonts w:hint="eastAsia" w:ascii="宋体" w:hAnsi="宋体"/>
                <w:color w:val="auto"/>
                <w:sz w:val="18"/>
                <w:szCs w:val="18"/>
              </w:rPr>
              <w:t>单斗书桌、椅子</w:t>
            </w:r>
          </w:p>
        </w:tc>
        <w:tc>
          <w:tcPr>
            <w:tcW w:w="727" w:type="dxa"/>
            <w:vAlign w:val="center"/>
          </w:tcPr>
          <w:p w14:paraId="7F7BEF35">
            <w:pPr>
              <w:rPr>
                <w:rFonts w:hint="eastAsia" w:ascii="宋体" w:hAnsi="宋体"/>
                <w:color w:val="auto"/>
                <w:sz w:val="18"/>
                <w:szCs w:val="18"/>
              </w:rPr>
            </w:pPr>
            <w:r>
              <w:rPr>
                <w:rFonts w:hint="eastAsia" w:ascii="宋体" w:hAnsi="宋体"/>
                <w:color w:val="auto"/>
                <w:sz w:val="18"/>
                <w:szCs w:val="18"/>
              </w:rPr>
              <w:t>懿德轩、桂红光、菲木森</w:t>
            </w:r>
          </w:p>
        </w:tc>
        <w:tc>
          <w:tcPr>
            <w:tcW w:w="5558" w:type="dxa"/>
            <w:vAlign w:val="top"/>
          </w:tcPr>
          <w:p w14:paraId="6F747A98">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lang w:eastAsia="zh-CN"/>
              </w:rPr>
              <w:t>规格尺寸：</w:t>
            </w:r>
            <w:r>
              <w:rPr>
                <w:rFonts w:hint="eastAsia" w:ascii="宋体" w:hAnsi="宋体" w:eastAsia="宋体" w:cs="宋体"/>
                <w:b w:val="0"/>
                <w:bCs w:val="0"/>
                <w:color w:val="auto"/>
                <w:sz w:val="21"/>
                <w:szCs w:val="21"/>
              </w:rPr>
              <w:t>学生桌高760mm</w:t>
            </w:r>
            <w:r>
              <w:rPr>
                <w:rFonts w:hint="eastAsia" w:ascii="宋体" w:hAnsi="宋体" w:eastAsia="宋体" w:cs="宋体"/>
                <w:b w:val="0"/>
                <w:bCs w:val="0"/>
                <w:color w:val="auto"/>
                <w:sz w:val="21"/>
                <w:szCs w:val="21"/>
                <w:u w:val="none"/>
              </w:rPr>
              <w:t>×</w:t>
            </w:r>
            <w:r>
              <w:rPr>
                <w:rFonts w:hint="eastAsia" w:ascii="宋体" w:hAnsi="宋体" w:eastAsia="宋体" w:cs="宋体"/>
                <w:b w:val="0"/>
                <w:bCs w:val="0"/>
                <w:color w:val="auto"/>
                <w:sz w:val="21"/>
                <w:szCs w:val="21"/>
              </w:rPr>
              <w:t>深400mm</w:t>
            </w:r>
            <w:r>
              <w:rPr>
                <w:rFonts w:hint="eastAsia" w:ascii="宋体" w:hAnsi="宋体" w:eastAsia="宋体" w:cs="宋体"/>
                <w:b w:val="0"/>
                <w:bCs w:val="0"/>
                <w:color w:val="auto"/>
                <w:sz w:val="21"/>
                <w:szCs w:val="21"/>
                <w:u w:val="none"/>
              </w:rPr>
              <w:t>×</w:t>
            </w:r>
            <w:r>
              <w:rPr>
                <w:rFonts w:hint="eastAsia" w:ascii="宋体" w:hAnsi="宋体" w:eastAsia="宋体" w:cs="宋体"/>
                <w:b w:val="0"/>
                <w:bCs w:val="0"/>
                <w:color w:val="auto"/>
                <w:sz w:val="21"/>
                <w:szCs w:val="21"/>
              </w:rPr>
              <w:t>宽600mm，学生椅座面高440mm</w:t>
            </w:r>
            <w:r>
              <w:rPr>
                <w:rFonts w:hint="eastAsia" w:ascii="宋体" w:hAnsi="宋体" w:eastAsia="宋体" w:cs="宋体"/>
                <w:b w:val="0"/>
                <w:bCs w:val="0"/>
                <w:color w:val="auto"/>
                <w:sz w:val="21"/>
                <w:szCs w:val="21"/>
                <w:u w:val="none"/>
              </w:rPr>
              <w:t>×</w:t>
            </w:r>
            <w:r>
              <w:rPr>
                <w:rFonts w:hint="eastAsia" w:ascii="宋体" w:hAnsi="宋体" w:eastAsia="宋体" w:cs="宋体"/>
                <w:b w:val="0"/>
                <w:bCs w:val="0"/>
                <w:color w:val="auto"/>
                <w:sz w:val="21"/>
                <w:szCs w:val="21"/>
              </w:rPr>
              <w:t>后靠高760mm。</w:t>
            </w:r>
          </w:p>
          <w:p w14:paraId="2B7660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1、学生课桌的</w:t>
            </w:r>
            <w:r>
              <w:rPr>
                <w:rFonts w:hint="eastAsia" w:ascii="宋体" w:hAnsi="宋体" w:eastAsia="宋体" w:cs="宋体"/>
                <w:b w:val="0"/>
                <w:bCs w:val="0"/>
                <w:color w:val="auto"/>
                <w:sz w:val="21"/>
                <w:szCs w:val="21"/>
                <w:lang w:eastAsia="zh-CN"/>
              </w:rPr>
              <w:t>立柱</w:t>
            </w:r>
            <w:r>
              <w:rPr>
                <w:rFonts w:hint="eastAsia" w:ascii="宋体" w:hAnsi="宋体" w:eastAsia="宋体" w:cs="宋体"/>
                <w:b w:val="0"/>
                <w:bCs w:val="0"/>
                <w:color w:val="auto"/>
                <w:sz w:val="21"/>
                <w:szCs w:val="21"/>
              </w:rPr>
              <w:t>管采用尺寸不小于20mm×40mm、管壁厚度不小于1.0mm的椭圆管。桌斗用厚度不小于0.6mm的优质冷轧钢板一次性成型,桌斗高度不小于14.5cm；</w:t>
            </w:r>
          </w:p>
          <w:p w14:paraId="70FB97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桌斗托杆采用</w:t>
            </w:r>
            <w:r>
              <w:rPr>
                <w:rFonts w:hint="eastAsia" w:ascii="宋体" w:hAnsi="宋体" w:eastAsia="宋体" w:cs="宋体"/>
                <w:b w:val="0"/>
                <w:bCs w:val="0"/>
                <w:color w:val="auto"/>
                <w:sz w:val="21"/>
                <w:szCs w:val="21"/>
                <w:lang w:val="en-US" w:eastAsia="zh-CN"/>
              </w:rPr>
              <w:t>20mm</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20mm（或15mm</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20mm）</w:t>
            </w:r>
            <w:r>
              <w:rPr>
                <w:rFonts w:hint="eastAsia" w:ascii="宋体" w:hAnsi="宋体" w:eastAsia="宋体" w:cs="宋体"/>
                <w:b w:val="0"/>
                <w:bCs w:val="0"/>
                <w:color w:val="auto"/>
                <w:sz w:val="21"/>
                <w:szCs w:val="21"/>
              </w:rPr>
              <w:t>冷轧钢管</w:t>
            </w:r>
            <w:r>
              <w:rPr>
                <w:rFonts w:hint="eastAsia" w:ascii="宋体" w:hAnsi="宋体" w:eastAsia="宋体" w:cs="宋体"/>
                <w:b w:val="0"/>
                <w:bCs w:val="0"/>
                <w:color w:val="auto"/>
                <w:sz w:val="21"/>
                <w:szCs w:val="21"/>
                <w:lang w:val="en-US" w:eastAsia="zh-CN"/>
              </w:rPr>
              <w:t>;</w:t>
            </w:r>
          </w:p>
          <w:p w14:paraId="1DB598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、课桌桌面采用厚度不小于15mm，甲醛释放量不大于E1级的9层（或9层以上）普通胶合板，桌面采用木纹贴面防火板。课桌面板须四个角适当倒圆角。</w:t>
            </w:r>
          </w:p>
          <w:p w14:paraId="5FE6F9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、学生座椅的金属管件采用尺寸不小于20mm×40mm、管壁厚度不小于1.0mm的椭圆管，椅背金属管件进深不小于座面有效深的1/3，且不大于座面有效深的1/2。</w:t>
            </w:r>
          </w:p>
          <w:p w14:paraId="1C097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、座椅座面采用厚度不小于</w:t>
            </w: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mm，甲醛释放量不大于E1级的7层（或7层以上）普通胶合板，座板</w:t>
            </w:r>
            <w:r>
              <w:rPr>
                <w:rFonts w:hint="eastAsia" w:ascii="宋体" w:hAnsi="宋体" w:eastAsia="宋体" w:cs="宋体"/>
                <w:b w:val="0"/>
                <w:bCs w:val="0"/>
                <w:color w:val="auto"/>
                <w:sz w:val="21"/>
                <w:szCs w:val="21"/>
                <w:lang w:eastAsia="zh-CN"/>
              </w:rPr>
              <w:t>采</w:t>
            </w:r>
            <w:r>
              <w:rPr>
                <w:rFonts w:hint="eastAsia" w:ascii="宋体" w:hAnsi="宋体" w:eastAsia="宋体" w:cs="宋体"/>
                <w:b w:val="0"/>
                <w:bCs w:val="0"/>
                <w:color w:val="auto"/>
                <w:sz w:val="21"/>
                <w:szCs w:val="21"/>
              </w:rPr>
              <w:t>用木纹贴面防火板。</w:t>
            </w:r>
          </w:p>
          <w:p w14:paraId="48EAEC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、座椅靠背面采用厚度不小于9mm，甲醛释放量不大于E1级的7层（或7层以上）普通胶合板，靠背板采用木纹贴面防火板。</w:t>
            </w:r>
          </w:p>
          <w:p w14:paraId="015F7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、桌椅铁架必须经过酸洗、除油、除锈、 清水、磷化处理后，采用流水生产线“喷塑”再进行200℃度高温焗漆固化。</w:t>
            </w:r>
          </w:p>
          <w:p w14:paraId="38D7E0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在桌椅设置挂钩，挂钩采用直径不小于Φ5mm的冷拉普通钢丝或采用厚度不小于1.0mm的钢片制作，并应焊接在金属管件上。</w:t>
            </w:r>
          </w:p>
          <w:p w14:paraId="63483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、学生课桌、椅面高、外形长度、宽度尺寸和其他尺寸须符合国家标准。</w:t>
            </w:r>
          </w:p>
          <w:p w14:paraId="11231B3F">
            <w:pPr>
              <w:spacing w:line="360" w:lineRule="auto"/>
              <w:rPr>
                <w:rFonts w:hint="eastAsia"/>
                <w:color w:val="auto"/>
              </w:rPr>
            </w:pPr>
            <w:r>
              <w:rPr>
                <w:rFonts w:hint="eastAsia"/>
                <w:color w:val="auto"/>
              </w:rPr>
              <w:t>二、为确保采购项目的完成质量和维护公平的竞争及合同的正常履行，防止虚假应标，投标厂家投标文件中必需提供下列检测报告，原件备查;检测报告的送检单位必须是投标人或生产厂家，检测内容必须符合，否则竞标无效：</w:t>
            </w:r>
          </w:p>
          <w:p w14:paraId="4B057888">
            <w:pPr>
              <w:spacing w:line="360" w:lineRule="auto"/>
              <w:rPr>
                <w:rFonts w:hint="eastAsia"/>
                <w:color w:val="auto"/>
                <w:lang w:val="en-US" w:eastAsia="zh-CN"/>
              </w:rPr>
            </w:pPr>
            <w:r>
              <w:rPr>
                <w:rFonts w:hint="eastAsia"/>
                <w:color w:val="auto"/>
                <w:lang w:val="en-US" w:eastAsia="zh-CN"/>
              </w:rPr>
              <w:t>1、“钢木课桌”第三方检测机构出具符合参数要求的检测报告：检验依据包含但不限于：GB/T 35607-2024《绿色产品评价 家具》，检测项目包含但不限于：家具涂层可迁移元素:铅、镉、铬、汞、锑、钡、硒、砷，所检项目符合相关规定。</w:t>
            </w:r>
          </w:p>
          <w:p w14:paraId="5B7D7D70">
            <w:pPr>
              <w:widowControl/>
              <w:spacing w:line="276" w:lineRule="auto"/>
              <w:jc w:val="left"/>
              <w:rPr>
                <w:rStyle w:val="24"/>
                <w:rFonts w:ascii="宋体" w:hAnsi="宋体"/>
                <w:b w:val="0"/>
                <w:i w:val="0"/>
                <w:caps w:val="0"/>
                <w:color w:val="auto"/>
                <w:spacing w:val="0"/>
                <w:w w:val="100"/>
                <w:kern w:val="2"/>
                <w:sz w:val="21"/>
                <w:szCs w:val="21"/>
                <w:lang w:val="en-US" w:eastAsia="zh-CN" w:bidi="ar-SA"/>
              </w:rPr>
            </w:pPr>
            <w:r>
              <w:rPr>
                <w:rFonts w:hint="eastAsia"/>
                <w:color w:val="auto"/>
                <w:lang w:val="en-US" w:eastAsia="zh-CN"/>
              </w:rPr>
              <w:t>2、“多层实木板（胶合板）”第三方检测机构出具符合参数要求的检测报告：检验依据包含但不限于：GB/T9846-2015《普通胶合板》、，检测项目包含但不限于：规格尺寸及其偏差、外观质量、含水率、胶合强度、浸渍剥离、静曲强度、弹性模量、甲醛释放量分级要求、挥发性有机化合物(72h)，所检项目符合相关规定。</w:t>
            </w:r>
          </w:p>
        </w:tc>
        <w:tc>
          <w:tcPr>
            <w:tcW w:w="645" w:type="dxa"/>
            <w:vAlign w:val="center"/>
          </w:tcPr>
          <w:p w14:paraId="14B8C5C8">
            <w:pPr>
              <w:jc w:val="center"/>
              <w:rPr>
                <w:rFonts w:hint="eastAsia" w:ascii="宋体" w:hAnsi="宋体"/>
                <w:color w:val="auto"/>
                <w:sz w:val="18"/>
                <w:szCs w:val="18"/>
                <w:u w:val="single"/>
                <w:lang w:val="en-US" w:eastAsia="zh-CN"/>
              </w:rPr>
            </w:pPr>
            <w:r>
              <w:rPr>
                <w:rFonts w:hint="eastAsia" w:ascii="宋体" w:hAnsi="宋体"/>
                <w:color w:val="auto"/>
                <w:sz w:val="18"/>
                <w:szCs w:val="18"/>
                <w:u w:val="single"/>
                <w:lang w:val="en-US" w:eastAsia="zh-CN"/>
              </w:rPr>
              <w:t>套</w:t>
            </w:r>
          </w:p>
        </w:tc>
        <w:tc>
          <w:tcPr>
            <w:tcW w:w="600" w:type="dxa"/>
            <w:vAlign w:val="center"/>
          </w:tcPr>
          <w:p w14:paraId="2CCB3A2B">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180</w:t>
            </w:r>
          </w:p>
        </w:tc>
        <w:tc>
          <w:tcPr>
            <w:tcW w:w="690" w:type="dxa"/>
            <w:vAlign w:val="center"/>
          </w:tcPr>
          <w:p w14:paraId="78E56976">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450</w:t>
            </w:r>
          </w:p>
        </w:tc>
        <w:tc>
          <w:tcPr>
            <w:tcW w:w="1095" w:type="dxa"/>
            <w:vAlign w:val="center"/>
          </w:tcPr>
          <w:p w14:paraId="685EF01A">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81000</w:t>
            </w:r>
          </w:p>
        </w:tc>
        <w:tc>
          <w:tcPr>
            <w:tcW w:w="660" w:type="dxa"/>
            <w:vAlign w:val="center"/>
          </w:tcPr>
          <w:p w14:paraId="321E92EF">
            <w:pPr>
              <w:jc w:val="center"/>
              <w:rPr>
                <w:rFonts w:hint="default" w:ascii="宋体" w:hAnsi="宋体"/>
                <w:color w:val="auto"/>
                <w:sz w:val="18"/>
                <w:szCs w:val="18"/>
                <w:u w:val="single"/>
                <w:lang w:val="en-US" w:eastAsia="zh-CN"/>
              </w:rPr>
            </w:pPr>
            <w:r>
              <w:rPr>
                <w:rFonts w:hint="eastAsia" w:ascii="宋体" w:hAnsi="宋体"/>
                <w:color w:val="auto"/>
                <w:sz w:val="18"/>
                <w:szCs w:val="18"/>
                <w:u w:val="single"/>
                <w:lang w:val="en-US" w:eastAsia="zh-CN"/>
              </w:rPr>
              <w:t>否</w:t>
            </w:r>
          </w:p>
        </w:tc>
        <w:tc>
          <w:tcPr>
            <w:tcW w:w="3434" w:type="dxa"/>
            <w:vAlign w:val="center"/>
          </w:tcPr>
          <w:p w14:paraId="29B39316">
            <w:pPr>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drawing>
                <wp:inline distT="0" distB="0" distL="114300" distR="114300">
                  <wp:extent cx="1178560" cy="1470660"/>
                  <wp:effectExtent l="0" t="0" r="2540" b="15240"/>
                  <wp:docPr id="7" name="图片 7" descr="175029362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0293624968"/>
                          <pic:cNvPicPr>
                            <a:picLocks noChangeAspect="1"/>
                          </pic:cNvPicPr>
                        </pic:nvPicPr>
                        <pic:blipFill>
                          <a:blip r:embed="rId9"/>
                          <a:stretch>
                            <a:fillRect/>
                          </a:stretch>
                        </pic:blipFill>
                        <pic:spPr>
                          <a:xfrm>
                            <a:off x="0" y="0"/>
                            <a:ext cx="1178560" cy="1470660"/>
                          </a:xfrm>
                          <a:prstGeom prst="rect">
                            <a:avLst/>
                          </a:prstGeom>
                        </pic:spPr>
                      </pic:pic>
                    </a:graphicData>
                  </a:graphic>
                </wp:inline>
              </w:drawing>
            </w:r>
          </w:p>
        </w:tc>
        <w:tc>
          <w:tcPr>
            <w:tcW w:w="531" w:type="dxa"/>
            <w:vAlign w:val="center"/>
          </w:tcPr>
          <w:p w14:paraId="1006ECB2">
            <w:pPr>
              <w:jc w:val="center"/>
              <w:rPr>
                <w:rFonts w:ascii="宋体" w:hAnsi="宋体"/>
                <w:color w:val="auto"/>
                <w:sz w:val="18"/>
                <w:szCs w:val="18"/>
                <w:u w:val="single"/>
              </w:rPr>
            </w:pPr>
          </w:p>
        </w:tc>
      </w:tr>
      <w:tr w14:paraId="0390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9531" w:type="dxa"/>
            <w:gridSpan w:val="7"/>
            <w:noWrap/>
            <w:vAlign w:val="top"/>
          </w:tcPr>
          <w:p w14:paraId="317AFF6B">
            <w:pPr>
              <w:rPr>
                <w:rFonts w:ascii="宋体" w:hAnsi="宋体"/>
                <w:color w:val="auto"/>
                <w:sz w:val="18"/>
                <w:szCs w:val="18"/>
              </w:rPr>
            </w:pPr>
            <w:r>
              <w:rPr>
                <w:rFonts w:hint="eastAsia" w:ascii="仿宋" w:hAnsi="仿宋" w:eastAsia="仿宋" w:cs="仿宋"/>
                <w:color w:val="auto"/>
                <w:sz w:val="24"/>
                <w:szCs w:val="24"/>
              </w:rPr>
              <w:t>合计金额</w:t>
            </w:r>
          </w:p>
        </w:tc>
        <w:tc>
          <w:tcPr>
            <w:tcW w:w="1095" w:type="dxa"/>
            <w:noWrap/>
            <w:vAlign w:val="center"/>
          </w:tcPr>
          <w:p w14:paraId="66B45DCD">
            <w:pPr>
              <w:jc w:val="center"/>
              <w:rPr>
                <w:rFonts w:hint="default" w:ascii="宋体" w:hAnsi="宋体"/>
                <w:color w:val="auto"/>
                <w:sz w:val="18"/>
                <w:szCs w:val="18"/>
                <w:lang w:val="en-US"/>
              </w:rPr>
            </w:pPr>
            <w:r>
              <w:rPr>
                <w:rFonts w:hint="eastAsia" w:ascii="宋体" w:hAnsi="宋体"/>
                <w:color w:val="auto"/>
                <w:sz w:val="18"/>
                <w:szCs w:val="18"/>
                <w:lang w:val="en-US" w:eastAsia="zh-CN"/>
              </w:rPr>
              <w:t>705000</w:t>
            </w:r>
          </w:p>
        </w:tc>
        <w:tc>
          <w:tcPr>
            <w:tcW w:w="660" w:type="dxa"/>
            <w:noWrap/>
            <w:vAlign w:val="top"/>
          </w:tcPr>
          <w:p w14:paraId="3782C217">
            <w:pPr>
              <w:rPr>
                <w:rFonts w:ascii="宋体" w:hAnsi="宋体"/>
                <w:color w:val="auto"/>
                <w:sz w:val="18"/>
                <w:szCs w:val="18"/>
              </w:rPr>
            </w:pPr>
            <w:r>
              <w:rPr>
                <w:rFonts w:hint="eastAsia" w:ascii="宋体" w:hAnsi="宋体"/>
                <w:color w:val="auto"/>
                <w:sz w:val="18"/>
                <w:szCs w:val="18"/>
              </w:rPr>
              <w:t>　</w:t>
            </w:r>
          </w:p>
        </w:tc>
        <w:tc>
          <w:tcPr>
            <w:tcW w:w="3434" w:type="dxa"/>
            <w:vAlign w:val="top"/>
          </w:tcPr>
          <w:p w14:paraId="19D4C1B0">
            <w:pPr>
              <w:rPr>
                <w:rFonts w:ascii="宋体" w:hAnsi="宋体"/>
                <w:color w:val="auto"/>
                <w:sz w:val="18"/>
                <w:szCs w:val="18"/>
                <w:u w:val="single"/>
              </w:rPr>
            </w:pPr>
          </w:p>
        </w:tc>
        <w:tc>
          <w:tcPr>
            <w:tcW w:w="531" w:type="dxa"/>
            <w:noWrap/>
            <w:vAlign w:val="top"/>
          </w:tcPr>
          <w:p w14:paraId="2AD28A5F">
            <w:pPr>
              <w:rPr>
                <w:rFonts w:ascii="宋体" w:hAnsi="宋体"/>
                <w:color w:val="auto"/>
                <w:sz w:val="18"/>
                <w:szCs w:val="18"/>
                <w:u w:val="single"/>
              </w:rPr>
            </w:pPr>
          </w:p>
        </w:tc>
      </w:tr>
    </w:tbl>
    <w:p w14:paraId="3694B029">
      <w:pPr>
        <w:rPr>
          <w:rFonts w:ascii="宋体" w:hAnsi="宋体"/>
          <w:color w:val="auto"/>
          <w:szCs w:val="21"/>
        </w:rPr>
      </w:pPr>
      <w:bookmarkStart w:id="1" w:name="_GoBack"/>
      <w:bookmarkEnd w:id="1"/>
    </w:p>
    <w:tbl>
      <w:tblPr>
        <w:tblStyle w:val="10"/>
        <w:tblpPr w:leftFromText="180" w:rightFromText="180" w:vertAnchor="text" w:horzAnchor="margin" w:tblpX="-4" w:tblpY="4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2"/>
        <w:gridCol w:w="1559"/>
        <w:gridCol w:w="11656"/>
      </w:tblGrid>
      <w:tr w14:paraId="50D0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127" w:type="dxa"/>
            <w:gridSpan w:val="3"/>
            <w:vAlign w:val="top"/>
          </w:tcPr>
          <w:p w14:paraId="55B46562">
            <w:pPr>
              <w:jc w:val="center"/>
              <w:rPr>
                <w:rFonts w:hint="eastAsia" w:ascii="仿宋" w:hAnsi="仿宋" w:eastAsia="仿宋" w:cs="仿宋"/>
                <w:b/>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商务条款</w:t>
            </w:r>
          </w:p>
        </w:tc>
      </w:tr>
      <w:tr w14:paraId="49777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61CF99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559" w:type="dxa"/>
            <w:vAlign w:val="center"/>
          </w:tcPr>
          <w:p w14:paraId="1311A0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报价要求</w:t>
            </w:r>
          </w:p>
        </w:tc>
        <w:tc>
          <w:tcPr>
            <w:tcW w:w="11656" w:type="dxa"/>
            <w:vAlign w:val="top"/>
          </w:tcPr>
          <w:p w14:paraId="191E642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投标报价为采购人指定地点的现场交货价，包括：</w:t>
            </w:r>
          </w:p>
          <w:p w14:paraId="55152348">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（1）货物的价格：包括货款、杂配件、安装调试费、验收费；</w:t>
            </w:r>
          </w:p>
          <w:p w14:paraId="19FDDF07">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（2）货物的标准附件、备品备件、专用工具的价格；</w:t>
            </w:r>
          </w:p>
          <w:p w14:paraId="1EE38E84">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（3）运输、装卸、调试、培训、技术支持、售后服务费；</w:t>
            </w:r>
          </w:p>
          <w:p w14:paraId="1BBE3A76">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（4）按采购人要求进行摆放的费用。</w:t>
            </w:r>
          </w:p>
          <w:p w14:paraId="01122C7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注：投标人自行考虑完成项目所需的辅材、杂配件等数量，投标报价中应包含全部内容，中标后采购人不再另行支付额外费用。</w:t>
            </w:r>
            <w:r>
              <w:rPr>
                <w:rFonts w:hint="eastAsia" w:ascii="仿宋" w:hAnsi="仿宋" w:eastAsia="仿宋" w:cs="仿宋"/>
                <w:color w:val="auto"/>
                <w:w w:val="104"/>
                <w:sz w:val="24"/>
                <w:szCs w:val="24"/>
              </w:rPr>
              <w:t>竞标供应商的投标总报价≤采购预算。</w:t>
            </w:r>
          </w:p>
        </w:tc>
      </w:tr>
      <w:tr w14:paraId="7C8C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12" w:type="dxa"/>
            <w:vAlign w:val="center"/>
          </w:tcPr>
          <w:p w14:paraId="1A92AF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559" w:type="dxa"/>
            <w:vAlign w:val="center"/>
          </w:tcPr>
          <w:p w14:paraId="799DF2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货物性能要求</w:t>
            </w:r>
          </w:p>
        </w:tc>
        <w:tc>
          <w:tcPr>
            <w:tcW w:w="11656" w:type="dxa"/>
            <w:vAlign w:val="top"/>
          </w:tcPr>
          <w:p w14:paraId="52DD32A6">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为了保证与原学生宿舍家具一致，</w:t>
            </w:r>
            <w:r>
              <w:rPr>
                <w:rFonts w:hint="eastAsia" w:ascii="仿宋" w:hAnsi="仿宋" w:eastAsia="仿宋" w:cs="仿宋"/>
                <w:color w:val="auto"/>
                <w:sz w:val="24"/>
                <w:szCs w:val="24"/>
              </w:rPr>
              <w:t>本项目所有货物</w:t>
            </w:r>
            <w:r>
              <w:rPr>
                <w:rFonts w:hint="eastAsia" w:ascii="仿宋" w:hAnsi="仿宋" w:eastAsia="仿宋" w:cs="仿宋"/>
                <w:color w:val="auto"/>
                <w:sz w:val="24"/>
                <w:szCs w:val="24"/>
                <w:lang w:val="en-US" w:eastAsia="zh-CN"/>
              </w:rPr>
              <w:t>参考品牌</w:t>
            </w:r>
            <w:r>
              <w:rPr>
                <w:rFonts w:hint="eastAsia" w:ascii="仿宋" w:hAnsi="仿宋" w:eastAsia="仿宋" w:cs="仿宋"/>
                <w:color w:val="auto"/>
                <w:sz w:val="24"/>
                <w:szCs w:val="24"/>
              </w:rPr>
              <w:t>、参数</w:t>
            </w:r>
            <w:r>
              <w:rPr>
                <w:rFonts w:hint="eastAsia" w:ascii="仿宋" w:hAnsi="仿宋" w:eastAsia="仿宋" w:cs="仿宋"/>
                <w:color w:val="auto"/>
                <w:sz w:val="24"/>
                <w:szCs w:val="24"/>
                <w:lang w:val="en-US" w:eastAsia="zh-CN"/>
              </w:rPr>
              <w:t>配置、款式、颜色</w:t>
            </w:r>
            <w:r>
              <w:rPr>
                <w:rFonts w:hint="eastAsia" w:ascii="仿宋" w:hAnsi="仿宋" w:eastAsia="仿宋" w:cs="仿宋"/>
                <w:color w:val="auto"/>
                <w:sz w:val="24"/>
                <w:szCs w:val="24"/>
              </w:rPr>
              <w:t>已确定，不得做任何变更，否则视为不响应本采购要求；</w:t>
            </w:r>
          </w:p>
          <w:p w14:paraId="2E0DF15E">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2、对不能满足参数要求、虚假应标的，采购人将上报监督管理部门，由此所产生的的后果由成交供应商自行承担。</w:t>
            </w:r>
          </w:p>
          <w:p w14:paraId="5C9D6DF3">
            <w:pPr>
              <w:widowControl/>
              <w:spacing w:line="276" w:lineRule="auto"/>
              <w:ind w:firstLine="260" w:firstLineChars="100"/>
              <w:jc w:val="left"/>
              <w:rPr>
                <w:rFonts w:hint="eastAsia" w:ascii="仿宋" w:hAnsi="仿宋" w:eastAsia="仿宋" w:cs="仿宋"/>
                <w:color w:val="auto"/>
                <w:spacing w:val="10"/>
                <w:sz w:val="24"/>
                <w:szCs w:val="24"/>
              </w:rPr>
            </w:pPr>
          </w:p>
        </w:tc>
      </w:tr>
      <w:tr w14:paraId="20C8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67C72C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59" w:type="dxa"/>
            <w:vAlign w:val="center"/>
          </w:tcPr>
          <w:p w14:paraId="2F7362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交货及安装期要求</w:t>
            </w:r>
          </w:p>
        </w:tc>
        <w:tc>
          <w:tcPr>
            <w:tcW w:w="11656" w:type="dxa"/>
            <w:vAlign w:val="top"/>
          </w:tcPr>
          <w:p w14:paraId="149AFB7E">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合同签订期：自中标通知书发出之日起7日历日内。</w:t>
            </w:r>
          </w:p>
          <w:p w14:paraId="498B9BE7">
            <w:pPr>
              <w:pStyle w:val="1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、在签订合同后</w:t>
            </w:r>
            <w:ins w:id="2" w:author="资产处-杨" w:date="2025-07-15T17:53:09Z">
              <w:r>
                <w:rPr>
                  <w:rFonts w:hint="eastAsia" w:ascii="仿宋" w:hAnsi="仿宋" w:eastAsia="仿宋" w:cs="仿宋"/>
                  <w:color w:val="auto"/>
                  <w:sz w:val="24"/>
                  <w:szCs w:val="24"/>
                  <w:highlight w:val="none"/>
                  <w:lang w:val="en-US" w:eastAsia="zh-CN"/>
                </w:rPr>
                <w:t>1</w:t>
              </w:r>
            </w:ins>
            <w:r>
              <w:rPr>
                <w:rFonts w:hint="eastAsia" w:ascii="仿宋" w:hAnsi="仿宋" w:eastAsia="仿宋" w:cs="仿宋"/>
                <w:color w:val="auto"/>
                <w:sz w:val="24"/>
                <w:szCs w:val="24"/>
                <w:highlight w:val="none"/>
              </w:rPr>
              <w:t>0天（自然日）内全部供货上门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具体安装时间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地点按</w:t>
            </w:r>
            <w:r>
              <w:rPr>
                <w:rFonts w:hint="eastAsia" w:ascii="仿宋" w:hAnsi="仿宋" w:eastAsia="仿宋" w:cs="仿宋"/>
                <w:color w:val="auto"/>
                <w:sz w:val="24"/>
                <w:szCs w:val="24"/>
                <w:highlight w:val="none"/>
              </w:rPr>
              <w:t>采购人广西中医药大学</w:t>
            </w:r>
            <w:r>
              <w:rPr>
                <w:rFonts w:hint="eastAsia" w:ascii="仿宋" w:hAnsi="仿宋" w:eastAsia="仿宋" w:cs="仿宋"/>
                <w:color w:val="auto"/>
                <w:sz w:val="24"/>
                <w:szCs w:val="24"/>
                <w:highlight w:val="none"/>
                <w:lang w:val="en-US" w:eastAsia="zh-CN"/>
              </w:rPr>
              <w:t>武装部（保卫处）指定时间、地点</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，调试</w:t>
            </w:r>
            <w:r>
              <w:rPr>
                <w:rFonts w:hint="eastAsia" w:ascii="仿宋" w:hAnsi="仿宋" w:eastAsia="仿宋" w:cs="仿宋"/>
                <w:color w:val="auto"/>
                <w:sz w:val="24"/>
                <w:szCs w:val="24"/>
                <w:highlight w:val="none"/>
              </w:rPr>
              <w:t>完毕交付使用。</w:t>
            </w:r>
          </w:p>
          <w:p w14:paraId="4AD9504C">
            <w:pPr>
              <w:pStyle w:val="14"/>
              <w:ind w:firstLine="491"/>
              <w:rPr>
                <w:rFonts w:hint="eastAsia" w:ascii="仿宋" w:hAnsi="仿宋" w:eastAsia="仿宋" w:cs="仿宋"/>
                <w:color w:val="auto"/>
                <w:sz w:val="24"/>
                <w:szCs w:val="24"/>
                <w:highlight w:val="none"/>
              </w:rPr>
            </w:pPr>
            <w:r>
              <w:rPr>
                <w:rFonts w:hint="eastAsia" w:ascii="仿宋" w:hAnsi="仿宋" w:eastAsia="仿宋" w:cs="仿宋"/>
                <w:color w:val="auto"/>
                <w:spacing w:val="-2"/>
                <w:w w:val="104"/>
                <w:sz w:val="24"/>
                <w:szCs w:val="24"/>
                <w:highlight w:val="none"/>
                <w:lang w:val="en-US" w:eastAsia="zh-CN"/>
              </w:rPr>
              <w:t>3</w:t>
            </w:r>
            <w:r>
              <w:rPr>
                <w:rFonts w:hint="eastAsia" w:ascii="仿宋" w:hAnsi="仿宋" w:eastAsia="仿宋" w:cs="仿宋"/>
                <w:color w:val="auto"/>
                <w:spacing w:val="-2"/>
                <w:w w:val="104"/>
                <w:sz w:val="24"/>
                <w:szCs w:val="24"/>
                <w:highlight w:val="none"/>
              </w:rPr>
              <w:t>、成交供应商提供的货物必须是原</w:t>
            </w:r>
            <w:r>
              <w:rPr>
                <w:rFonts w:hint="eastAsia" w:ascii="仿宋" w:hAnsi="仿宋" w:eastAsia="仿宋" w:cs="仿宋"/>
                <w:color w:val="auto"/>
                <w:spacing w:val="15"/>
                <w:w w:val="104"/>
                <w:sz w:val="24"/>
                <w:szCs w:val="24"/>
                <w:highlight w:val="none"/>
              </w:rPr>
              <w:t>厂</w:t>
            </w:r>
            <w:r>
              <w:rPr>
                <w:rFonts w:hint="eastAsia" w:ascii="仿宋" w:hAnsi="仿宋" w:eastAsia="仿宋" w:cs="仿宋"/>
                <w:color w:val="auto"/>
                <w:spacing w:val="-3"/>
                <w:w w:val="104"/>
                <w:sz w:val="24"/>
                <w:szCs w:val="24"/>
                <w:highlight w:val="none"/>
              </w:rPr>
              <w:t>生产全新的</w:t>
            </w:r>
            <w:r>
              <w:rPr>
                <w:rFonts w:hint="eastAsia" w:ascii="仿宋" w:hAnsi="仿宋" w:eastAsia="仿宋" w:cs="仿宋"/>
                <w:color w:val="auto"/>
                <w:spacing w:val="-25"/>
                <w:w w:val="104"/>
                <w:sz w:val="24"/>
                <w:szCs w:val="24"/>
                <w:highlight w:val="none"/>
              </w:rPr>
              <w:t>、</w:t>
            </w:r>
            <w:r>
              <w:rPr>
                <w:rFonts w:hint="eastAsia" w:ascii="仿宋" w:hAnsi="仿宋" w:eastAsia="仿宋" w:cs="仿宋"/>
                <w:color w:val="auto"/>
                <w:w w:val="104"/>
                <w:sz w:val="24"/>
                <w:szCs w:val="24"/>
                <w:highlight w:val="none"/>
              </w:rPr>
              <w:t>完整的</w:t>
            </w:r>
            <w:r>
              <w:rPr>
                <w:rFonts w:hint="eastAsia" w:ascii="仿宋" w:hAnsi="仿宋" w:eastAsia="仿宋" w:cs="仿宋"/>
                <w:color w:val="auto"/>
                <w:spacing w:val="-14"/>
                <w:w w:val="104"/>
                <w:sz w:val="24"/>
                <w:szCs w:val="24"/>
                <w:highlight w:val="none"/>
              </w:rPr>
              <w:t>、</w:t>
            </w:r>
            <w:r>
              <w:rPr>
                <w:rFonts w:hint="eastAsia" w:ascii="仿宋" w:hAnsi="仿宋" w:eastAsia="仿宋" w:cs="仿宋"/>
                <w:color w:val="auto"/>
                <w:spacing w:val="-3"/>
                <w:w w:val="104"/>
                <w:sz w:val="24"/>
                <w:szCs w:val="24"/>
                <w:highlight w:val="none"/>
              </w:rPr>
              <w:t>未使用过的合格产品</w:t>
            </w:r>
            <w:r>
              <w:rPr>
                <w:rFonts w:hint="eastAsia" w:ascii="仿宋" w:hAnsi="仿宋" w:eastAsia="仿宋" w:cs="仿宋"/>
                <w:color w:val="auto"/>
                <w:spacing w:val="-49"/>
                <w:w w:val="104"/>
                <w:sz w:val="24"/>
                <w:szCs w:val="24"/>
                <w:highlight w:val="none"/>
              </w:rPr>
              <w:t xml:space="preserve">， </w:t>
            </w:r>
            <w:r>
              <w:rPr>
                <w:rFonts w:hint="eastAsia" w:ascii="仿宋" w:hAnsi="仿宋" w:eastAsia="仿宋" w:cs="仿宋"/>
                <w:color w:val="auto"/>
                <w:w w:val="104"/>
                <w:sz w:val="24"/>
                <w:szCs w:val="24"/>
                <w:highlight w:val="none"/>
              </w:rPr>
              <w:t>货物</w:t>
            </w:r>
            <w:r>
              <w:rPr>
                <w:rFonts w:hint="eastAsia" w:ascii="仿宋" w:hAnsi="仿宋" w:eastAsia="仿宋" w:cs="仿宋"/>
                <w:color w:val="auto"/>
                <w:spacing w:val="-1"/>
                <w:w w:val="104"/>
                <w:sz w:val="24"/>
                <w:szCs w:val="24"/>
                <w:highlight w:val="none"/>
              </w:rPr>
              <w:t>质量符合国家相关标准和规范</w:t>
            </w:r>
            <w:r>
              <w:rPr>
                <w:rFonts w:hint="eastAsia" w:ascii="仿宋" w:hAnsi="仿宋" w:eastAsia="仿宋" w:cs="仿宋"/>
                <w:color w:val="auto"/>
                <w:spacing w:val="-42"/>
                <w:w w:val="104"/>
                <w:sz w:val="24"/>
                <w:szCs w:val="24"/>
                <w:highlight w:val="none"/>
              </w:rPr>
              <w:t xml:space="preserve">， </w:t>
            </w:r>
            <w:r>
              <w:rPr>
                <w:rFonts w:hint="eastAsia" w:ascii="仿宋" w:hAnsi="仿宋" w:eastAsia="仿宋" w:cs="仿宋"/>
                <w:color w:val="auto"/>
                <w:spacing w:val="-12"/>
                <w:w w:val="104"/>
                <w:sz w:val="24"/>
                <w:szCs w:val="24"/>
                <w:highlight w:val="none"/>
              </w:rPr>
              <w:t>具备正规合法经销渠道。所有产品</w:t>
            </w:r>
            <w:r>
              <w:rPr>
                <w:rFonts w:hint="eastAsia" w:ascii="仿宋" w:hAnsi="仿宋" w:eastAsia="仿宋" w:cs="仿宋"/>
                <w:color w:val="auto"/>
                <w:spacing w:val="-12"/>
                <w:w w:val="104"/>
                <w:sz w:val="24"/>
                <w:szCs w:val="24"/>
                <w:highlight w:val="none"/>
                <w:lang w:val="en-US" w:eastAsia="zh-CN"/>
              </w:rPr>
              <w:t>需</w:t>
            </w:r>
            <w:r>
              <w:rPr>
                <w:rFonts w:hint="eastAsia" w:ascii="仿宋" w:hAnsi="仿宋" w:eastAsia="仿宋" w:cs="仿宋"/>
                <w:color w:val="auto"/>
                <w:spacing w:val="-12"/>
                <w:w w:val="104"/>
                <w:sz w:val="24"/>
                <w:szCs w:val="24"/>
                <w:highlight w:val="none"/>
              </w:rPr>
              <w:t>满足</w:t>
            </w:r>
            <w:r>
              <w:rPr>
                <w:rFonts w:hint="eastAsia" w:ascii="仿宋" w:hAnsi="仿宋" w:eastAsia="仿宋" w:cs="仿宋"/>
                <w:color w:val="auto"/>
                <w:spacing w:val="-14"/>
                <w:w w:val="104"/>
                <w:sz w:val="24"/>
                <w:szCs w:val="24"/>
                <w:highlight w:val="none"/>
              </w:rPr>
              <w:t>上</w:t>
            </w:r>
            <w:r>
              <w:rPr>
                <w:rFonts w:hint="eastAsia" w:ascii="仿宋" w:hAnsi="仿宋" w:eastAsia="仿宋" w:cs="仿宋"/>
                <w:color w:val="auto"/>
                <w:spacing w:val="-5"/>
                <w:w w:val="104"/>
                <w:sz w:val="24"/>
                <w:szCs w:val="24"/>
                <w:highlight w:val="none"/>
              </w:rPr>
              <w:t>表要求的</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rPr>
              <w:t>、参数</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pacing w:val="-2"/>
                <w:w w:val="104"/>
                <w:sz w:val="24"/>
                <w:szCs w:val="24"/>
                <w:highlight w:val="none"/>
              </w:rPr>
              <w:t>。</w:t>
            </w:r>
            <w:bookmarkStart w:id="0" w:name="OLE_LINK1"/>
            <w:r>
              <w:rPr>
                <w:rFonts w:hint="eastAsia" w:ascii="仿宋" w:hAnsi="仿宋" w:eastAsia="仿宋" w:cs="仿宋"/>
                <w:color w:val="auto"/>
                <w:spacing w:val="-2"/>
                <w:w w:val="104"/>
                <w:sz w:val="24"/>
                <w:szCs w:val="24"/>
                <w:highlight w:val="none"/>
              </w:rPr>
              <w:t>成交供应商</w:t>
            </w:r>
            <w:bookmarkEnd w:id="0"/>
            <w:r>
              <w:rPr>
                <w:rFonts w:hint="eastAsia" w:ascii="仿宋" w:hAnsi="仿宋" w:eastAsia="仿宋" w:cs="仿宋"/>
                <w:color w:val="auto"/>
                <w:spacing w:val="-2"/>
                <w:w w:val="104"/>
                <w:sz w:val="24"/>
                <w:szCs w:val="24"/>
                <w:highlight w:val="none"/>
              </w:rPr>
              <w:t>提供的货物</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rPr>
              <w:t>、参数</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w w:val="104"/>
                <w:sz w:val="24"/>
                <w:szCs w:val="24"/>
                <w:highlight w:val="none"/>
              </w:rPr>
              <w:t>、质量不符合合同规定及采购需求</w:t>
            </w:r>
            <w:r>
              <w:rPr>
                <w:rFonts w:hint="eastAsia" w:ascii="仿宋" w:hAnsi="仿宋" w:eastAsia="仿宋" w:cs="仿宋"/>
                <w:color w:val="auto"/>
                <w:spacing w:val="-30"/>
                <w:w w:val="104"/>
                <w:sz w:val="24"/>
                <w:szCs w:val="24"/>
                <w:highlight w:val="none"/>
              </w:rPr>
              <w:t>规定标准的</w:t>
            </w:r>
            <w:r>
              <w:rPr>
                <w:rFonts w:hint="eastAsia" w:ascii="仿宋" w:hAnsi="仿宋" w:eastAsia="仿宋" w:cs="仿宋"/>
                <w:color w:val="auto"/>
                <w:spacing w:val="-30"/>
                <w:w w:val="104"/>
                <w:sz w:val="24"/>
                <w:szCs w:val="24"/>
                <w:highlight w:val="none"/>
                <w:lang w:eastAsia="zh-CN"/>
              </w:rPr>
              <w:t>，</w:t>
            </w:r>
            <w:r>
              <w:rPr>
                <w:rFonts w:hint="eastAsia" w:ascii="仿宋" w:hAnsi="仿宋" w:eastAsia="仿宋" w:cs="仿宋"/>
                <w:color w:val="auto"/>
                <w:w w:val="104"/>
                <w:sz w:val="24"/>
                <w:szCs w:val="24"/>
                <w:highlight w:val="none"/>
              </w:rPr>
              <w:t>采购人有权拒收该货物。</w:t>
            </w:r>
            <w:r>
              <w:rPr>
                <w:rFonts w:hint="eastAsia" w:ascii="仿宋" w:hAnsi="仿宋" w:eastAsia="仿宋" w:cs="仿宋"/>
                <w:color w:val="auto"/>
                <w:spacing w:val="1"/>
                <w:sz w:val="24"/>
                <w:szCs w:val="24"/>
                <w:highlight w:val="none"/>
              </w:rPr>
              <w:t>成交供应商拒绝更换货物的，</w:t>
            </w:r>
            <w:r>
              <w:rPr>
                <w:rFonts w:hint="eastAsia" w:ascii="仿宋" w:hAnsi="仿宋" w:eastAsia="仿宋" w:cs="仿宋"/>
                <w:color w:val="auto"/>
                <w:spacing w:val="-2"/>
                <w:sz w:val="24"/>
                <w:szCs w:val="24"/>
                <w:highlight w:val="none"/>
              </w:rPr>
              <w:t>采购人可单方面解除合同</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并有权要求成交供应商赔偿经济损失。</w:t>
            </w:r>
          </w:p>
          <w:p w14:paraId="0A27DFE5">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、免费送货上门，按现场条件全程免费安装调试，</w:t>
            </w:r>
            <w:r>
              <w:rPr>
                <w:rFonts w:hint="eastAsia" w:ascii="仿宋" w:hAnsi="仿宋" w:eastAsia="仿宋" w:cs="仿宋"/>
                <w:color w:val="auto"/>
                <w:sz w:val="24"/>
                <w:szCs w:val="24"/>
              </w:rPr>
              <w:t>不接受物流快递发货以及远程指导安装，否则采购人有权取消合同。</w:t>
            </w:r>
          </w:p>
          <w:p w14:paraId="4D3735E0">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、如不能按期交货和安装完毕，则视为违约，造成的一切损失由成交供应商承担。成交供应商提供的货物及服务不满足</w:t>
            </w:r>
            <w:r>
              <w:rPr>
                <w:rFonts w:hint="eastAsia" w:ascii="仿宋" w:hAnsi="仿宋" w:eastAsia="仿宋" w:cs="仿宋"/>
                <w:color w:val="auto"/>
                <w:sz w:val="24"/>
                <w:szCs w:val="24"/>
                <w:lang w:val="en-US" w:eastAsia="zh-CN"/>
              </w:rPr>
              <w:t>在线询价</w:t>
            </w:r>
            <w:r>
              <w:rPr>
                <w:rFonts w:hint="eastAsia" w:ascii="仿宋" w:hAnsi="仿宋" w:eastAsia="仿宋" w:cs="仿宋"/>
                <w:color w:val="auto"/>
                <w:sz w:val="24"/>
                <w:szCs w:val="24"/>
              </w:rPr>
              <w:t>文件要求而导致验收不合格的</w:t>
            </w:r>
            <w:r>
              <w:rPr>
                <w:rFonts w:hint="eastAsia" w:ascii="仿宋" w:hAnsi="仿宋" w:eastAsia="仿宋" w:cs="仿宋"/>
                <w:color w:val="auto"/>
                <w:spacing w:val="7"/>
                <w:sz w:val="24"/>
                <w:szCs w:val="24"/>
              </w:rPr>
              <w:t>，</w:t>
            </w:r>
            <w:r>
              <w:rPr>
                <w:rFonts w:hint="eastAsia" w:ascii="仿宋" w:hAnsi="仿宋" w:eastAsia="仿宋" w:cs="仿宋"/>
                <w:color w:val="auto"/>
                <w:spacing w:val="3"/>
                <w:sz w:val="24"/>
                <w:szCs w:val="24"/>
              </w:rPr>
              <w:t>采购人有权解除合同并追究成交供应商的法律责任。</w:t>
            </w:r>
          </w:p>
        </w:tc>
      </w:tr>
      <w:tr w14:paraId="4867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912" w:type="dxa"/>
            <w:vAlign w:val="center"/>
          </w:tcPr>
          <w:p w14:paraId="5836E4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59" w:type="dxa"/>
            <w:vAlign w:val="center"/>
          </w:tcPr>
          <w:p w14:paraId="29329B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交货及安装地点</w:t>
            </w:r>
          </w:p>
        </w:tc>
        <w:tc>
          <w:tcPr>
            <w:tcW w:w="11656" w:type="dxa"/>
            <w:vAlign w:val="top"/>
          </w:tcPr>
          <w:p w14:paraId="52757B7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广西中医药大学仙葫校区学生宿舍（具体由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lang w:val="en-US" w:eastAsia="zh-CN"/>
              </w:rPr>
              <w:t>指定）</w:t>
            </w:r>
          </w:p>
        </w:tc>
      </w:tr>
      <w:tr w14:paraId="56E2F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51BEF90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559" w:type="dxa"/>
            <w:vAlign w:val="center"/>
          </w:tcPr>
          <w:p w14:paraId="0CC091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w:t>
            </w:r>
          </w:p>
        </w:tc>
        <w:tc>
          <w:tcPr>
            <w:tcW w:w="11656" w:type="dxa"/>
            <w:vAlign w:val="top"/>
          </w:tcPr>
          <w:p w14:paraId="43AEEB4B">
            <w:pPr>
              <w:pStyle w:val="14"/>
              <w:ind w:firstLine="480"/>
              <w:rPr>
                <w:rFonts w:hint="eastAsia" w:ascii="仿宋" w:hAnsi="仿宋" w:eastAsia="仿宋" w:cs="仿宋"/>
                <w:color w:val="auto"/>
                <w:sz w:val="24"/>
                <w:szCs w:val="24"/>
              </w:rPr>
            </w:pPr>
            <w:r>
              <w:rPr>
                <w:rFonts w:hint="eastAsia" w:ascii="仿宋" w:hAnsi="仿宋" w:eastAsia="仿宋" w:cs="仿宋"/>
                <w:color w:val="auto"/>
                <w:sz w:val="24"/>
                <w:szCs w:val="24"/>
              </w:rPr>
              <w:t>1、货物运抵采购人指定地点后，采购人对成交供应商提交的货物依据本合同及</w:t>
            </w:r>
            <w:r>
              <w:rPr>
                <w:rFonts w:hint="eastAsia" w:ascii="仿宋" w:hAnsi="仿宋" w:eastAsia="仿宋" w:cs="仿宋"/>
                <w:color w:val="auto"/>
                <w:sz w:val="24"/>
                <w:szCs w:val="24"/>
                <w:lang w:val="en-US" w:eastAsia="zh-CN"/>
              </w:rPr>
              <w:t>在线询价</w:t>
            </w:r>
            <w:r>
              <w:rPr>
                <w:rFonts w:hint="eastAsia" w:ascii="仿宋" w:hAnsi="仿宋" w:eastAsia="仿宋" w:cs="仿宋"/>
                <w:color w:val="auto"/>
                <w:sz w:val="24"/>
                <w:szCs w:val="24"/>
              </w:rPr>
              <w:t>文件上的</w:t>
            </w:r>
            <w:r>
              <w:rPr>
                <w:rFonts w:hint="eastAsia" w:ascii="仿宋" w:hAnsi="仿宋" w:eastAsia="仿宋" w:cs="仿宋"/>
                <w:color w:val="auto"/>
                <w:sz w:val="24"/>
                <w:szCs w:val="24"/>
                <w:lang w:val="en-US" w:eastAsia="zh-CN"/>
              </w:rPr>
              <w:t>品牌</w:t>
            </w:r>
            <w:r>
              <w:rPr>
                <w:rFonts w:hint="eastAsia" w:ascii="仿宋" w:hAnsi="仿宋" w:eastAsia="仿宋" w:cs="仿宋"/>
                <w:color w:val="auto"/>
                <w:sz w:val="24"/>
                <w:szCs w:val="24"/>
              </w:rPr>
              <w:t>、参数</w:t>
            </w:r>
            <w:r>
              <w:rPr>
                <w:rFonts w:hint="eastAsia" w:ascii="仿宋" w:hAnsi="仿宋" w:eastAsia="仿宋" w:cs="仿宋"/>
                <w:color w:val="auto"/>
                <w:sz w:val="24"/>
                <w:szCs w:val="24"/>
                <w:lang w:val="en-US" w:eastAsia="zh-CN"/>
              </w:rPr>
              <w:t>配置</w:t>
            </w:r>
            <w:r>
              <w:rPr>
                <w:rFonts w:hint="eastAsia" w:ascii="仿宋" w:hAnsi="仿宋" w:eastAsia="仿宋" w:cs="仿宋"/>
                <w:color w:val="auto"/>
                <w:sz w:val="24"/>
                <w:szCs w:val="24"/>
              </w:rPr>
              <w:t>要求和国家有关质量标准进行现场验收，</w:t>
            </w:r>
            <w:r>
              <w:rPr>
                <w:rFonts w:hint="eastAsia" w:ascii="仿宋" w:hAnsi="仿宋" w:eastAsia="仿宋" w:cs="仿宋"/>
                <w:color w:val="auto"/>
                <w:sz w:val="24"/>
                <w:szCs w:val="24"/>
                <w:lang w:val="en-US" w:eastAsia="zh-CN"/>
              </w:rPr>
              <w:t>品牌</w:t>
            </w:r>
            <w:r>
              <w:rPr>
                <w:rFonts w:hint="eastAsia" w:ascii="仿宋" w:hAnsi="仿宋" w:eastAsia="仿宋" w:cs="仿宋"/>
                <w:color w:val="auto"/>
                <w:sz w:val="24"/>
                <w:szCs w:val="24"/>
              </w:rPr>
              <w:t>、参数</w:t>
            </w:r>
            <w:r>
              <w:rPr>
                <w:rFonts w:hint="eastAsia" w:ascii="仿宋" w:hAnsi="仿宋" w:eastAsia="仿宋" w:cs="仿宋"/>
                <w:color w:val="auto"/>
                <w:sz w:val="24"/>
                <w:szCs w:val="24"/>
                <w:lang w:val="en-US" w:eastAsia="zh-CN"/>
              </w:rPr>
              <w:t>配置</w:t>
            </w:r>
            <w:r>
              <w:rPr>
                <w:rFonts w:hint="eastAsia" w:ascii="仿宋" w:hAnsi="仿宋" w:eastAsia="仿宋" w:cs="仿宋"/>
                <w:color w:val="auto"/>
                <w:sz w:val="24"/>
                <w:szCs w:val="24"/>
              </w:rPr>
              <w:t>符合</w:t>
            </w:r>
            <w:r>
              <w:rPr>
                <w:rFonts w:hint="eastAsia" w:ascii="仿宋" w:hAnsi="仿宋" w:eastAsia="仿宋" w:cs="仿宋"/>
                <w:color w:val="auto"/>
                <w:sz w:val="24"/>
                <w:szCs w:val="24"/>
                <w:lang w:val="en-US" w:eastAsia="zh-CN"/>
              </w:rPr>
              <w:t>在线询价</w:t>
            </w:r>
            <w:r>
              <w:rPr>
                <w:rFonts w:hint="eastAsia" w:ascii="仿宋" w:hAnsi="仿宋" w:eastAsia="仿宋" w:cs="仿宋"/>
                <w:color w:val="auto"/>
                <w:sz w:val="24"/>
                <w:szCs w:val="24"/>
              </w:rPr>
              <w:t xml:space="preserve">文件技术要求的，给予签收，验收不合格的不予签收。如发生所供货物与合同约定不符，采购人有权退货或要求成交供应商进行更换、补齐，因此造成逾期交货的，成交供应商应承担逾期交货的违约责任。成交供应商应在接到采购人要求后 </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日内予以补救，所产生的费用及法律后果由成交供应商承担。</w:t>
            </w:r>
          </w:p>
          <w:p w14:paraId="5E89DAAA">
            <w:pPr>
              <w:adjustRightInd w:val="0"/>
              <w:snapToGrid w:val="0"/>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2、验收所需工具、器材由中标供应商自理；各项性能指标达到技术要求的，由供需双方共同签字认可，现场验收</w:t>
            </w:r>
            <w:r>
              <w:rPr>
                <w:rFonts w:hint="eastAsia" w:ascii="仿宋" w:hAnsi="仿宋" w:eastAsia="仿宋" w:cs="仿宋"/>
                <w:color w:val="auto"/>
                <w:sz w:val="24"/>
                <w:szCs w:val="24"/>
                <w:lang w:eastAsia="zh-CN"/>
              </w:rPr>
              <w:t>。</w:t>
            </w:r>
          </w:p>
          <w:p w14:paraId="22308A58">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color w:val="auto"/>
                <w:kern w:val="2"/>
                <w:sz w:val="24"/>
                <w:szCs w:val="24"/>
                <w:lang w:val="en-US" w:eastAsia="zh-CN" w:bidi="ar-SA"/>
              </w:rPr>
              <w:t>3、供货产品为整体或板式安装结构，供货时不接受任何产品或原材料现场切割、焊接、加工、喷漆、胶粘等对现场环境产生负面影响的施工作业，否则不予验收。</w:t>
            </w:r>
          </w:p>
          <w:p w14:paraId="4D90B116">
            <w:pPr>
              <w:pStyle w:val="8"/>
              <w:rPr>
                <w:rFonts w:hint="eastAsia" w:ascii="仿宋" w:hAnsi="仿宋" w:eastAsia="仿宋" w:cs="仿宋"/>
                <w:color w:val="auto"/>
                <w:sz w:val="24"/>
                <w:szCs w:val="24"/>
                <w:lang w:val="en-US" w:eastAsia="zh-CN"/>
              </w:rPr>
            </w:pPr>
          </w:p>
        </w:tc>
      </w:tr>
      <w:tr w14:paraId="6110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912" w:type="dxa"/>
            <w:vAlign w:val="center"/>
          </w:tcPr>
          <w:p w14:paraId="77E0EA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559" w:type="dxa"/>
            <w:vAlign w:val="center"/>
          </w:tcPr>
          <w:p w14:paraId="20A25E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货款结算</w:t>
            </w:r>
          </w:p>
        </w:tc>
        <w:tc>
          <w:tcPr>
            <w:tcW w:w="11656" w:type="dxa"/>
            <w:vAlign w:val="top"/>
          </w:tcPr>
          <w:p w14:paraId="64499129">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无预付款，成交供应商供货且完成验收后，通知成交供应商开具发票，采购人自收到发票后</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个工作日内付款，采购人一次性支付全部合同款（无息），付款前成交供应商开具等额增值税专用发票给采购人。</w:t>
            </w:r>
          </w:p>
        </w:tc>
      </w:tr>
      <w:tr w14:paraId="1656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6BB76E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559" w:type="dxa"/>
            <w:vAlign w:val="center"/>
          </w:tcPr>
          <w:p w14:paraId="35DCC378">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质保</w:t>
            </w:r>
            <w:r>
              <w:rPr>
                <w:rFonts w:hint="eastAsia" w:ascii="仿宋" w:hAnsi="仿宋" w:eastAsia="仿宋" w:cs="仿宋"/>
                <w:color w:val="auto"/>
                <w:sz w:val="24"/>
                <w:szCs w:val="24"/>
              </w:rPr>
              <w:t>期</w:t>
            </w:r>
          </w:p>
        </w:tc>
        <w:tc>
          <w:tcPr>
            <w:tcW w:w="11656" w:type="dxa"/>
            <w:vAlign w:val="top"/>
          </w:tcPr>
          <w:p w14:paraId="3A687FDF">
            <w:pPr>
              <w:tabs>
                <w:tab w:val="center" w:pos="4153"/>
                <w:tab w:val="right" w:pos="8306"/>
              </w:tabs>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组合家具、双层钢架床</w:t>
            </w:r>
            <w:r>
              <w:rPr>
                <w:rFonts w:hint="eastAsia" w:ascii="仿宋" w:hAnsi="仿宋" w:eastAsia="仿宋" w:cs="仿宋"/>
                <w:color w:val="auto"/>
                <w:sz w:val="24"/>
                <w:szCs w:val="24"/>
                <w:highlight w:val="none"/>
              </w:rPr>
              <w:t>质量保证期</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书桌、椅子</w:t>
            </w:r>
            <w:r>
              <w:rPr>
                <w:rFonts w:hint="eastAsia" w:ascii="仿宋" w:hAnsi="仿宋" w:eastAsia="仿宋" w:cs="仿宋"/>
                <w:color w:val="auto"/>
                <w:sz w:val="24"/>
                <w:szCs w:val="24"/>
                <w:highlight w:val="none"/>
              </w:rPr>
              <w:t>质量保证期</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lang w:eastAsia="zh-CN"/>
              </w:rPr>
              <w:t>。</w:t>
            </w:r>
          </w:p>
        </w:tc>
      </w:tr>
      <w:tr w14:paraId="316E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1" w:hRule="atLeast"/>
        </w:trPr>
        <w:tc>
          <w:tcPr>
            <w:tcW w:w="1912" w:type="dxa"/>
            <w:vAlign w:val="center"/>
          </w:tcPr>
          <w:p w14:paraId="6E4E91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559" w:type="dxa"/>
            <w:vAlign w:val="center"/>
          </w:tcPr>
          <w:p w14:paraId="49E2AE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售后服务要求</w:t>
            </w:r>
          </w:p>
        </w:tc>
        <w:tc>
          <w:tcPr>
            <w:tcW w:w="11656" w:type="dxa"/>
            <w:vAlign w:val="top"/>
          </w:tcPr>
          <w:p w14:paraId="31B64AEE">
            <w:pPr>
              <w:numPr>
                <w:ilvl w:val="0"/>
                <w:numId w:val="1"/>
              </w:numPr>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质量保证期：在质保期内非人为因素发生的故障均由中标供应商免费维修或更换，</w:t>
            </w:r>
            <w:r>
              <w:rPr>
                <w:rFonts w:hint="eastAsia" w:ascii="仿宋" w:hAnsi="仿宋" w:eastAsia="仿宋" w:cs="仿宋"/>
                <w:color w:val="auto"/>
                <w:sz w:val="24"/>
                <w:szCs w:val="24"/>
                <w:lang w:val="en-US" w:eastAsia="zh-CN"/>
              </w:rPr>
              <w:t>并且</w:t>
            </w:r>
            <w:r>
              <w:rPr>
                <w:rFonts w:hint="eastAsia" w:ascii="仿宋" w:hAnsi="仿宋" w:eastAsia="仿宋" w:cs="仿宋"/>
                <w:color w:val="auto"/>
                <w:sz w:val="24"/>
                <w:szCs w:val="24"/>
              </w:rPr>
              <w:t>所提供的</w:t>
            </w:r>
            <w:r>
              <w:rPr>
                <w:rFonts w:hint="eastAsia" w:ascii="仿宋" w:hAnsi="仿宋" w:eastAsia="仿宋" w:cs="仿宋"/>
                <w:color w:val="auto"/>
                <w:sz w:val="24"/>
                <w:szCs w:val="24"/>
                <w:lang w:val="en-US" w:eastAsia="zh-CN"/>
              </w:rPr>
              <w:t>维修物件</w:t>
            </w:r>
            <w:r>
              <w:rPr>
                <w:rFonts w:hint="eastAsia" w:ascii="仿宋" w:hAnsi="仿宋" w:eastAsia="仿宋" w:cs="仿宋"/>
                <w:color w:val="auto"/>
                <w:sz w:val="24"/>
                <w:szCs w:val="24"/>
              </w:rPr>
              <w:t>必须是全新的合格产品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质保期过后提供终身维护。投标人投标时必须承诺对本项目</w:t>
            </w:r>
            <w:r>
              <w:rPr>
                <w:rFonts w:hint="eastAsia" w:ascii="仿宋" w:hAnsi="仿宋" w:eastAsia="仿宋" w:cs="仿宋"/>
                <w:color w:val="auto"/>
                <w:sz w:val="24"/>
                <w:szCs w:val="24"/>
                <w:lang w:val="en-US" w:eastAsia="zh-CN"/>
              </w:rPr>
              <w:t>家具</w:t>
            </w:r>
            <w:r>
              <w:rPr>
                <w:rFonts w:hint="eastAsia" w:ascii="仿宋" w:hAnsi="仿宋" w:eastAsia="仿宋" w:cs="仿宋"/>
                <w:color w:val="auto"/>
                <w:sz w:val="24"/>
                <w:szCs w:val="24"/>
              </w:rPr>
              <w:t>提供终身服务，质保期外的服务费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维修的零配件需</w:t>
            </w:r>
            <w:r>
              <w:rPr>
                <w:rFonts w:hint="eastAsia" w:ascii="仿宋" w:hAnsi="仿宋" w:eastAsia="仿宋" w:cs="仿宋"/>
                <w:color w:val="auto"/>
                <w:sz w:val="24"/>
                <w:szCs w:val="24"/>
                <w:lang w:eastAsia="zh-CN"/>
              </w:rPr>
              <w:t>按市场价</w:t>
            </w:r>
            <w:r>
              <w:rPr>
                <w:rFonts w:hint="eastAsia" w:ascii="仿宋" w:hAnsi="仿宋" w:eastAsia="仿宋" w:cs="仿宋"/>
                <w:color w:val="auto"/>
                <w:sz w:val="24"/>
                <w:szCs w:val="24"/>
              </w:rPr>
              <w:t>优惠</w:t>
            </w:r>
            <w:r>
              <w:rPr>
                <w:rFonts w:hint="eastAsia" w:ascii="仿宋" w:hAnsi="仿宋" w:eastAsia="仿宋" w:cs="仿宋"/>
                <w:color w:val="auto"/>
                <w:sz w:val="24"/>
                <w:szCs w:val="24"/>
                <w:lang w:val="en-US" w:eastAsia="zh-CN"/>
              </w:rPr>
              <w:t>8折</w:t>
            </w:r>
            <w:r>
              <w:rPr>
                <w:rFonts w:hint="eastAsia" w:ascii="仿宋" w:hAnsi="仿宋" w:eastAsia="仿宋" w:cs="仿宋"/>
                <w:color w:val="auto"/>
                <w:sz w:val="24"/>
                <w:szCs w:val="24"/>
              </w:rPr>
              <w:t>。</w:t>
            </w:r>
          </w:p>
          <w:p w14:paraId="1584683B">
            <w:pPr>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故障响应时间：货物发生故障时，在接到采购人通知后24小时内到达现场处理，一般故障处理时限不超过12小时，12小时内不能修复的，提供替代品。</w:t>
            </w:r>
          </w:p>
          <w:p w14:paraId="7D8085B1">
            <w:pPr>
              <w:adjustRightInd w:val="0"/>
              <w:snapToGrid w:val="0"/>
              <w:ind w:firstLine="48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质保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14:paraId="6F8F0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912" w:type="dxa"/>
            <w:vAlign w:val="center"/>
          </w:tcPr>
          <w:p w14:paraId="5D477E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559" w:type="dxa"/>
            <w:vAlign w:val="center"/>
          </w:tcPr>
          <w:p w14:paraId="6A4D7E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违约责任</w:t>
            </w:r>
          </w:p>
        </w:tc>
        <w:tc>
          <w:tcPr>
            <w:tcW w:w="11656" w:type="dxa"/>
            <w:vAlign w:val="top"/>
          </w:tcPr>
          <w:p w14:paraId="1D9956C7">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w:t>
            </w:r>
            <w:r>
              <w:rPr>
                <w:rFonts w:hint="eastAsia" w:ascii="仿宋" w:hAnsi="仿宋" w:eastAsia="仿宋" w:cs="仿宋"/>
                <w:color w:val="auto"/>
                <w:sz w:val="24"/>
                <w:szCs w:val="24"/>
                <w:lang w:val="en-US" w:eastAsia="zh-CN"/>
              </w:rPr>
              <w:t>在线询价</w:t>
            </w:r>
            <w:r>
              <w:rPr>
                <w:rFonts w:hint="eastAsia" w:ascii="仿宋" w:hAnsi="仿宋" w:eastAsia="仿宋" w:cs="仿宋"/>
                <w:color w:val="auto"/>
                <w:sz w:val="24"/>
                <w:szCs w:val="24"/>
              </w:rPr>
              <w:t>文件项下的货物在交货、安装、验收及质保期等任何阶段内不符合合同约定的技术规范要求和验收标准的，采购人有权向成交供应商索赔并选择下列一项或多项补救措施：</w:t>
            </w:r>
          </w:p>
          <w:p w14:paraId="499860A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（1）由成交供应商采取措施消除货物缺陷或不符合合同之处，如果成交供应商不能及时消除缺陷，采购人有权自行消除缺陷或不符合合同之处，由此产生的一切费用均由成交供应商承担。</w:t>
            </w:r>
          </w:p>
          <w:p w14:paraId="7A7140DD">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（2）由成交供应商在接到采购人通知后 10 日内用符合合同规定的规格、质量和性能要求的新零件、部件和货物更换有缺陷的设备或用新的技术资料替换有错误的技术资料或补供遗漏的货物或技术资料等，成交供应商应承担一切费用和风险并负担给采购人造成的全部损失。</w:t>
            </w:r>
          </w:p>
          <w:p w14:paraId="077BB93F">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（3）根据货物的低劣程度、损坏程度以及采购人所遭受损失的数额，成交供应商必须降低货物的价格。</w:t>
            </w:r>
          </w:p>
          <w:p w14:paraId="177225F4">
            <w:pPr>
              <w:rPr>
                <w:rFonts w:hint="eastAsia" w:ascii="仿宋" w:hAnsi="仿宋" w:eastAsia="仿宋" w:cs="仿宋"/>
                <w:color w:val="auto"/>
                <w:sz w:val="24"/>
                <w:szCs w:val="24"/>
              </w:rPr>
            </w:pPr>
            <w:r>
              <w:rPr>
                <w:rFonts w:hint="eastAsia" w:ascii="仿宋" w:hAnsi="仿宋" w:eastAsia="仿宋" w:cs="仿宋"/>
                <w:color w:val="auto"/>
                <w:sz w:val="24"/>
                <w:szCs w:val="24"/>
              </w:rPr>
              <w:t>退货，成交供应商应退还采购人支付的全部合同款，同时应承担该货物的直接费用（运输、保险、检验、货款利息及银行手续费等）。</w:t>
            </w:r>
          </w:p>
          <w:p w14:paraId="4999C1B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2、成交供应商逾期交付货物的，每逾期一日，应按</w:t>
            </w:r>
            <w:r>
              <w:rPr>
                <w:rFonts w:hint="eastAsia" w:ascii="仿宋" w:hAnsi="仿宋" w:eastAsia="仿宋" w:cs="仿宋"/>
                <w:color w:val="auto"/>
                <w:sz w:val="24"/>
                <w:szCs w:val="24"/>
                <w:lang w:val="en-US" w:eastAsia="zh-CN"/>
              </w:rPr>
              <w:t>货款</w:t>
            </w:r>
            <w:r>
              <w:rPr>
                <w:rFonts w:hint="eastAsia" w:ascii="仿宋" w:hAnsi="仿宋" w:eastAsia="仿宋" w:cs="仿宋"/>
                <w:color w:val="auto"/>
                <w:sz w:val="24"/>
                <w:szCs w:val="24"/>
              </w:rPr>
              <w:t xml:space="preserve">总额3‰向采购人支付违约金。逾期超过约定日期 </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 个工作日不能交货的，采购人有权解除本合同，并要求成交供应商支付合同总额 20 %的违约金。</w:t>
            </w:r>
          </w:p>
          <w:p w14:paraId="04074CBE">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3、成交供应商所交付的货物规格、技术参数、质量不符合合同规定及</w:t>
            </w:r>
            <w:r>
              <w:rPr>
                <w:rFonts w:hint="eastAsia" w:ascii="仿宋" w:hAnsi="仿宋" w:eastAsia="仿宋" w:cs="仿宋"/>
                <w:color w:val="auto"/>
                <w:sz w:val="24"/>
                <w:szCs w:val="24"/>
                <w:lang w:val="en-US" w:eastAsia="zh-CN"/>
              </w:rPr>
              <w:t>在线询价</w:t>
            </w:r>
            <w:r>
              <w:rPr>
                <w:rFonts w:hint="eastAsia" w:ascii="仿宋" w:hAnsi="仿宋" w:eastAsia="仿宋" w:cs="仿宋"/>
                <w:color w:val="auto"/>
                <w:sz w:val="24"/>
                <w:szCs w:val="24"/>
              </w:rPr>
              <w:t>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14:paraId="67505C7F">
            <w:p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p w14:paraId="6C1C9361">
            <w:p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5.本合同约定的违约责任、损失的含义包括但不限于赔偿经济损失、消除影响、守约方为维护自身权益而产生的律师费、诉讼费、保全费、保函费、鉴定费、公证费、差旅费、鉴定费等。</w:t>
            </w:r>
          </w:p>
        </w:tc>
      </w:tr>
      <w:tr w14:paraId="3D92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912" w:type="dxa"/>
            <w:vAlign w:val="center"/>
          </w:tcPr>
          <w:p w14:paraId="25115C04">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559" w:type="dxa"/>
            <w:vAlign w:val="center"/>
          </w:tcPr>
          <w:p w14:paraId="55F0C757">
            <w:pPr>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11656" w:type="dxa"/>
            <w:vAlign w:val="center"/>
          </w:tcPr>
          <w:p w14:paraId="2FF386B1">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所供产品的规格、数量符合招标文件供应商投标承诺及采购合同约定的要求。</w:t>
            </w:r>
          </w:p>
          <w:p w14:paraId="78B4965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所供产品的材质、颜色符合招标文件供应商投标承诺及采购合同约定的要求。</w:t>
            </w:r>
          </w:p>
          <w:p w14:paraId="39085E8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所供产品的外观完好，无严重碰撞，五金件生锈</w:t>
            </w:r>
            <w:r>
              <w:rPr>
                <w:rFonts w:hint="eastAsia" w:ascii="仿宋" w:hAnsi="仿宋" w:eastAsia="仿宋" w:cs="仿宋"/>
                <w:sz w:val="24"/>
                <w:szCs w:val="24"/>
                <w:highlight w:val="none"/>
              </w:rPr>
              <w:t>等瑕疵</w:t>
            </w:r>
            <w:r>
              <w:rPr>
                <w:rFonts w:hint="eastAsia" w:ascii="仿宋" w:hAnsi="仿宋" w:eastAsia="仿宋" w:cs="仿宋"/>
                <w:sz w:val="24"/>
                <w:szCs w:val="24"/>
              </w:rPr>
              <w:t>。</w:t>
            </w:r>
          </w:p>
          <w:p w14:paraId="4C44783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所供产品结构牢固，无安全隐患。</w:t>
            </w:r>
          </w:p>
          <w:p w14:paraId="4A8644E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 xml:space="preserve">如有抽检要求的，检测结果符合招标文件供应商投标承诺及采购合同约定的要求。 </w:t>
            </w:r>
          </w:p>
          <w:p w14:paraId="489F423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所有产品均已运输至指定地点，并安装调试完毕。</w:t>
            </w:r>
          </w:p>
          <w:p w14:paraId="77F6C7A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招标文件供应商投标承诺及采购合同约定的附件、工具、技术资料等齐全；提供产品使用说明书、合格证。</w:t>
            </w:r>
          </w:p>
          <w:p w14:paraId="4F461C5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家具安装后，采购人随机抽取两间宿舍，由有资质的检测机构对室内空气进行检测，室内空气中甲醛、苯等气体的浓度必须符合现行国家和行业的标准。如检测不合格，采购人保留对家具进行破坏性检测，由采购人在所提供的家具中随机抽取不少于3块基材,送到具备家具成品及其原辅材料检测能力并具有国家计量认证(CMA 资质)的第三方检测机构进行检测，检验结果不合格的不予验收，并做退货处理，所有检测费用由</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供应商承担，由此产生的一切后果由</w:t>
            </w:r>
            <w:r>
              <w:rPr>
                <w:rFonts w:hint="eastAsia" w:ascii="仿宋" w:hAnsi="仿宋" w:eastAsia="仿宋" w:cs="仿宋"/>
                <w:sz w:val="24"/>
                <w:szCs w:val="24"/>
                <w:lang w:val="en-US" w:eastAsia="zh-CN"/>
              </w:rPr>
              <w:t>成交</w:t>
            </w:r>
            <w:r>
              <w:rPr>
                <w:rFonts w:hint="eastAsia" w:ascii="仿宋" w:hAnsi="仿宋" w:eastAsia="仿宋" w:cs="仿宋"/>
                <w:sz w:val="24"/>
                <w:szCs w:val="24"/>
              </w:rPr>
              <w:t>供应商承担。</w:t>
            </w:r>
          </w:p>
          <w:p w14:paraId="5993E46A">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rPr>
              <w:t>采用随机抽取安装好的</w:t>
            </w:r>
            <w:r>
              <w:rPr>
                <w:rFonts w:hint="eastAsia" w:ascii="仿宋" w:hAnsi="仿宋" w:eastAsia="仿宋" w:cs="仿宋"/>
                <w:color w:val="auto"/>
                <w:sz w:val="24"/>
                <w:szCs w:val="24"/>
                <w:highlight w:val="none"/>
                <w:lang w:val="en-US" w:eastAsia="zh-CN"/>
              </w:rPr>
              <w:t>3套</w:t>
            </w:r>
            <w:r>
              <w:rPr>
                <w:rFonts w:hint="eastAsia" w:ascii="仿宋" w:hAnsi="仿宋" w:eastAsia="仿宋" w:cs="仿宋"/>
                <w:sz w:val="24"/>
                <w:szCs w:val="24"/>
              </w:rPr>
              <w:t>家具现场切割的方式验收。</w:t>
            </w:r>
            <w:r>
              <w:rPr>
                <w:rFonts w:hint="eastAsia" w:ascii="仿宋" w:hAnsi="仿宋" w:eastAsia="仿宋" w:cs="仿宋"/>
                <w:sz w:val="24"/>
                <w:szCs w:val="24"/>
                <w:highlight w:val="none"/>
              </w:rPr>
              <w:t>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第三方检验机构（取得计量认证具有CMA标识）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运费等全部费用</w:t>
            </w:r>
            <w:r>
              <w:rPr>
                <w:rFonts w:hint="eastAsia" w:ascii="仿宋" w:hAnsi="仿宋" w:eastAsia="仿宋" w:cs="仿宋"/>
                <w:sz w:val="24"/>
                <w:szCs w:val="24"/>
                <w:highlight w:val="none"/>
              </w:rPr>
              <w:t>由中标供应商承担。</w:t>
            </w:r>
          </w:p>
          <w:p w14:paraId="3823F84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eastAsia="zh-CN"/>
              </w:rPr>
              <w:t>、</w:t>
            </w:r>
            <w:r>
              <w:rPr>
                <w:rFonts w:hint="eastAsia" w:ascii="仿宋" w:hAnsi="仿宋" w:eastAsia="仿宋" w:cs="仿宋"/>
                <w:sz w:val="24"/>
                <w:szCs w:val="24"/>
              </w:rPr>
              <w:t>验收不合格或不能按期履行合同的处理：中标供应商必须在合同指定时间内将货物运送到安装地点并完成安装工作，否则中标供应商必须承担由此产生的一切后果。如中标供应商不能按约定时间交货，视为违约。</w:t>
            </w:r>
          </w:p>
          <w:p w14:paraId="4159470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eastAsia="zh-CN"/>
              </w:rPr>
              <w:t>、</w:t>
            </w:r>
            <w:r>
              <w:rPr>
                <w:rFonts w:hint="eastAsia" w:ascii="仿宋" w:hAnsi="仿宋" w:eastAsia="仿宋" w:cs="仿宋"/>
                <w:sz w:val="24"/>
                <w:szCs w:val="24"/>
              </w:rPr>
              <w:t>货物或服务技术参数与投标文件中响应表或证明材料一致，性能或指标达到规定的标准，否则，以实际货物或服务技术参数与投标文件响应表参数或证明材料比较，按如下情况处理：</w:t>
            </w:r>
          </w:p>
          <w:p w14:paraId="02C7D319">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（1）供应商投标文件响应表或证明材料中满足或优于的技术参数，在验收时实际不满足技术参数要求的，视为供货商虚假应标，采购人有权终止合同拒收货物，并追究供应商责任，同时报财政部门备案。</w:t>
            </w:r>
          </w:p>
          <w:p w14:paraId="1DF7CD2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（2）供应商投标文件响应表或证明材料中优于的技术参数，在验收时实际仅满足并未优于技术参数要求的，视为供货商虚假应标，采购人有权终止合同拒收货物，并追究供应商责任，同时报财政部门备案。</w:t>
            </w:r>
          </w:p>
          <w:p w14:paraId="7534730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（3）供应商投标文件响应表或证明材料中满足的技术参数，在验收时实际优于技术参数的要求，以满足技术参数的要求验收。</w:t>
            </w:r>
          </w:p>
          <w:p w14:paraId="13E2F1D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27DE154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2A7E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43A3FB2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9" w:type="dxa"/>
            <w:vAlign w:val="center"/>
          </w:tcPr>
          <w:p w14:paraId="5DF083DE">
            <w:pPr>
              <w:jc w:val="center"/>
              <w:rPr>
                <w:rFonts w:hint="eastAsia" w:ascii="仿宋" w:hAnsi="仿宋" w:eastAsia="仿宋" w:cs="仿宋"/>
                <w:sz w:val="24"/>
                <w:szCs w:val="24"/>
              </w:rPr>
            </w:pPr>
            <w:r>
              <w:rPr>
                <w:rFonts w:hint="eastAsia" w:ascii="仿宋" w:hAnsi="仿宋" w:eastAsia="仿宋" w:cs="仿宋"/>
                <w:sz w:val="24"/>
                <w:szCs w:val="24"/>
              </w:rPr>
              <w:t>检测报告</w:t>
            </w:r>
          </w:p>
        </w:tc>
        <w:tc>
          <w:tcPr>
            <w:tcW w:w="11656" w:type="dxa"/>
            <w:vAlign w:val="center"/>
          </w:tcPr>
          <w:p w14:paraId="7B44858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为了保证产品质量的稳定性，供货前必须提供具有检测资质的第三方检验机构出具的合格检测报告，并加盖报价人公章（注：报价人需承诺检测报告中检测的材料在本次报价的产品中使用；检测的产品应与本次报价产品采用同样的材料和工艺生产）。</w:t>
            </w:r>
          </w:p>
          <w:p w14:paraId="7AB316B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（1）成品检测报告：</w:t>
            </w:r>
          </w:p>
          <w:p w14:paraId="5F820E5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1.1提供“公寓床”符合技术参数及性能（配置）要求中的检测报告复印件。</w:t>
            </w:r>
          </w:p>
          <w:p w14:paraId="6E0250D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1.2提供“公寓椅”符合技术参数及性能（配置）要求中的检测报告复印件。</w:t>
            </w:r>
          </w:p>
          <w:p w14:paraId="5D08175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1.3提供“钢木课桌”符合技术参数及性能（配置）要求中的检测报告复印件。</w:t>
            </w:r>
          </w:p>
          <w:p w14:paraId="177E4F5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（2）原材料检测报告：</w:t>
            </w:r>
          </w:p>
          <w:p w14:paraId="4CB47A4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2.1提供“冷轧钢板”符合技术参数及性能（配置）要求中的检测报告复印件。</w:t>
            </w:r>
          </w:p>
          <w:p w14:paraId="144234D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2.2提供“塑粉”符合技术参数及性能（配置）要求中的检测报告复印件。</w:t>
            </w:r>
          </w:p>
          <w:p w14:paraId="5163FF7A">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2.3提供“多层实木板（胶合板）”符合技术参数及性能（配置）要求中的检测报告复印件。</w:t>
            </w:r>
          </w:p>
          <w:p w14:paraId="1269674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2、说明：</w:t>
            </w:r>
          </w:p>
          <w:p w14:paraId="2584BC5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（1）供货前未能提供检测报告的，或检测内容不齐全的，视为违约。</w:t>
            </w:r>
          </w:p>
          <w:p w14:paraId="6959EBB6">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（2）检验报告的名称与要求不相同的，只要检测内容相同则视为相符；检测报告的送检单位为竞标人或生产厂家、原材料商。</w:t>
            </w:r>
          </w:p>
          <w:p w14:paraId="7008DB4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（3）履行合同时，必须提供原件进行核查。</w:t>
            </w:r>
          </w:p>
          <w:p w14:paraId="39BADDE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（4）检测报告可以是一份或多份。</w:t>
            </w:r>
          </w:p>
        </w:tc>
      </w:tr>
      <w:tr w14:paraId="464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6EA869C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9" w:type="dxa"/>
            <w:vAlign w:val="center"/>
          </w:tcPr>
          <w:p w14:paraId="1F5A01F3">
            <w:pPr>
              <w:jc w:val="center"/>
              <w:rPr>
                <w:rFonts w:hint="eastAsia" w:ascii="仿宋" w:hAnsi="仿宋" w:eastAsia="仿宋" w:cs="仿宋"/>
                <w:sz w:val="24"/>
                <w:szCs w:val="24"/>
              </w:rPr>
            </w:pPr>
            <w:r>
              <w:rPr>
                <w:rFonts w:hint="eastAsia" w:ascii="仿宋" w:hAnsi="仿宋" w:eastAsia="仿宋" w:cs="仿宋"/>
                <w:sz w:val="24"/>
                <w:szCs w:val="24"/>
              </w:rPr>
              <w:t>履约保证金收取及退付</w:t>
            </w:r>
          </w:p>
        </w:tc>
        <w:tc>
          <w:tcPr>
            <w:tcW w:w="11656" w:type="dxa"/>
            <w:vAlign w:val="center"/>
          </w:tcPr>
          <w:p w14:paraId="5223CA58">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履约保证金金额：中标人为中小微企业的，履约保证金为合同金额的2%，大型企业的履约保证金为合同金额的5%（以响应文件中提交的中小企业声明函为依据）；签订合同前交至指定账户，否则不予签订合同（履约保证金缴纳时须备注项目名称+项目编号。）</w:t>
            </w:r>
          </w:p>
          <w:p w14:paraId="64A31E7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履约保证金递交方式：银行转账、电汇或者银行出具的保函等非现金方式。由中标人在签订合同前按规定的金额直接缴入以下采购人账户。凭履约保证金缴纳凭证签订合同。</w:t>
            </w:r>
          </w:p>
          <w:p w14:paraId="6464A49C">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统一社会信用代码：</w:t>
            </w:r>
          </w:p>
          <w:p w14:paraId="4FBFA1C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户名</w:t>
            </w:r>
            <w:r>
              <w:rPr>
                <w:rFonts w:hint="eastAsia" w:ascii="仿宋" w:hAnsi="仿宋" w:eastAsia="仿宋" w:cs="仿宋"/>
                <w:sz w:val="24"/>
                <w:szCs w:val="24"/>
                <w:lang w:eastAsia="zh-CN"/>
              </w:rPr>
              <w:t>：</w:t>
            </w:r>
            <w:r>
              <w:rPr>
                <w:rFonts w:hint="eastAsia" w:ascii="仿宋" w:hAnsi="仿宋" w:eastAsia="仿宋" w:cs="仿宋"/>
                <w:sz w:val="24"/>
                <w:szCs w:val="24"/>
              </w:rPr>
              <w:t xml:space="preserve">广西中医药大学  </w:t>
            </w:r>
          </w:p>
          <w:p w14:paraId="0A76EC2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开户行：中国银行股份有限公司南宁市明秀东支行</w:t>
            </w:r>
          </w:p>
          <w:p w14:paraId="58D833D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账号：621057498215</w:t>
            </w:r>
          </w:p>
          <w:p w14:paraId="6FBD9B6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地址：南宁市五合大道13号 </w:t>
            </w:r>
          </w:p>
          <w:p w14:paraId="35233488">
            <w:pPr>
              <w:spacing w:line="3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电话：</w:t>
            </w:r>
            <w:r>
              <w:rPr>
                <w:rFonts w:hint="eastAsia" w:ascii="仿宋" w:hAnsi="仿宋" w:eastAsia="仿宋" w:cs="仿宋"/>
                <w:sz w:val="24"/>
                <w:szCs w:val="24"/>
                <w:lang w:val="en-US" w:eastAsia="zh-CN"/>
              </w:rPr>
              <w:t>0771-4953625</w:t>
            </w:r>
          </w:p>
          <w:p w14:paraId="2A371A27">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缴纳履约保证金注明：“项目名称+项目编号”履约保证金。</w:t>
            </w:r>
          </w:p>
          <w:p w14:paraId="68CB385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履约保证金退付方式、时间及条件：中标人若不能完全履行合同，履约保证金不返还；中标人若完全履行合同，货物验收合格后，由成交供应商向采购人提供《广西壮族自治区政府采购项目合同验收书》。中标人凭履约保证金缴款凭证、《项目履约保证金退付意见书》到采购人财务部门办理无息退还手续。</w:t>
            </w:r>
          </w:p>
          <w:p w14:paraId="4459AEA0">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备注：</w:t>
            </w:r>
          </w:p>
          <w:p w14:paraId="17086A64">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（1）履约保证金不足额缴纳的，或银行出具的保函额度不足的或者银行保函有效期低于合同履行期限（即签订采购合同之日起至履行完合同约定的权利及义务之日止）的，不予签订合同。</w:t>
            </w:r>
          </w:p>
          <w:p w14:paraId="23BC803B">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（2）采用银行出具的保函的，必须为无条件的银行保函，否则不予签订合同。</w:t>
            </w:r>
          </w:p>
        </w:tc>
      </w:tr>
      <w:tr w14:paraId="0B6E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0" w:hRule="atLeast"/>
        </w:trPr>
        <w:tc>
          <w:tcPr>
            <w:tcW w:w="1912" w:type="dxa"/>
            <w:vAlign w:val="center"/>
          </w:tcPr>
          <w:p w14:paraId="5497F17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9" w:type="dxa"/>
            <w:vAlign w:val="center"/>
          </w:tcPr>
          <w:p w14:paraId="78E27F7D">
            <w:pPr>
              <w:jc w:val="center"/>
              <w:rPr>
                <w:rFonts w:hint="eastAsia" w:ascii="仿宋" w:hAnsi="仿宋" w:eastAsia="仿宋" w:cs="仿宋"/>
                <w:sz w:val="24"/>
                <w:szCs w:val="24"/>
              </w:rPr>
            </w:pPr>
            <w:r>
              <w:rPr>
                <w:rFonts w:hint="eastAsia" w:ascii="仿宋" w:hAnsi="仿宋" w:eastAsia="仿宋" w:cs="仿宋"/>
                <w:sz w:val="24"/>
                <w:szCs w:val="24"/>
              </w:rPr>
              <w:t>小样要求</w:t>
            </w:r>
          </w:p>
        </w:tc>
        <w:tc>
          <w:tcPr>
            <w:tcW w:w="11656" w:type="dxa"/>
            <w:vAlign w:val="center"/>
          </w:tcPr>
          <w:tbl>
            <w:tblPr>
              <w:tblStyle w:val="11"/>
              <w:tblW w:w="7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50"/>
              <w:gridCol w:w="1822"/>
              <w:gridCol w:w="1450"/>
              <w:gridCol w:w="2293"/>
            </w:tblGrid>
            <w:tr w14:paraId="6683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30EDC3D8">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项号</w:t>
                  </w:r>
                </w:p>
              </w:tc>
              <w:tc>
                <w:tcPr>
                  <w:tcW w:w="1350" w:type="dxa"/>
                  <w:vAlign w:val="center"/>
                </w:tcPr>
                <w:p w14:paraId="0B893D98">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bCs/>
                      <w:color w:val="auto"/>
                      <w:sz w:val="24"/>
                      <w:szCs w:val="24"/>
                      <w:highlight w:val="none"/>
                    </w:rPr>
                    <w:t>货物名称</w:t>
                  </w:r>
                </w:p>
              </w:tc>
              <w:tc>
                <w:tcPr>
                  <w:tcW w:w="1822" w:type="dxa"/>
                  <w:vAlign w:val="center"/>
                </w:tcPr>
                <w:p w14:paraId="07BF9B6A">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小样名称</w:t>
                  </w:r>
                </w:p>
              </w:tc>
              <w:tc>
                <w:tcPr>
                  <w:tcW w:w="1450" w:type="dxa"/>
                  <w:vAlign w:val="center"/>
                </w:tcPr>
                <w:p w14:paraId="663DF586">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数量</w:t>
                  </w:r>
                </w:p>
              </w:tc>
              <w:tc>
                <w:tcPr>
                  <w:tcW w:w="2293" w:type="dxa"/>
                  <w:vAlign w:val="center"/>
                </w:tcPr>
                <w:p w14:paraId="6AFE6381">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trike w:val="0"/>
                      <w:color w:val="auto"/>
                      <w:sz w:val="24"/>
                      <w:szCs w:val="24"/>
                      <w:highlight w:val="none"/>
                      <w:lang w:val="en-US" w:eastAsia="zh-CN"/>
                    </w:rPr>
                  </w:pPr>
                  <w:r>
                    <w:rPr>
                      <w:rFonts w:hint="eastAsia" w:ascii="仿宋" w:hAnsi="仿宋" w:eastAsia="仿宋" w:cs="仿宋"/>
                      <w:color w:val="auto"/>
                      <w:sz w:val="24"/>
                      <w:szCs w:val="24"/>
                      <w:highlight w:val="none"/>
                    </w:rPr>
                    <w:t>要求</w:t>
                  </w:r>
                </w:p>
              </w:tc>
            </w:tr>
            <w:tr w14:paraId="57A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14:paraId="59F8B88D">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0" w:type="dxa"/>
                  <w:vMerge w:val="restart"/>
                  <w:vAlign w:val="center"/>
                </w:tcPr>
                <w:p w14:paraId="52503D24">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sz w:val="24"/>
                      <w:szCs w:val="24"/>
                      <w:highlight w:val="none"/>
                      <w:lang w:val="en-US" w:eastAsia="zh-CN"/>
                    </w:rPr>
                    <w:t>组合床</w:t>
                  </w:r>
                </w:p>
              </w:tc>
              <w:tc>
                <w:tcPr>
                  <w:tcW w:w="1822" w:type="dxa"/>
                  <w:vAlign w:val="center"/>
                </w:tcPr>
                <w:p w14:paraId="4BCC77DE">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床立柱</w:t>
                  </w:r>
                </w:p>
              </w:tc>
              <w:tc>
                <w:tcPr>
                  <w:tcW w:w="1450" w:type="dxa"/>
                  <w:vAlign w:val="center"/>
                </w:tcPr>
                <w:p w14:paraId="7FC8B114">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14:paraId="781B8717">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长度</w:t>
                  </w:r>
                  <w:r>
                    <w:rPr>
                      <w:rFonts w:hint="eastAsia" w:ascii="仿宋" w:hAnsi="仿宋" w:eastAsia="仿宋" w:cs="仿宋"/>
                      <w:strike w:val="0"/>
                      <w:color w:val="auto"/>
                      <w:sz w:val="24"/>
                      <w:szCs w:val="24"/>
                      <w:highlight w:val="none"/>
                      <w:lang w:val="en-US" w:eastAsia="zh-CN"/>
                    </w:rPr>
                    <w:t>约30</w:t>
                  </w:r>
                  <w:r>
                    <w:rPr>
                      <w:rFonts w:hint="eastAsia" w:ascii="仿宋" w:hAnsi="仿宋" w:eastAsia="仿宋" w:cs="仿宋"/>
                      <w:strike w:val="0"/>
                      <w:color w:val="auto"/>
                      <w:sz w:val="24"/>
                      <w:szCs w:val="24"/>
                      <w:highlight w:val="none"/>
                    </w:rPr>
                    <w:t>0mm，（</w:t>
                  </w:r>
                  <w:r>
                    <w:rPr>
                      <w:rFonts w:hint="eastAsia" w:ascii="仿宋" w:hAnsi="仿宋" w:eastAsia="仿宋" w:cs="仿宋"/>
                      <w:strike w:val="0"/>
                      <w:color w:val="auto"/>
                      <w:sz w:val="24"/>
                      <w:szCs w:val="24"/>
                      <w:highlight w:val="none"/>
                      <w:lang w:val="en-US" w:eastAsia="zh-CN"/>
                    </w:rPr>
                    <w:t>要求开四个挂件孔位</w:t>
                  </w:r>
                  <w:r>
                    <w:rPr>
                      <w:rFonts w:hint="eastAsia" w:ascii="仿宋" w:hAnsi="仿宋" w:eastAsia="仿宋" w:cs="仿宋"/>
                      <w:strike w:val="0"/>
                      <w:color w:val="auto"/>
                      <w:sz w:val="24"/>
                      <w:szCs w:val="24"/>
                      <w:highlight w:val="none"/>
                    </w:rPr>
                    <w:t>）</w:t>
                  </w:r>
                </w:p>
              </w:tc>
            </w:tr>
            <w:tr w14:paraId="1339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4" w:type="dxa"/>
                  <w:vMerge w:val="continue"/>
                  <w:vAlign w:val="center"/>
                </w:tcPr>
                <w:p w14:paraId="1F2C009B">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p>
              </w:tc>
              <w:tc>
                <w:tcPr>
                  <w:tcW w:w="1350" w:type="dxa"/>
                  <w:vMerge w:val="continue"/>
                  <w:vAlign w:val="center"/>
                </w:tcPr>
                <w:p w14:paraId="5EF00AE7">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rPr>
                  </w:pPr>
                </w:p>
              </w:tc>
              <w:tc>
                <w:tcPr>
                  <w:tcW w:w="1822" w:type="dxa"/>
                  <w:vAlign w:val="center"/>
                </w:tcPr>
                <w:p w14:paraId="7973989E">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床母</w:t>
                  </w:r>
                </w:p>
              </w:tc>
              <w:tc>
                <w:tcPr>
                  <w:tcW w:w="1450" w:type="dxa"/>
                  <w:vAlign w:val="center"/>
                </w:tcPr>
                <w:p w14:paraId="7C381EC5">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14:paraId="70467F07">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trike w:val="0"/>
                      <w:color w:val="auto"/>
                      <w:sz w:val="24"/>
                      <w:szCs w:val="24"/>
                      <w:highlight w:val="none"/>
                      <w:lang w:val="en-US" w:eastAsia="zh-CN"/>
                    </w:rPr>
                    <w:t>连接处正面需满焊</w:t>
                  </w:r>
                </w:p>
              </w:tc>
            </w:tr>
            <w:tr w14:paraId="4B23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14:paraId="1B9B14BD">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p>
              </w:tc>
              <w:tc>
                <w:tcPr>
                  <w:tcW w:w="1350" w:type="dxa"/>
                  <w:vMerge w:val="continue"/>
                  <w:vAlign w:val="center"/>
                </w:tcPr>
                <w:p w14:paraId="1BCB0239">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bCs/>
                      <w:color w:val="auto"/>
                      <w:sz w:val="24"/>
                      <w:szCs w:val="24"/>
                      <w:highlight w:val="none"/>
                    </w:rPr>
                  </w:pPr>
                </w:p>
              </w:tc>
              <w:tc>
                <w:tcPr>
                  <w:tcW w:w="1822" w:type="dxa"/>
                  <w:vAlign w:val="center"/>
                </w:tcPr>
                <w:p w14:paraId="5D9B9FC4">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挂件</w:t>
                  </w:r>
                </w:p>
              </w:tc>
              <w:tc>
                <w:tcPr>
                  <w:tcW w:w="1450" w:type="dxa"/>
                  <w:vAlign w:val="center"/>
                </w:tcPr>
                <w:p w14:paraId="54B362C1">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裸、喷</w:t>
                  </w:r>
                  <w:r>
                    <w:rPr>
                      <w:rFonts w:hint="eastAsia" w:ascii="仿宋" w:hAnsi="仿宋" w:eastAsia="仿宋" w:cs="仿宋"/>
                      <w:strike w:val="0"/>
                      <w:color w:val="auto"/>
                      <w:sz w:val="24"/>
                      <w:szCs w:val="24"/>
                      <w:highlight w:val="none"/>
                      <w:lang w:val="en-US" w:eastAsia="zh-CN"/>
                    </w:rPr>
                    <w:t>各</w:t>
                  </w:r>
                  <w:r>
                    <w:rPr>
                      <w:rFonts w:hint="eastAsia" w:ascii="仿宋" w:hAnsi="仿宋" w:eastAsia="仿宋" w:cs="仿宋"/>
                      <w:strike w:val="0"/>
                      <w:color w:val="auto"/>
                      <w:sz w:val="24"/>
                      <w:szCs w:val="24"/>
                      <w:highlight w:val="none"/>
                    </w:rPr>
                    <w:t>1根</w:t>
                  </w:r>
                </w:p>
              </w:tc>
              <w:tc>
                <w:tcPr>
                  <w:tcW w:w="2293" w:type="dxa"/>
                  <w:vAlign w:val="center"/>
                </w:tcPr>
                <w:p w14:paraId="2AE77F15">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trike w:val="0"/>
                      <w:color w:val="auto"/>
                      <w:sz w:val="24"/>
                      <w:szCs w:val="24"/>
                      <w:highlight w:val="none"/>
                      <w:lang w:val="en-US" w:eastAsia="zh-CN"/>
                    </w:rPr>
                    <w:t>2.0mm厚钢板冲压成型4扣榫卯内L（越承重越紧固）分左右，成型尺寸不小于27*27*195mm。正面需满焊</w:t>
                  </w:r>
                </w:p>
              </w:tc>
            </w:tr>
          </w:tbl>
          <w:p w14:paraId="5CA9401C">
            <w:pPr>
              <w:spacing w:line="340" w:lineRule="exact"/>
              <w:ind w:firstLine="480" w:firstLineChars="200"/>
              <w:rPr>
                <w:rFonts w:hint="eastAsia" w:ascii="仿宋" w:hAnsi="仿宋" w:eastAsia="仿宋" w:cs="仿宋"/>
                <w:sz w:val="24"/>
                <w:szCs w:val="24"/>
              </w:rPr>
            </w:pPr>
            <w:r>
              <w:rPr>
                <w:rFonts w:hint="eastAsia" w:ascii="仿宋" w:hAnsi="仿宋" w:eastAsia="仿宋" w:cs="仿宋"/>
                <w:b w:val="0"/>
                <w:kern w:val="2"/>
                <w:sz w:val="24"/>
                <w:szCs w:val="24"/>
                <w:lang w:val="en" w:eastAsia="zh-CN" w:bidi="ar-SA"/>
              </w:rPr>
              <w:t>发出中标通知书5个工作日内，签订合同前必须提供上述的样品小样作为验收依据；若</w:t>
            </w:r>
            <w:r>
              <w:rPr>
                <w:rFonts w:hint="eastAsia" w:ascii="仿宋" w:hAnsi="仿宋" w:eastAsia="仿宋" w:cs="仿宋"/>
                <w:b w:val="0"/>
                <w:kern w:val="2"/>
                <w:sz w:val="24"/>
                <w:szCs w:val="24"/>
                <w:highlight w:val="none"/>
                <w:lang w:val="en-US" w:eastAsia="zh-CN" w:bidi="ar-SA"/>
              </w:rPr>
              <w:t>成交供应商</w:t>
            </w:r>
            <w:r>
              <w:rPr>
                <w:rFonts w:hint="eastAsia" w:ascii="仿宋" w:hAnsi="仿宋" w:eastAsia="仿宋" w:cs="仿宋"/>
                <w:b w:val="0"/>
                <w:kern w:val="2"/>
                <w:sz w:val="24"/>
                <w:szCs w:val="24"/>
                <w:lang w:val="en" w:eastAsia="zh-CN" w:bidi="ar-SA"/>
              </w:rPr>
              <w:t>不能提供上述样品的或样品不符合技术参数及性能（配置）的，视为违约。</w:t>
            </w:r>
          </w:p>
        </w:tc>
      </w:tr>
      <w:tr w14:paraId="2B9B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1912" w:type="dxa"/>
            <w:vAlign w:val="center"/>
          </w:tcPr>
          <w:p w14:paraId="4260E77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9" w:type="dxa"/>
            <w:vAlign w:val="center"/>
          </w:tcPr>
          <w:p w14:paraId="0326F737">
            <w:pPr>
              <w:jc w:val="center"/>
              <w:rPr>
                <w:rFonts w:hint="eastAsia" w:ascii="仿宋" w:hAnsi="仿宋" w:eastAsia="仿宋" w:cs="仿宋"/>
                <w:sz w:val="24"/>
                <w:szCs w:val="24"/>
              </w:rPr>
            </w:pPr>
            <w:r>
              <w:rPr>
                <w:rFonts w:hint="eastAsia" w:ascii="仿宋" w:hAnsi="仿宋" w:eastAsia="仿宋" w:cs="仿宋"/>
                <w:sz w:val="24"/>
                <w:szCs w:val="24"/>
              </w:rPr>
              <w:t>其它要求及说明</w:t>
            </w:r>
          </w:p>
        </w:tc>
        <w:tc>
          <w:tcPr>
            <w:tcW w:w="11656" w:type="dxa"/>
            <w:vAlign w:val="center"/>
          </w:tcPr>
          <w:p w14:paraId="1C364EE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1、投标人请务必认真了解项目采购需求和要求(本项目供应商报价</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rPr>
              <w:t>品牌：懿德轩、桂红光、菲木森，供应商不得以任何埋由更改设备配置，配置必须是原厂出厂标配，否则报价将无效)，为确保采购人的合法权益，投标人在投标报价时需针对本次项目采购的产品出具指定本品牌生产厂家产品销售授权书，并按要求上传加盖供应商公章的相关材料，否则报价无效。</w:t>
            </w:r>
          </w:p>
          <w:p w14:paraId="335AA8DF">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2、成交供应商保证向采购人提供的货物是全新、完整、未使用过的。</w:t>
            </w:r>
          </w:p>
          <w:p w14:paraId="32D863B5">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3、本项目不接受进口产品（即通过中国海关报关验放进入中国境内且产自关境外的产品）参与竞标。</w:t>
            </w:r>
          </w:p>
          <w:p w14:paraId="3F9F742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中标公示期内，成交供应商须在供货前向采购方提供符合技术参数及性能配置要求中所有相应的检测报告（原件核查），如不提供或提供不相符，视为不能履约，采购单位将上报政府采购主管部门按有关规定进行处理。</w:t>
            </w:r>
          </w:p>
          <w:p w14:paraId="3F185C4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6、成交供应商在制作前应联系使用部门确定货品的尺寸、型号、款式及颜色等。</w:t>
            </w:r>
          </w:p>
          <w:p w14:paraId="66262763">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7、常用的、容易损坏的配件（三合一连接件、导轨、铰链、自攻螺钉等）的优惠价格清单须在响应文件中列出。</w:t>
            </w:r>
          </w:p>
          <w:p w14:paraId="11A665F2">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8、采购数量是拟定数量，增加或减少以实际采购数量为准,并以成交单价为标准进行最终核算</w:t>
            </w:r>
          </w:p>
          <w:p w14:paraId="6602F33A">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9、报价时必须提供：</w:t>
            </w:r>
          </w:p>
          <w:p w14:paraId="512DC2EA">
            <w:pPr>
              <w:spacing w:line="3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（1）设计方案。方案中要有整套组合床设计结构图纸、产品部件图片及规格尺寸、产品使用功能描述等内容。</w:t>
            </w:r>
          </w:p>
          <w:p w14:paraId="09EAB35D">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售后服务方案。方案中要有响应故障处理要求后到达现场修理解决的时长承诺，售后服务团队介绍、定期维护方案（应列明维护时间、人员、材料等安排，维护标准等）、质保期、三包（包退、包换、包修）承诺；</w:t>
            </w:r>
          </w:p>
          <w:p w14:paraId="4E3C587E">
            <w:pPr>
              <w:spacing w:line="3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10、供应商在报价活动中提供任何虚假材料，其报价无效，并报监管部门查处；成交后发现的，成交</w:t>
            </w:r>
            <w:r>
              <w:rPr>
                <w:rFonts w:hint="eastAsia" w:ascii="仿宋" w:hAnsi="仿宋" w:eastAsia="仿宋" w:cs="仿宋"/>
                <w:sz w:val="24"/>
                <w:szCs w:val="24"/>
                <w:lang w:val="en-US" w:eastAsia="zh-CN"/>
              </w:rPr>
              <w:t>供应商</w:t>
            </w:r>
            <w:r>
              <w:rPr>
                <w:rFonts w:hint="eastAsia" w:ascii="仿宋" w:hAnsi="仿宋" w:eastAsia="仿宋" w:cs="仿宋"/>
                <w:sz w:val="24"/>
                <w:szCs w:val="24"/>
              </w:rPr>
              <w:t>须按照《中华人民共和国消费者权益保护法》相关规定赔偿采购人，且民事赔偿并不免除违法报价人的行政与刑事责任。</w:t>
            </w:r>
          </w:p>
        </w:tc>
      </w:tr>
    </w:tbl>
    <w:p w14:paraId="600A974A"/>
    <w:sectPr>
      <w:footerReference r:id="rId3" w:type="default"/>
      <w:pgSz w:w="16838" w:h="11906" w:orient="landscape"/>
      <w:pgMar w:top="850" w:right="680" w:bottom="6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0AEC">
    <w:pPr>
      <w:pStyle w:val="6"/>
      <w:tabs>
        <w:tab w:val="clear" w:pos="4153"/>
        <w:tab w:val="clear" w:pos="8306"/>
      </w:tabs>
      <w:jc w:val="center"/>
    </w:pPr>
    <w:r>
      <w:fldChar w:fldCharType="begin"/>
    </w:r>
    <w:r>
      <w:instrText xml:space="preserve">PAGE   \* MERGEFORMAT</w:instrText>
    </w:r>
    <w:r>
      <w:fldChar w:fldCharType="separate"/>
    </w:r>
    <w:r>
      <w:rPr>
        <w:lang w:val="zh-CN"/>
      </w:rPr>
      <w:t>1</w:t>
    </w:r>
    <w:r>
      <w:fldChar w:fldCharType="end"/>
    </w:r>
  </w:p>
  <w:p w14:paraId="35734009">
    <w:pPr>
      <w:pStyle w:val="6"/>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5743F"/>
    <w:multiLevelType w:val="singleLevel"/>
    <w:tmpl w:val="1465743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资产处-杨">
    <w15:presenceInfo w15:providerId="None" w15:userId="资产处-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trackRevisions w:val="1"/>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00F0"/>
    <w:rsid w:val="022B3A95"/>
    <w:rsid w:val="082F2E37"/>
    <w:rsid w:val="09EE1E70"/>
    <w:rsid w:val="0A63385F"/>
    <w:rsid w:val="0B7F426C"/>
    <w:rsid w:val="0DBE0DD6"/>
    <w:rsid w:val="0EEC0407"/>
    <w:rsid w:val="137457DA"/>
    <w:rsid w:val="13A44272"/>
    <w:rsid w:val="18B9619D"/>
    <w:rsid w:val="18BD6589"/>
    <w:rsid w:val="25A57CC0"/>
    <w:rsid w:val="25AE178C"/>
    <w:rsid w:val="281573ED"/>
    <w:rsid w:val="28AF6AD7"/>
    <w:rsid w:val="2EB31349"/>
    <w:rsid w:val="2F7B2918"/>
    <w:rsid w:val="340026B1"/>
    <w:rsid w:val="34F70C27"/>
    <w:rsid w:val="35D71636"/>
    <w:rsid w:val="363650FE"/>
    <w:rsid w:val="37D746BF"/>
    <w:rsid w:val="3C811B65"/>
    <w:rsid w:val="3D436353"/>
    <w:rsid w:val="3F000CE0"/>
    <w:rsid w:val="3FC63272"/>
    <w:rsid w:val="43271C30"/>
    <w:rsid w:val="44225F56"/>
    <w:rsid w:val="45AB081E"/>
    <w:rsid w:val="498E0795"/>
    <w:rsid w:val="4D166911"/>
    <w:rsid w:val="4DCA6281"/>
    <w:rsid w:val="555D226B"/>
    <w:rsid w:val="57784381"/>
    <w:rsid w:val="5F023D65"/>
    <w:rsid w:val="647852CA"/>
    <w:rsid w:val="65F653FA"/>
    <w:rsid w:val="66D1263E"/>
    <w:rsid w:val="66FD4A00"/>
    <w:rsid w:val="69140A20"/>
    <w:rsid w:val="6AC2217B"/>
    <w:rsid w:val="6DFFBA6E"/>
    <w:rsid w:val="6E0F6687"/>
    <w:rsid w:val="6E8FBD88"/>
    <w:rsid w:val="71FF3215"/>
    <w:rsid w:val="731B00BA"/>
    <w:rsid w:val="739FC602"/>
    <w:rsid w:val="7C3F021B"/>
    <w:rsid w:val="7CFC5D64"/>
    <w:rsid w:val="7DF94C66"/>
    <w:rsid w:val="7FFFAB8C"/>
    <w:rsid w:val="BBFF3D65"/>
    <w:rsid w:val="BFAFB34F"/>
    <w:rsid w:val="F49B7AD2"/>
    <w:rsid w:val="FFFDD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9"/>
    <w:qFormat/>
    <w:uiPriority w:val="99"/>
    <w:pPr>
      <w:jc w:val="left"/>
    </w:pPr>
  </w:style>
  <w:style w:type="paragraph" w:styleId="4">
    <w:name w:val="Body Text"/>
    <w:basedOn w:val="1"/>
    <w:next w:val="1"/>
    <w:link w:val="16"/>
    <w:qFormat/>
    <w:uiPriority w:val="1"/>
    <w:pPr>
      <w:autoSpaceDE w:val="0"/>
      <w:autoSpaceDN w:val="0"/>
      <w:jc w:val="left"/>
    </w:pPr>
    <w:rPr>
      <w:rFonts w:ascii="宋体" w:hAnsi="宋体" w:cs="Times New Roman"/>
      <w:kern w:val="0"/>
      <w:sz w:val="20"/>
      <w:szCs w:val="24"/>
    </w:rPr>
  </w:style>
  <w:style w:type="paragraph" w:styleId="5">
    <w:name w:val="Balloon Text"/>
    <w:basedOn w:val="1"/>
    <w:link w:val="15"/>
    <w:qFormat/>
    <w:uiPriority w:val="99"/>
    <w:rPr>
      <w:sz w:val="18"/>
      <w:szCs w:val="18"/>
    </w:rPr>
  </w:style>
  <w:style w:type="paragraph" w:styleId="6">
    <w:name w:val="footer"/>
    <w:basedOn w:val="1"/>
    <w:link w:val="17"/>
    <w:qFormat/>
    <w:uiPriority w:val="99"/>
    <w:pPr>
      <w:tabs>
        <w:tab w:val="center" w:pos="4153"/>
        <w:tab w:val="right" w:pos="8306"/>
      </w:tabs>
      <w:jc w:val="left"/>
    </w:pPr>
    <w:rPr>
      <w:sz w:val="18"/>
      <w:szCs w:val="18"/>
    </w:rPr>
  </w:style>
  <w:style w:type="paragraph" w:styleId="7">
    <w:name w:val="header"/>
    <w:basedOn w:val="1"/>
    <w:link w:val="21"/>
    <w:qFormat/>
    <w:uiPriority w:val="99"/>
    <w:pPr>
      <w:pBdr>
        <w:bottom w:val="single" w:color="000000" w:sz="6" w:space="1"/>
      </w:pBdr>
      <w:tabs>
        <w:tab w:val="center" w:pos="4153"/>
        <w:tab w:val="right" w:pos="8306"/>
      </w:tabs>
      <w:jc w:val="center"/>
    </w:pPr>
    <w:rPr>
      <w:sz w:val="18"/>
      <w:szCs w:val="18"/>
    </w:rPr>
  </w:style>
  <w:style w:type="paragraph" w:styleId="8">
    <w:name w:val="toc 1"/>
    <w:basedOn w:val="1"/>
    <w:next w:val="1"/>
    <w:qFormat/>
    <w:uiPriority w:val="0"/>
    <w:pPr>
      <w:spacing w:line="360" w:lineRule="auto"/>
    </w:pPr>
    <w:rPr>
      <w:rFonts w:ascii="Times New Roman" w:hAnsi="Times New Roman" w:eastAsia="宋体"/>
      <w:b/>
      <w:sz w:val="24"/>
    </w:rPr>
  </w:style>
  <w:style w:type="paragraph" w:styleId="9">
    <w:name w:val="annotation subject"/>
    <w:basedOn w:val="3"/>
    <w:next w:val="3"/>
    <w:link w:val="18"/>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link w:val="1"/>
    <w:qFormat/>
    <w:uiPriority w:val="99"/>
    <w:rPr>
      <w:sz w:val="21"/>
      <w:szCs w:val="21"/>
    </w:rPr>
  </w:style>
  <w:style w:type="paragraph" w:customStyle="1" w:styleId="14">
    <w:name w:val="列出段落"/>
    <w:basedOn w:val="1"/>
    <w:qFormat/>
    <w:uiPriority w:val="34"/>
    <w:pPr>
      <w:ind w:firstLine="420" w:firstLineChars="200"/>
    </w:pPr>
    <w:rPr>
      <w:rFonts w:ascii="Times New Roman" w:hAnsi="Times New Roman" w:cs="Times New Roman"/>
      <w:szCs w:val="24"/>
    </w:rPr>
  </w:style>
  <w:style w:type="character" w:customStyle="1" w:styleId="15">
    <w:name w:val="批注框文本 Char"/>
    <w:link w:val="5"/>
    <w:qFormat/>
    <w:uiPriority w:val="99"/>
    <w:rPr>
      <w:sz w:val="18"/>
      <w:szCs w:val="18"/>
    </w:rPr>
  </w:style>
  <w:style w:type="character" w:customStyle="1" w:styleId="16">
    <w:name w:val="正文文本 Char"/>
    <w:link w:val="4"/>
    <w:qFormat/>
    <w:uiPriority w:val="99"/>
    <w:rPr>
      <w:rFonts w:ascii="宋体" w:hAnsi="宋体" w:eastAsia="宋体" w:cs="Times New Roman"/>
      <w:kern w:val="0"/>
      <w:sz w:val="20"/>
      <w:szCs w:val="24"/>
    </w:rPr>
  </w:style>
  <w:style w:type="character" w:customStyle="1" w:styleId="17">
    <w:name w:val="页脚 Char"/>
    <w:link w:val="6"/>
    <w:qFormat/>
    <w:uiPriority w:val="99"/>
    <w:rPr>
      <w:sz w:val="18"/>
      <w:szCs w:val="18"/>
    </w:rPr>
  </w:style>
  <w:style w:type="character" w:customStyle="1" w:styleId="18">
    <w:name w:val="批注主题 Char"/>
    <w:link w:val="9"/>
    <w:qFormat/>
    <w:uiPriority w:val="99"/>
    <w:rPr>
      <w:b/>
      <w:bCs/>
    </w:rPr>
  </w:style>
  <w:style w:type="character" w:customStyle="1" w:styleId="19">
    <w:name w:val="批注文字 Char"/>
    <w:link w:val="3"/>
    <w:qFormat/>
    <w:uiPriority w:val="99"/>
  </w:style>
  <w:style w:type="paragraph" w:customStyle="1" w:styleId="20">
    <w:name w:val="Table Text"/>
    <w:basedOn w:val="1"/>
    <w:semiHidden/>
    <w:qFormat/>
    <w:uiPriority w:val="0"/>
    <w:rPr>
      <w:rFonts w:ascii="宋体" w:hAnsi="宋体" w:eastAsia="宋体" w:cs="宋体"/>
      <w:sz w:val="20"/>
      <w:szCs w:val="20"/>
    </w:rPr>
  </w:style>
  <w:style w:type="character" w:customStyle="1" w:styleId="21">
    <w:name w:val="页眉 Char"/>
    <w:link w:val="7"/>
    <w:qFormat/>
    <w:uiPriority w:val="99"/>
    <w:rPr>
      <w:sz w:val="18"/>
      <w:szCs w:val="18"/>
    </w:rPr>
  </w:style>
  <w:style w:type="table" w:customStyle="1" w:styleId="22">
    <w:name w:val="Table Normal"/>
    <w:unhideWhenUsed/>
    <w:qFormat/>
    <w:uiPriority w:val="0"/>
    <w:rPr>
      <w:lang w:val="en-US" w:eastAsia="zh-CN" w:bidi="ar-SA"/>
    </w:rPr>
  </w:style>
  <w:style w:type="character" w:customStyle="1" w:styleId="23">
    <w:name w:val="font21"/>
    <w:link w:val="1"/>
    <w:qFormat/>
    <w:uiPriority w:val="0"/>
    <w:rPr>
      <w:rFonts w:hint="eastAsia" w:ascii="宋体" w:hAnsi="宋体" w:eastAsia="宋体" w:cs="宋体"/>
      <w:color w:val="FF0000"/>
      <w:sz w:val="22"/>
      <w:szCs w:val="22"/>
      <w:u w:val="none"/>
    </w:rPr>
  </w:style>
  <w:style w:type="character" w:customStyle="1" w:styleId="24">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6507</Words>
  <Characters>7310</Characters>
  <TotalTime>27</TotalTime>
  <ScaleCrop>false</ScaleCrop>
  <LinksUpToDate>false</LinksUpToDate>
  <CharactersWithSpaces>7356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2025-05-29T19:23:00Z</dcterms:created>
  <dc:creator>Administrator</dc:creator>
  <cp:lastModifiedBy>资产处-杨</cp:lastModifiedBy>
  <cp:lastPrinted>2025-07-06T17:14:00Z</cp:lastPrinted>
  <dcterms:modified xsi:type="dcterms:W3CDTF">2025-07-15T10:19:13Z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0601FD6E75ED4E7CA802C53BAD90B5A9_13</vt:lpwstr>
  </property>
  <property fmtid="{D5CDD505-2E9C-101B-9397-08002B2CF9AE}" pid="4" name="KSOTemplateDocerSaveRecord">
    <vt:lpwstr>eyJoZGlkIjoiZGM3ODBjNTcyMDg5NzA3ZTJmMTUwNjI2MjIyMDJlMTciLCJ1c2VySWQiOiI3ODc0NzMzMzUifQ==</vt:lpwstr>
  </property>
</Properties>
</file>