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13091" w:type="dxa"/>
        <w:tblInd w:w="8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2145"/>
      </w:tblGrid>
      <w:tr w14:paraId="703BA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Borders>
              <w:top w:val="nil"/>
              <w:left w:val="nil"/>
              <w:bottom w:val="single" w:color="auto" w:sz="4" w:space="0"/>
              <w:right w:val="nil"/>
            </w:tcBorders>
          </w:tcPr>
          <w:p w14:paraId="3FA752E5">
            <w:pPr>
              <w:widowControl/>
              <w:spacing w:line="276" w:lineRule="auto"/>
              <w:jc w:val="left"/>
              <w:rPr>
                <w:rFonts w:ascii="宋体" w:hAnsi="宋体"/>
                <w:sz w:val="18"/>
                <w:szCs w:val="18"/>
                <w:u w:val="single"/>
              </w:rPr>
            </w:pPr>
          </w:p>
        </w:tc>
        <w:tc>
          <w:tcPr>
            <w:tcW w:w="12145" w:type="dxa"/>
            <w:tcBorders>
              <w:top w:val="nil"/>
              <w:left w:val="nil"/>
              <w:bottom w:val="single" w:color="auto" w:sz="4" w:space="0"/>
              <w:right w:val="nil"/>
            </w:tcBorders>
            <w:noWrap/>
          </w:tcPr>
          <w:p w14:paraId="68DB3E35">
            <w:pPr>
              <w:widowControl/>
              <w:spacing w:line="276" w:lineRule="auto"/>
              <w:jc w:val="left"/>
              <w:rPr>
                <w:rFonts w:ascii="宋体" w:hAnsi="宋体"/>
                <w:b/>
                <w:sz w:val="28"/>
                <w:szCs w:val="28"/>
              </w:rPr>
            </w:pPr>
            <w:r>
              <w:rPr>
                <w:rFonts w:hint="eastAsia" w:ascii="宋体" w:hAnsi="宋体"/>
                <w:b/>
                <w:sz w:val="28"/>
                <w:szCs w:val="28"/>
              </w:rPr>
              <w:t xml:space="preserve">   张伯礼教授濕浊痰饮类病研究中心会议室LED巨彩屏及相关配套设备申购单购置清单</w:t>
            </w:r>
          </w:p>
          <w:p w14:paraId="2052792C">
            <w:pPr>
              <w:widowControl/>
              <w:spacing w:line="276" w:lineRule="auto"/>
              <w:jc w:val="left"/>
              <w:rPr>
                <w:rFonts w:ascii="宋体" w:hAnsi="宋体"/>
                <w:szCs w:val="21"/>
              </w:rPr>
            </w:pPr>
            <w:r>
              <w:rPr>
                <w:rFonts w:hint="eastAsia" w:ascii="宋体" w:hAnsi="宋体"/>
                <w:szCs w:val="21"/>
              </w:rPr>
              <w:t>说明：</w:t>
            </w:r>
          </w:p>
          <w:p w14:paraId="628D7856">
            <w:pPr>
              <w:widowControl/>
              <w:spacing w:line="276" w:lineRule="auto"/>
              <w:jc w:val="left"/>
              <w:rPr>
                <w:rFonts w:ascii="宋体" w:hAnsi="宋体"/>
                <w:sz w:val="18"/>
                <w:szCs w:val="18"/>
              </w:rPr>
            </w:pPr>
            <w:r>
              <w:rPr>
                <w:rFonts w:hint="eastAsia" w:ascii="宋体" w:hAnsi="宋体"/>
                <w:szCs w:val="21"/>
                <w:lang w:val="en-US" w:eastAsia="zh-CN"/>
              </w:rPr>
              <w:t>1</w:t>
            </w:r>
            <w:r>
              <w:rPr>
                <w:rFonts w:hint="eastAsia" w:ascii="宋体" w:hAnsi="宋体"/>
                <w:szCs w:val="21"/>
              </w:rPr>
              <w:t>.本章中</w:t>
            </w:r>
            <w:r>
              <w:rPr>
                <w:rFonts w:hint="eastAsia" w:ascii="宋体" w:hAnsi="宋体"/>
                <w:color w:val="auto"/>
                <w:szCs w:val="21"/>
              </w:rPr>
              <w:t>带</w:t>
            </w:r>
            <w:r>
              <w:rPr>
                <w:rStyle w:val="16"/>
                <w:rFonts w:hint="eastAsia" w:ascii="宋体" w:hAnsi="宋体" w:eastAsia="宋体" w:cs="宋体"/>
                <w:color w:val="auto"/>
                <w:sz w:val="21"/>
                <w:szCs w:val="21"/>
                <w:lang w:val="en-US" w:eastAsia="zh-CN" w:bidi="ar"/>
              </w:rPr>
              <w:t>▲</w:t>
            </w:r>
            <w:r>
              <w:rPr>
                <w:rFonts w:hint="eastAsia" w:ascii="宋体" w:hAnsi="宋体"/>
                <w:color w:val="auto"/>
                <w:szCs w:val="21"/>
              </w:rPr>
              <w:t>号</w:t>
            </w:r>
            <w:r>
              <w:rPr>
                <w:rFonts w:hint="eastAsia" w:ascii="宋体" w:hAnsi="宋体"/>
                <w:szCs w:val="21"/>
              </w:rPr>
              <w:t>条款为实质性内容要求，投标时必须满足。</w:t>
            </w:r>
          </w:p>
        </w:tc>
      </w:tr>
    </w:tbl>
    <w:tbl>
      <w:tblPr>
        <w:tblStyle w:val="9"/>
        <w:tblpPr w:leftFromText="180" w:rightFromText="180" w:vertAnchor="text" w:horzAnchor="page" w:tblpXSpec="center" w:tblpY="298"/>
        <w:tblOverlap w:val="never"/>
        <w:tblW w:w="132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6"/>
        <w:gridCol w:w="666"/>
        <w:gridCol w:w="846"/>
        <w:gridCol w:w="6547"/>
        <w:gridCol w:w="600"/>
        <w:gridCol w:w="600"/>
        <w:gridCol w:w="948"/>
        <w:gridCol w:w="1032"/>
        <w:gridCol w:w="780"/>
        <w:gridCol w:w="822"/>
      </w:tblGrid>
      <w:tr w14:paraId="79A20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145A">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34E50">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采购品目</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A8B8C">
            <w:pPr>
              <w:keepNext w:val="0"/>
              <w:keepLines w:val="0"/>
              <w:widowControl/>
              <w:suppressLineNumbers w:val="0"/>
              <w:jc w:val="center"/>
              <w:textAlignment w:val="bottom"/>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品牌</w:t>
            </w:r>
            <w:r>
              <w:rPr>
                <w:rFonts w:hint="eastAsia" w:ascii="宋体" w:hAnsi="宋体" w:cs="宋体"/>
                <w:i w:val="0"/>
                <w:iCs w:val="0"/>
                <w:color w:val="auto"/>
                <w:kern w:val="0"/>
                <w:sz w:val="18"/>
                <w:szCs w:val="18"/>
                <w:u w:val="none"/>
                <w:lang w:val="en-US" w:eastAsia="zh-CN" w:bidi="ar"/>
              </w:rPr>
              <w:t>、型号</w:t>
            </w:r>
          </w:p>
        </w:tc>
        <w:tc>
          <w:tcPr>
            <w:tcW w:w="6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9FA9">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参数配置</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785E">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48EC">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数量</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86B9">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参考单价</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（元）</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8519">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合计金额</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32698">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是否进口产品</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24CA">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备注</w:t>
            </w:r>
          </w:p>
        </w:tc>
      </w:tr>
      <w:tr w14:paraId="68162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53A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33A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室内LED显示屏</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9F0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洲明、UM1.25</w:t>
            </w:r>
          </w:p>
        </w:tc>
        <w:tc>
          <w:tcPr>
            <w:tcW w:w="6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B2BB">
            <w:pPr>
              <w:keepNext w:val="0"/>
              <w:keepLines w:val="0"/>
              <w:widowControl/>
              <w:numPr>
                <w:ilvl w:val="0"/>
                <w:numId w:val="1"/>
              </w:numPr>
              <w:suppressLineNumbers w:val="0"/>
              <w:jc w:val="left"/>
              <w:textAlignment w:val="center"/>
              <w:rPr>
                <w:rStyle w:val="16"/>
                <w:rFonts w:hint="eastAsia" w:ascii="宋体" w:hAnsi="宋体" w:eastAsia="宋体" w:cs="宋体"/>
                <w:color w:val="auto"/>
                <w:sz w:val="21"/>
                <w:szCs w:val="21"/>
                <w:lang w:val="en-US" w:eastAsia="zh-CN" w:bidi="ar"/>
              </w:rPr>
            </w:pPr>
            <w:r>
              <w:rPr>
                <w:rFonts w:hint="eastAsia" w:ascii="宋体" w:hAnsi="宋体" w:eastAsia="宋体" w:cs="宋体"/>
                <w:b/>
                <w:bCs/>
                <w:i w:val="0"/>
                <w:iCs w:val="0"/>
                <w:color w:val="auto"/>
                <w:kern w:val="0"/>
                <w:sz w:val="21"/>
                <w:szCs w:val="21"/>
                <w:u w:val="none"/>
                <w:lang w:val="en-US" w:eastAsia="zh-CN" w:bidi="ar"/>
              </w:rPr>
              <w:t>LED显示屏</w:t>
            </w:r>
          </w:p>
          <w:p w14:paraId="1628B618">
            <w:pPr>
              <w:keepNext w:val="0"/>
              <w:keepLines w:val="0"/>
              <w:widowControl/>
              <w:numPr>
                <w:ilvl w:val="0"/>
                <w:numId w:val="0"/>
              </w:numPr>
              <w:suppressLineNumbers w:val="0"/>
              <w:jc w:val="left"/>
              <w:textAlignment w:val="center"/>
              <w:rPr>
                <w:rStyle w:val="16"/>
                <w:rFonts w:hint="eastAsia" w:ascii="宋体" w:hAnsi="宋体" w:eastAsia="宋体" w:cs="宋体"/>
                <w:color w:val="auto"/>
                <w:sz w:val="21"/>
                <w:szCs w:val="21"/>
                <w:lang w:val="en-US" w:eastAsia="zh-CN" w:bidi="ar"/>
              </w:rPr>
            </w:pPr>
            <w:r>
              <w:rPr>
                <w:rStyle w:val="16"/>
                <w:rFonts w:hint="eastAsia" w:ascii="宋体" w:hAnsi="宋体" w:eastAsia="宋体" w:cs="宋体"/>
                <w:color w:val="auto"/>
                <w:sz w:val="21"/>
                <w:szCs w:val="21"/>
                <w:lang w:val="en-US" w:eastAsia="zh-CN" w:bidi="ar"/>
              </w:rPr>
              <w:t>屏幕尺寸:3.84m×1.92m=7.373m²，屏幕分辨率:3072×1536。LED屏体参数如下：</w:t>
            </w:r>
            <w:r>
              <w:rPr>
                <w:rStyle w:val="21"/>
                <w:rFonts w:hint="eastAsia" w:ascii="宋体" w:hAnsi="宋体" w:eastAsia="宋体" w:cs="宋体"/>
                <w:color w:val="auto"/>
                <w:sz w:val="21"/>
                <w:szCs w:val="21"/>
                <w:lang w:val="en-US" w:eastAsia="zh-CN" w:bidi="ar"/>
              </w:rPr>
              <w:br w:type="textWrapping"/>
            </w:r>
            <w:r>
              <w:rPr>
                <w:rStyle w:val="16"/>
                <w:rFonts w:hint="eastAsia" w:ascii="宋体" w:hAnsi="宋体" w:eastAsia="宋体" w:cs="宋体"/>
                <w:color w:val="auto"/>
                <w:sz w:val="21"/>
                <w:szCs w:val="21"/>
                <w:lang w:val="en-US" w:eastAsia="zh-CN" w:bidi="ar"/>
              </w:rPr>
              <w:t>1.点间距：≤1.25mm， SMD 三合一封装</w:t>
            </w:r>
            <w:r>
              <w:rPr>
                <w:rStyle w:val="16"/>
                <w:rFonts w:hint="eastAsia" w:ascii="宋体" w:hAnsi="宋体" w:eastAsia="宋体" w:cs="宋体"/>
                <w:color w:val="auto"/>
                <w:sz w:val="21"/>
                <w:szCs w:val="21"/>
                <w:lang w:val="en-US" w:eastAsia="zh-CN" w:bidi="ar"/>
              </w:rPr>
              <w:br w:type="textWrapping"/>
            </w:r>
            <w:r>
              <w:rPr>
                <w:rStyle w:val="16"/>
                <w:rFonts w:hint="eastAsia" w:ascii="宋体" w:hAnsi="宋体" w:eastAsia="宋体" w:cs="宋体"/>
                <w:color w:val="auto"/>
                <w:sz w:val="21"/>
                <w:szCs w:val="21"/>
                <w:lang w:val="en-US" w:eastAsia="zh-CN" w:bidi="ar"/>
              </w:rPr>
              <w:t>2.亮度≥500cd/㎡，支持通过配套软件0-100%级调节;</w:t>
            </w:r>
            <w:r>
              <w:rPr>
                <w:rStyle w:val="16"/>
                <w:rFonts w:hint="eastAsia" w:ascii="宋体" w:hAnsi="宋体" w:eastAsia="宋体" w:cs="宋体"/>
                <w:color w:val="auto"/>
                <w:sz w:val="21"/>
                <w:szCs w:val="21"/>
                <w:lang w:val="en-US" w:eastAsia="zh-CN" w:bidi="ar"/>
              </w:rPr>
              <w:br w:type="textWrapping"/>
            </w:r>
            <w:r>
              <w:rPr>
                <w:rStyle w:val="16"/>
                <w:rFonts w:hint="eastAsia" w:ascii="宋体" w:hAnsi="宋体" w:eastAsia="宋体" w:cs="宋体"/>
                <w:color w:val="auto"/>
                <w:sz w:val="21"/>
                <w:szCs w:val="21"/>
                <w:lang w:val="en-US" w:eastAsia="zh-CN" w:bidi="ar"/>
              </w:rPr>
              <w:t>3.发光点中心距偏差≤0.8%；像素光强均匀性LRJ≤10%、LGJ≤10%、LBJ≤10%</w:t>
            </w:r>
            <w:r>
              <w:rPr>
                <w:rStyle w:val="16"/>
                <w:rFonts w:hint="eastAsia" w:ascii="宋体" w:hAnsi="宋体" w:eastAsia="宋体" w:cs="宋体"/>
                <w:color w:val="auto"/>
                <w:sz w:val="21"/>
                <w:szCs w:val="21"/>
                <w:lang w:val="en-US" w:eastAsia="zh-CN" w:bidi="ar"/>
              </w:rPr>
              <w:br w:type="textWrapping"/>
            </w:r>
            <w:r>
              <w:rPr>
                <w:rStyle w:val="16"/>
                <w:rFonts w:hint="eastAsia" w:ascii="宋体" w:hAnsi="宋体" w:eastAsia="宋体" w:cs="宋体"/>
                <w:color w:val="auto"/>
                <w:sz w:val="21"/>
                <w:szCs w:val="21"/>
                <w:lang w:val="en-US" w:eastAsia="zh-CN" w:bidi="ar"/>
              </w:rPr>
              <w:t>4. 按 SJ/T11141-2017 5.10.7 规定，在正常工作状态下，同一幅图像的最亮区与最暗区的亮度比或照度比≥9000:1；</w:t>
            </w:r>
            <w:r>
              <w:rPr>
                <w:rStyle w:val="16"/>
                <w:rFonts w:hint="eastAsia" w:ascii="宋体" w:hAnsi="宋体" w:eastAsia="宋体" w:cs="宋体"/>
                <w:color w:val="auto"/>
                <w:sz w:val="21"/>
                <w:szCs w:val="21"/>
                <w:lang w:val="en-US" w:eastAsia="zh-CN" w:bidi="ar"/>
              </w:rPr>
              <w:br w:type="textWrapping"/>
            </w:r>
            <w:r>
              <w:rPr>
                <w:rStyle w:val="16"/>
                <w:rFonts w:hint="eastAsia" w:ascii="宋体" w:hAnsi="宋体" w:eastAsia="宋体" w:cs="宋体"/>
                <w:color w:val="auto"/>
                <w:sz w:val="21"/>
                <w:szCs w:val="21"/>
                <w:lang w:val="en-US" w:eastAsia="zh-CN" w:bidi="ar"/>
              </w:rPr>
              <w:t>5.水平视角≥175°,垂直视角≥175°</w:t>
            </w:r>
            <w:r>
              <w:rPr>
                <w:rStyle w:val="16"/>
                <w:rFonts w:hint="eastAsia" w:ascii="宋体" w:hAnsi="宋体" w:eastAsia="宋体" w:cs="宋体"/>
                <w:color w:val="auto"/>
                <w:sz w:val="21"/>
                <w:szCs w:val="21"/>
                <w:lang w:val="en-US" w:eastAsia="zh-CN" w:bidi="ar"/>
              </w:rPr>
              <w:br w:type="textWrapping"/>
            </w:r>
            <w:r>
              <w:rPr>
                <w:rStyle w:val="16"/>
                <w:rFonts w:hint="eastAsia" w:ascii="宋体" w:hAnsi="宋体" w:eastAsia="宋体" w:cs="宋体"/>
                <w:color w:val="auto"/>
                <w:sz w:val="21"/>
                <w:szCs w:val="21"/>
                <w:lang w:val="en-US" w:eastAsia="zh-CN" w:bidi="ar"/>
              </w:rPr>
              <w:t>6.▲模组平整度≤0.08mm；模组间间隙≤0.08mm；四侧面平面/垂直公差≤0.08mm，模组间相对错位值≤0.8%</w:t>
            </w:r>
            <w:r>
              <w:rPr>
                <w:rStyle w:val="16"/>
                <w:rFonts w:hint="eastAsia" w:ascii="宋体" w:hAnsi="宋体" w:eastAsia="宋体" w:cs="宋体"/>
                <w:color w:val="auto"/>
                <w:sz w:val="21"/>
                <w:szCs w:val="21"/>
                <w:lang w:val="en-US" w:eastAsia="zh-CN" w:bidi="ar"/>
              </w:rPr>
              <w:br w:type="textWrapping"/>
            </w:r>
            <w:r>
              <w:rPr>
                <w:rStyle w:val="16"/>
                <w:rFonts w:hint="eastAsia" w:ascii="宋体" w:hAnsi="宋体" w:eastAsia="宋体" w:cs="宋体"/>
                <w:color w:val="auto"/>
                <w:sz w:val="21"/>
                <w:szCs w:val="21"/>
                <w:lang w:val="en-US" w:eastAsia="zh-CN" w:bidi="ar"/>
              </w:rPr>
              <w:t>7.最大功耗≤450W/㎡；平均功耗≤140W/㎡</w:t>
            </w:r>
            <w:r>
              <w:rPr>
                <w:rStyle w:val="16"/>
                <w:rFonts w:hint="eastAsia" w:ascii="宋体" w:hAnsi="宋体" w:eastAsia="宋体" w:cs="宋体"/>
                <w:color w:val="auto"/>
                <w:sz w:val="21"/>
                <w:szCs w:val="21"/>
                <w:lang w:val="en-US" w:eastAsia="zh-CN" w:bidi="ar"/>
              </w:rPr>
              <w:br w:type="textWrapping"/>
            </w:r>
            <w:r>
              <w:rPr>
                <w:rStyle w:val="16"/>
                <w:rFonts w:hint="eastAsia" w:ascii="宋体" w:hAnsi="宋体" w:eastAsia="宋体" w:cs="宋体"/>
                <w:color w:val="auto"/>
                <w:sz w:val="21"/>
                <w:szCs w:val="21"/>
                <w:lang w:val="en-US" w:eastAsia="zh-CN" w:bidi="ar"/>
              </w:rPr>
              <w:t>8.▲依据 GB/T 16494-2017以及GB/T 19893-2017标准测试：当中央法线亮度为 100cd/㎡ 时：水平视角 80°亮度衰减率不大于 10%，垂直视角 60°亮度衰减率不大于 10%;</w:t>
            </w:r>
            <w:r>
              <w:rPr>
                <w:rStyle w:val="16"/>
                <w:rFonts w:hint="eastAsia" w:ascii="宋体" w:hAnsi="宋体" w:eastAsia="宋体" w:cs="宋体"/>
                <w:color w:val="auto"/>
                <w:sz w:val="21"/>
                <w:szCs w:val="21"/>
                <w:lang w:val="en-US" w:eastAsia="zh-CN" w:bidi="ar"/>
              </w:rPr>
              <w:br w:type="textWrapping"/>
            </w:r>
            <w:r>
              <w:rPr>
                <w:rStyle w:val="16"/>
                <w:rFonts w:hint="eastAsia" w:ascii="宋体" w:hAnsi="宋体" w:eastAsia="宋体" w:cs="宋体"/>
                <w:color w:val="auto"/>
                <w:sz w:val="21"/>
                <w:szCs w:val="21"/>
                <w:lang w:val="en-US" w:eastAsia="zh-CN" w:bidi="ar"/>
              </w:rPr>
              <w:t>9.色度均匀性(校正后)在±0.001CxCy之内,显示模组亮度均匀性Lmj≥99%</w:t>
            </w:r>
            <w:r>
              <w:rPr>
                <w:rStyle w:val="16"/>
                <w:rFonts w:hint="eastAsia" w:ascii="宋体" w:hAnsi="宋体" w:eastAsia="宋体" w:cs="宋体"/>
                <w:color w:val="auto"/>
                <w:sz w:val="21"/>
                <w:szCs w:val="21"/>
                <w:lang w:val="en-US" w:eastAsia="zh-CN" w:bidi="ar"/>
              </w:rPr>
              <w:br w:type="textWrapping"/>
            </w:r>
            <w:r>
              <w:rPr>
                <w:rStyle w:val="16"/>
                <w:rFonts w:hint="eastAsia" w:ascii="宋体" w:hAnsi="宋体" w:eastAsia="宋体" w:cs="宋体"/>
                <w:color w:val="auto"/>
                <w:sz w:val="21"/>
                <w:szCs w:val="21"/>
                <w:lang w:val="en-US" w:eastAsia="zh-CN" w:bidi="ar"/>
              </w:rPr>
              <w:t>10.黑屏非均匀性≤8%，色准△E≤0.9</w:t>
            </w:r>
            <w:r>
              <w:rPr>
                <w:rStyle w:val="16"/>
                <w:rFonts w:hint="eastAsia" w:ascii="宋体" w:hAnsi="宋体" w:eastAsia="宋体" w:cs="宋体"/>
                <w:color w:val="auto"/>
                <w:sz w:val="21"/>
                <w:szCs w:val="21"/>
                <w:lang w:val="en-US" w:eastAsia="zh-CN" w:bidi="ar"/>
              </w:rPr>
              <w:br w:type="textWrapping"/>
            </w:r>
            <w:r>
              <w:rPr>
                <w:rStyle w:val="16"/>
                <w:rFonts w:hint="eastAsia" w:ascii="宋体" w:hAnsi="宋体" w:eastAsia="宋体" w:cs="宋体"/>
                <w:color w:val="auto"/>
                <w:sz w:val="21"/>
                <w:szCs w:val="21"/>
                <w:lang w:val="en-US" w:eastAsia="zh-CN" w:bidi="ar"/>
              </w:rPr>
              <w:t>11.色温1000K-20000K可调，色温为6500K时，100%，75%，50%，25%四档电平白场调节色温误差≤100K</w:t>
            </w:r>
            <w:r>
              <w:rPr>
                <w:rStyle w:val="16"/>
                <w:rFonts w:hint="eastAsia" w:ascii="宋体" w:hAnsi="宋体" w:eastAsia="宋体" w:cs="宋体"/>
                <w:color w:val="auto"/>
                <w:sz w:val="21"/>
                <w:szCs w:val="21"/>
                <w:lang w:val="en-US" w:eastAsia="zh-CN" w:bidi="ar"/>
              </w:rPr>
              <w:br w:type="textWrapping"/>
            </w:r>
            <w:r>
              <w:rPr>
                <w:rStyle w:val="16"/>
                <w:rFonts w:hint="eastAsia" w:ascii="宋体" w:hAnsi="宋体" w:eastAsia="宋体" w:cs="宋体"/>
                <w:color w:val="auto"/>
                <w:sz w:val="21"/>
                <w:szCs w:val="21"/>
                <w:lang w:val="en-US" w:eastAsia="zh-CN" w:bidi="ar"/>
              </w:rPr>
              <w:t>12.▲采用前维护、支持磁吸固定方式，单模组磁吸强度≥10KG，高强度磁吸能力能避免发生掉落事故</w:t>
            </w:r>
            <w:r>
              <w:rPr>
                <w:rStyle w:val="16"/>
                <w:rFonts w:hint="eastAsia" w:ascii="宋体" w:hAnsi="宋体" w:eastAsia="宋体" w:cs="宋体"/>
                <w:color w:val="auto"/>
                <w:sz w:val="21"/>
                <w:szCs w:val="21"/>
                <w:lang w:val="en-US" w:eastAsia="zh-CN" w:bidi="ar"/>
              </w:rPr>
              <w:br w:type="textWrapping"/>
            </w:r>
            <w:r>
              <w:rPr>
                <w:rStyle w:val="16"/>
                <w:rFonts w:hint="eastAsia" w:ascii="宋体" w:hAnsi="宋体" w:eastAsia="宋体" w:cs="宋体"/>
                <w:color w:val="auto"/>
                <w:sz w:val="21"/>
                <w:szCs w:val="21"/>
                <w:lang w:val="en-US" w:eastAsia="zh-CN" w:bidi="ar"/>
              </w:rPr>
              <w:t>13.对地漏电流≤3.5mA/㎡；按 GB 4943.1-2022 的规定进行，LED显示屏应有保护接地端子，单个LED显示屏模组的接地电阻大于 0.1Ω。</w:t>
            </w:r>
            <w:r>
              <w:rPr>
                <w:rStyle w:val="16"/>
                <w:rFonts w:hint="eastAsia" w:ascii="宋体" w:hAnsi="宋体" w:eastAsia="宋体" w:cs="宋体"/>
                <w:color w:val="auto"/>
                <w:sz w:val="21"/>
                <w:szCs w:val="21"/>
                <w:lang w:val="en-US" w:eastAsia="zh-CN" w:bidi="ar"/>
              </w:rPr>
              <w:br w:type="textWrapping"/>
            </w:r>
            <w:r>
              <w:rPr>
                <w:rStyle w:val="16"/>
                <w:rFonts w:hint="eastAsia" w:ascii="宋体" w:hAnsi="宋体" w:eastAsia="宋体" w:cs="宋体"/>
                <w:color w:val="auto"/>
                <w:sz w:val="21"/>
                <w:szCs w:val="21"/>
                <w:lang w:val="en-US" w:eastAsia="zh-CN" w:bidi="ar"/>
              </w:rPr>
              <w:t>14.▲依据 GB/T 17626.11-2018 标准要求 Ut降低大于95%持续 250 周期，判据为C</w:t>
            </w:r>
            <w:r>
              <w:rPr>
                <w:rStyle w:val="16"/>
                <w:rFonts w:hint="eastAsia" w:ascii="宋体" w:hAnsi="宋体" w:eastAsia="宋体" w:cs="宋体"/>
                <w:color w:val="auto"/>
                <w:sz w:val="21"/>
                <w:szCs w:val="21"/>
                <w:lang w:val="en-US" w:eastAsia="zh-CN" w:bidi="ar"/>
              </w:rPr>
              <w:br w:type="textWrapping"/>
            </w:r>
            <w:r>
              <w:rPr>
                <w:rStyle w:val="16"/>
                <w:rFonts w:hint="eastAsia" w:ascii="宋体" w:hAnsi="宋体" w:eastAsia="宋体" w:cs="宋体"/>
                <w:color w:val="auto"/>
                <w:sz w:val="21"/>
                <w:szCs w:val="21"/>
                <w:lang w:val="en-US" w:eastAsia="zh-CN" w:bidi="ar"/>
              </w:rPr>
              <w:t>15. ▲按 GB 4943.1-2022 的规定进行,LED 显示屏在满负荷工作 30min 后用测温计测试各可触及点温度，LED显示屏正常使用时在达到热平衡后，屏体结构的金属部分的温升≤25℃，绝缘材料温升≤25℃</w:t>
            </w:r>
            <w:r>
              <w:rPr>
                <w:rStyle w:val="16"/>
                <w:rFonts w:hint="eastAsia" w:ascii="宋体" w:hAnsi="宋体" w:eastAsia="宋体" w:cs="宋体"/>
                <w:color w:val="auto"/>
                <w:sz w:val="21"/>
                <w:szCs w:val="21"/>
                <w:lang w:val="en-US" w:eastAsia="zh-CN" w:bidi="ar"/>
              </w:rPr>
              <w:br w:type="textWrapping"/>
            </w:r>
            <w:r>
              <w:rPr>
                <w:rStyle w:val="16"/>
                <w:rFonts w:hint="eastAsia" w:ascii="宋体" w:hAnsi="宋体" w:eastAsia="宋体" w:cs="宋体"/>
                <w:color w:val="auto"/>
                <w:sz w:val="21"/>
                <w:szCs w:val="21"/>
                <w:lang w:val="en-US" w:eastAsia="zh-CN" w:bidi="ar"/>
              </w:rPr>
              <w:t>16. 产品符合GB 4943.1-2022 信息技术设备安全标准对设备进行电气间隙试验的要求，属于I类产品；</w:t>
            </w:r>
            <w:r>
              <w:rPr>
                <w:rStyle w:val="16"/>
                <w:rFonts w:hint="eastAsia" w:ascii="宋体" w:hAnsi="宋体" w:eastAsia="宋体" w:cs="宋体"/>
                <w:color w:val="auto"/>
                <w:sz w:val="21"/>
                <w:szCs w:val="21"/>
                <w:lang w:val="en-US" w:eastAsia="zh-CN" w:bidi="ar"/>
              </w:rPr>
              <w:br w:type="textWrapping"/>
            </w:r>
            <w:r>
              <w:rPr>
                <w:rStyle w:val="16"/>
                <w:rFonts w:hint="eastAsia" w:ascii="宋体" w:hAnsi="宋体" w:eastAsia="宋体" w:cs="宋体"/>
                <w:color w:val="auto"/>
                <w:sz w:val="21"/>
                <w:szCs w:val="21"/>
                <w:lang w:val="en-US" w:eastAsia="zh-CN" w:bidi="ar"/>
              </w:rPr>
              <w:t>17. PCB板、单元塑料面料及单元整体达到着火危实验V-0级；</w:t>
            </w:r>
            <w:r>
              <w:rPr>
                <w:rStyle w:val="16"/>
                <w:rFonts w:hint="eastAsia" w:ascii="宋体" w:hAnsi="宋体" w:eastAsia="宋体" w:cs="宋体"/>
                <w:color w:val="auto"/>
                <w:sz w:val="21"/>
                <w:szCs w:val="21"/>
                <w:lang w:val="en-US" w:eastAsia="zh-CN" w:bidi="ar"/>
              </w:rPr>
              <w:br w:type="textWrapping"/>
            </w:r>
            <w:r>
              <w:rPr>
                <w:rStyle w:val="16"/>
                <w:rFonts w:hint="eastAsia" w:ascii="宋体" w:hAnsi="宋体" w:eastAsia="宋体" w:cs="宋体"/>
                <w:color w:val="auto"/>
                <w:sz w:val="21"/>
                <w:szCs w:val="21"/>
                <w:lang w:val="en-US" w:eastAsia="zh-CN" w:bidi="ar"/>
              </w:rPr>
              <w:t>18. 产品色域覆盖率≥120%NTSC，并支持 BT.2020、DCI-P3、BT.709，sRGB等多种色域之间的转换</w:t>
            </w:r>
            <w:r>
              <w:rPr>
                <w:rStyle w:val="16"/>
                <w:rFonts w:hint="eastAsia" w:ascii="宋体" w:hAnsi="宋体" w:eastAsia="宋体" w:cs="宋体"/>
                <w:color w:val="auto"/>
                <w:sz w:val="21"/>
                <w:szCs w:val="21"/>
                <w:lang w:val="en-US" w:eastAsia="zh-CN" w:bidi="ar"/>
              </w:rPr>
              <w:br w:type="textWrapping"/>
            </w:r>
            <w:r>
              <w:rPr>
                <w:rStyle w:val="16"/>
                <w:rFonts w:hint="eastAsia" w:ascii="宋体" w:hAnsi="宋体" w:eastAsia="宋体" w:cs="宋体"/>
                <w:color w:val="auto"/>
                <w:sz w:val="21"/>
                <w:szCs w:val="21"/>
                <w:lang w:val="en-US" w:eastAsia="zh-CN" w:bidi="ar"/>
              </w:rPr>
              <w:t>19. ▲支持低亮高灰：亮度 100%时，灰度等级为24bit，刷新率不低于3840Hz；亮度 70%时，灰度等级为20bit，刷新率不低于3520Hz；亮度 50%时，灰度等级为18bit，刷新率不低于3200Hz；亮度 20%时，灰度等级为15bit;刷新率不低于2880Hz；</w:t>
            </w:r>
            <w:r>
              <w:rPr>
                <w:rStyle w:val="16"/>
                <w:rFonts w:hint="eastAsia" w:ascii="宋体" w:hAnsi="宋体" w:eastAsia="宋体" w:cs="宋体"/>
                <w:color w:val="auto"/>
                <w:sz w:val="21"/>
                <w:szCs w:val="21"/>
                <w:lang w:val="en-US" w:eastAsia="zh-CN" w:bidi="ar"/>
              </w:rPr>
              <w:br w:type="textWrapping"/>
            </w:r>
            <w:r>
              <w:rPr>
                <w:rStyle w:val="16"/>
                <w:rFonts w:hint="eastAsia" w:ascii="宋体" w:hAnsi="宋体" w:eastAsia="宋体" w:cs="宋体"/>
                <w:color w:val="auto"/>
                <w:sz w:val="21"/>
                <w:szCs w:val="21"/>
                <w:lang w:val="en-US" w:eastAsia="zh-CN" w:bidi="ar"/>
              </w:rPr>
              <w:t>20. 支持单点亮度色度校正功能，校正后亮度损失&lt;8%</w:t>
            </w:r>
            <w:r>
              <w:rPr>
                <w:rStyle w:val="16"/>
                <w:rFonts w:hint="eastAsia" w:ascii="宋体" w:hAnsi="宋体" w:eastAsia="宋体" w:cs="宋体"/>
                <w:color w:val="auto"/>
                <w:sz w:val="21"/>
                <w:szCs w:val="21"/>
                <w:lang w:val="en-US" w:eastAsia="zh-CN" w:bidi="ar"/>
              </w:rPr>
              <w:br w:type="textWrapping"/>
            </w:r>
            <w:r>
              <w:rPr>
                <w:rStyle w:val="16"/>
                <w:rFonts w:hint="eastAsia" w:ascii="宋体" w:hAnsi="宋体" w:eastAsia="宋体" w:cs="宋体"/>
                <w:color w:val="auto"/>
                <w:sz w:val="21"/>
                <w:szCs w:val="21"/>
                <w:lang w:val="en-US" w:eastAsia="zh-CN" w:bidi="ar"/>
              </w:rPr>
              <w:t>21. 显示屏具有防潮、防尘、防腐蚀、防电磁干扰、防静电等功能，并具有过流、短路、过压、欠压保护</w:t>
            </w:r>
            <w:r>
              <w:rPr>
                <w:rStyle w:val="16"/>
                <w:rFonts w:hint="eastAsia" w:ascii="宋体" w:hAnsi="宋体" w:eastAsia="宋体" w:cs="宋体"/>
                <w:color w:val="auto"/>
                <w:sz w:val="21"/>
                <w:szCs w:val="21"/>
                <w:lang w:val="en-US" w:eastAsia="zh-CN" w:bidi="ar"/>
              </w:rPr>
              <w:br w:type="textWrapping"/>
            </w:r>
            <w:r>
              <w:rPr>
                <w:rStyle w:val="16"/>
                <w:rFonts w:hint="eastAsia" w:ascii="宋体" w:hAnsi="宋体" w:eastAsia="宋体" w:cs="宋体"/>
                <w:color w:val="auto"/>
                <w:sz w:val="21"/>
                <w:szCs w:val="21"/>
                <w:lang w:val="en-US" w:eastAsia="zh-CN" w:bidi="ar"/>
              </w:rPr>
              <w:t>22.▲具有监控自检技术：可实现LED单点检测、通讯检测、温度检测，电源检测，温度监控等功能；</w:t>
            </w:r>
            <w:r>
              <w:rPr>
                <w:rStyle w:val="16"/>
                <w:rFonts w:hint="eastAsia" w:ascii="宋体" w:hAnsi="宋体" w:eastAsia="宋体" w:cs="宋体"/>
                <w:color w:val="auto"/>
                <w:sz w:val="21"/>
                <w:szCs w:val="21"/>
                <w:lang w:val="en-US" w:eastAsia="zh-CN" w:bidi="ar"/>
              </w:rPr>
              <w:br w:type="textWrapping"/>
            </w:r>
            <w:r>
              <w:rPr>
                <w:rStyle w:val="16"/>
                <w:rFonts w:hint="eastAsia" w:ascii="宋体" w:hAnsi="宋体" w:eastAsia="宋体" w:cs="宋体"/>
                <w:color w:val="auto"/>
                <w:sz w:val="21"/>
                <w:szCs w:val="21"/>
                <w:lang w:val="en-US" w:eastAsia="zh-CN" w:bidi="ar"/>
              </w:rPr>
              <w:t>23.LED显示屏画面延迟≤500ns，LED显示屏画面信噪比≥60dB；</w:t>
            </w:r>
            <w:r>
              <w:rPr>
                <w:rStyle w:val="16"/>
                <w:rFonts w:hint="eastAsia" w:ascii="宋体" w:hAnsi="宋体" w:eastAsia="宋体" w:cs="宋体"/>
                <w:color w:val="auto"/>
                <w:sz w:val="21"/>
                <w:szCs w:val="21"/>
                <w:lang w:val="en-US" w:eastAsia="zh-CN" w:bidi="ar"/>
              </w:rPr>
              <w:br w:type="textWrapping"/>
            </w:r>
            <w:r>
              <w:rPr>
                <w:rStyle w:val="16"/>
                <w:rFonts w:hint="eastAsia" w:ascii="宋体" w:hAnsi="宋体" w:eastAsia="宋体" w:cs="宋体"/>
                <w:color w:val="auto"/>
                <w:sz w:val="21"/>
                <w:szCs w:val="21"/>
                <w:lang w:val="en-US" w:eastAsia="zh-CN" w:bidi="ar"/>
              </w:rPr>
              <w:t>24.支持灯板出现短路时，灯板会自动保护，避免烧坏灯板上的其他元器件，支持更换灯板后，校正参数自动回读功能不需要人工操作;</w:t>
            </w:r>
            <w:r>
              <w:rPr>
                <w:rStyle w:val="16"/>
                <w:rFonts w:hint="eastAsia" w:ascii="宋体" w:hAnsi="宋体" w:eastAsia="宋体" w:cs="宋体"/>
                <w:color w:val="auto"/>
                <w:sz w:val="21"/>
                <w:szCs w:val="21"/>
                <w:lang w:val="en-US" w:eastAsia="zh-CN" w:bidi="ar"/>
              </w:rPr>
              <w:br w:type="textWrapping"/>
            </w:r>
            <w:r>
              <w:rPr>
                <w:rStyle w:val="16"/>
                <w:rFonts w:hint="eastAsia" w:ascii="宋体" w:hAnsi="宋体" w:eastAsia="宋体" w:cs="宋体"/>
                <w:color w:val="auto"/>
                <w:sz w:val="21"/>
                <w:szCs w:val="21"/>
                <w:lang w:val="en-US" w:eastAsia="zh-CN" w:bidi="ar"/>
              </w:rPr>
              <w:t>25.▲符合 GB/T 18313-2001 声学信息技术设备和通信设备空气噪音的测量,噪声满足 NR-25(噪声标准曲线)要求:球面半径 0.3 米内，最亮噪音 ≤2dB(A),球面半径 1.5 米内，白平衡最亮噪音 1≤dB(A),球面半径 1 米内，白平衡最亮噪音≤ 1.4dB(A)</w:t>
            </w:r>
            <w:r>
              <w:rPr>
                <w:rStyle w:val="16"/>
                <w:rFonts w:hint="eastAsia" w:ascii="宋体" w:hAnsi="宋体" w:eastAsia="宋体" w:cs="宋体"/>
                <w:color w:val="auto"/>
                <w:sz w:val="21"/>
                <w:szCs w:val="21"/>
                <w:lang w:val="en-US" w:eastAsia="zh-CN" w:bidi="ar"/>
              </w:rPr>
              <w:br w:type="textWrapping"/>
            </w:r>
            <w:r>
              <w:rPr>
                <w:rStyle w:val="16"/>
                <w:rFonts w:hint="eastAsia" w:ascii="宋体" w:hAnsi="宋体" w:eastAsia="宋体" w:cs="宋体"/>
                <w:color w:val="auto"/>
                <w:sz w:val="21"/>
                <w:szCs w:val="21"/>
                <w:lang w:val="en-US" w:eastAsia="zh-CN" w:bidi="ar"/>
              </w:rPr>
              <w:t>26.LED 显示屏具备现场屏体开关机次数及使用时长记录，以及对现场温湿度的监测反馈，并形成数据保存周期为 100天，并可在控制软件端提取数据，保证用户实时了解现场屏体及使用环境情况</w:t>
            </w:r>
          </w:p>
          <w:p w14:paraId="444797BC">
            <w:pPr>
              <w:keepNext w:val="0"/>
              <w:keepLines w:val="0"/>
              <w:widowControl/>
              <w:numPr>
                <w:ilvl w:val="0"/>
                <w:numId w:val="2"/>
              </w:numPr>
              <w:suppressLineNumbers w:val="0"/>
              <w:jc w:val="left"/>
              <w:textAlignment w:val="center"/>
              <w:rPr>
                <w:rStyle w:val="21"/>
                <w:rFonts w:hint="eastAsia" w:ascii="宋体" w:hAnsi="宋体" w:eastAsia="宋体" w:cs="宋体"/>
                <w:color w:val="auto"/>
                <w:sz w:val="21"/>
                <w:szCs w:val="21"/>
                <w:lang w:val="en-US" w:eastAsia="zh-CN" w:bidi="ar"/>
              </w:rPr>
            </w:pPr>
            <w:r>
              <w:rPr>
                <w:rStyle w:val="16"/>
                <w:rFonts w:hint="eastAsia" w:ascii="宋体" w:hAnsi="宋体" w:eastAsia="宋体" w:cs="宋体"/>
                <w:color w:val="auto"/>
                <w:sz w:val="21"/>
                <w:szCs w:val="21"/>
                <w:lang w:val="en-US" w:eastAsia="zh-CN" w:bidi="ar"/>
              </w:rPr>
              <w:t>配套满足带载的电源、接收卡系统</w:t>
            </w:r>
            <w:r>
              <w:rPr>
                <w:rStyle w:val="16"/>
                <w:rFonts w:hint="eastAsia" w:ascii="宋体" w:hAnsi="宋体" w:eastAsia="宋体" w:cs="宋体"/>
                <w:color w:val="auto"/>
                <w:sz w:val="21"/>
                <w:szCs w:val="21"/>
                <w:lang w:val="en-US" w:eastAsia="zh-CN" w:bidi="ar"/>
              </w:rPr>
              <w:br w:type="textWrapping"/>
            </w:r>
            <w:r>
              <w:rPr>
                <w:rStyle w:val="16"/>
                <w:rFonts w:hint="eastAsia" w:ascii="宋体" w:hAnsi="宋体" w:eastAsia="宋体" w:cs="宋体"/>
                <w:color w:val="auto"/>
                <w:sz w:val="21"/>
                <w:szCs w:val="21"/>
                <w:lang w:val="en-US" w:eastAsia="zh-CN" w:bidi="ar"/>
              </w:rPr>
              <w:t>28.以上带“▲”项为重要参数项，需提供国家认可的第三方检测机构出具的检测报告复印件，并加盖投标人公章</w:t>
            </w:r>
            <w:r>
              <w:rPr>
                <w:rStyle w:val="16"/>
                <w:rFonts w:hint="eastAsia" w:ascii="宋体" w:hAnsi="宋体" w:eastAsia="宋体" w:cs="宋体"/>
                <w:color w:val="auto"/>
                <w:sz w:val="21"/>
                <w:szCs w:val="21"/>
                <w:lang w:val="en-US" w:eastAsia="zh-CN" w:bidi="ar"/>
              </w:rPr>
              <w:br w:type="textWrapping"/>
            </w:r>
            <w:r>
              <w:rPr>
                <w:rStyle w:val="16"/>
                <w:rFonts w:hint="eastAsia" w:ascii="宋体" w:hAnsi="宋体" w:eastAsia="宋体" w:cs="宋体"/>
                <w:color w:val="auto"/>
                <w:sz w:val="21"/>
                <w:szCs w:val="21"/>
                <w:lang w:val="en-US" w:eastAsia="zh-CN" w:bidi="ar"/>
              </w:rPr>
              <w:t>29. ▲所投屏体须通过CCC认证，不接受OEM产品，并提供证书复印件加盖投标人公章。</w:t>
            </w:r>
          </w:p>
          <w:p w14:paraId="63776652">
            <w:pPr>
              <w:keepNext w:val="0"/>
              <w:keepLines w:val="0"/>
              <w:widowControl/>
              <w:numPr>
                <w:ilvl w:val="0"/>
                <w:numId w:val="0"/>
              </w:numPr>
              <w:suppressLineNumbers w:val="0"/>
              <w:jc w:val="left"/>
              <w:textAlignment w:val="center"/>
              <w:rPr>
                <w:rStyle w:val="21"/>
                <w:rFonts w:hint="eastAsia" w:ascii="宋体" w:hAnsi="宋体" w:eastAsia="宋体" w:cs="宋体"/>
                <w:color w:val="auto"/>
                <w:sz w:val="21"/>
                <w:szCs w:val="21"/>
                <w:lang w:val="en-US" w:eastAsia="zh-CN" w:bidi="ar"/>
              </w:rPr>
            </w:pPr>
            <w:r>
              <w:rPr>
                <w:rStyle w:val="16"/>
                <w:rFonts w:hint="eastAsia" w:ascii="宋体" w:hAnsi="宋体" w:eastAsia="宋体" w:cs="宋体"/>
                <w:color w:val="auto"/>
                <w:sz w:val="21"/>
                <w:szCs w:val="21"/>
                <w:lang w:val="en-US" w:eastAsia="zh-CN" w:bidi="ar"/>
              </w:rPr>
              <w:t>30.LED显示屏多点温度监测系统、区域图像死灯率检测系统。</w:t>
            </w:r>
          </w:p>
          <w:p w14:paraId="69BF1FE2">
            <w:pPr>
              <w:keepNext w:val="0"/>
              <w:keepLines w:val="0"/>
              <w:widowControl/>
              <w:numPr>
                <w:ilvl w:val="0"/>
                <w:numId w:val="0"/>
              </w:numPr>
              <w:suppressLineNumbers w:val="0"/>
              <w:jc w:val="left"/>
              <w:textAlignment w:val="center"/>
              <w:rPr>
                <w:rStyle w:val="21"/>
                <w:rFonts w:hint="eastAsia" w:ascii="宋体" w:hAnsi="宋体" w:eastAsia="宋体" w:cs="宋体"/>
                <w:color w:val="auto"/>
                <w:sz w:val="21"/>
                <w:szCs w:val="21"/>
                <w:lang w:val="en-US" w:eastAsia="zh-CN" w:bidi="ar"/>
              </w:rPr>
            </w:pPr>
            <w:r>
              <w:rPr>
                <w:rStyle w:val="16"/>
                <w:rFonts w:hint="eastAsia" w:ascii="宋体" w:hAnsi="宋体" w:eastAsia="宋体" w:cs="宋体"/>
                <w:color w:val="auto"/>
                <w:sz w:val="21"/>
                <w:szCs w:val="21"/>
                <w:lang w:val="en-US" w:eastAsia="zh-CN" w:bidi="ar"/>
              </w:rPr>
              <w:t>31.▲产品通过HDR3.0、绿色健康 A 级、CQC、环境标识（II型）认证，并提供证书复印件加盖投标人公章。</w:t>
            </w:r>
            <w:r>
              <w:rPr>
                <w:rStyle w:val="16"/>
                <w:rFonts w:hint="eastAsia" w:ascii="宋体" w:hAnsi="宋体" w:eastAsia="宋体" w:cs="宋体"/>
                <w:color w:val="auto"/>
                <w:sz w:val="21"/>
                <w:szCs w:val="21"/>
                <w:lang w:val="en-US" w:eastAsia="zh-CN" w:bidi="ar"/>
              </w:rPr>
              <w:br w:type="textWrapping"/>
            </w:r>
            <w:r>
              <w:rPr>
                <w:rStyle w:val="21"/>
                <w:rFonts w:hint="eastAsia" w:ascii="宋体" w:hAnsi="宋体" w:eastAsia="宋体" w:cs="宋体"/>
                <w:color w:val="auto"/>
                <w:sz w:val="21"/>
                <w:szCs w:val="21"/>
                <w:lang w:val="en-US" w:eastAsia="zh-CN" w:bidi="ar"/>
              </w:rPr>
              <w:t>二、屏体控制器</w:t>
            </w:r>
          </w:p>
          <w:p w14:paraId="36C395EB">
            <w:pPr>
              <w:keepNext w:val="0"/>
              <w:keepLines w:val="0"/>
              <w:widowControl/>
              <w:numPr>
                <w:ilvl w:val="0"/>
                <w:numId w:val="0"/>
              </w:numPr>
              <w:suppressLineNumbers w:val="0"/>
              <w:jc w:val="left"/>
              <w:textAlignment w:val="center"/>
              <w:rPr>
                <w:rStyle w:val="16"/>
                <w:rFonts w:hint="eastAsia" w:ascii="宋体" w:hAnsi="宋体" w:eastAsia="宋体" w:cs="宋体"/>
                <w:color w:val="auto"/>
                <w:sz w:val="21"/>
                <w:szCs w:val="21"/>
                <w:lang w:val="en-US" w:eastAsia="zh-CN" w:bidi="ar"/>
              </w:rPr>
            </w:pPr>
            <w:r>
              <w:rPr>
                <w:rStyle w:val="16"/>
                <w:rFonts w:hint="eastAsia" w:ascii="宋体" w:hAnsi="宋体" w:eastAsia="宋体" w:cs="宋体"/>
                <w:color w:val="auto"/>
                <w:sz w:val="21"/>
                <w:szCs w:val="21"/>
                <w:lang w:val="en-US" w:eastAsia="zh-CN" w:bidi="ar"/>
              </w:rPr>
              <w:t>1.最大1920X1200@60Hz输入分辨率</w:t>
            </w:r>
          </w:p>
          <w:p w14:paraId="5BF8C1C7">
            <w:pPr>
              <w:keepNext w:val="0"/>
              <w:keepLines w:val="0"/>
              <w:widowControl/>
              <w:numPr>
                <w:ilvl w:val="0"/>
                <w:numId w:val="0"/>
              </w:numPr>
              <w:suppressLineNumbers w:val="0"/>
              <w:jc w:val="left"/>
              <w:textAlignment w:val="center"/>
              <w:rPr>
                <w:rStyle w:val="16"/>
                <w:rFonts w:hint="eastAsia" w:ascii="宋体" w:hAnsi="宋体" w:eastAsia="宋体" w:cs="宋体"/>
                <w:color w:val="auto"/>
                <w:sz w:val="21"/>
                <w:szCs w:val="21"/>
                <w:lang w:val="en-US" w:eastAsia="zh-CN" w:bidi="ar"/>
              </w:rPr>
            </w:pPr>
            <w:r>
              <w:rPr>
                <w:rStyle w:val="16"/>
                <w:rFonts w:hint="eastAsia" w:ascii="宋体" w:hAnsi="宋体" w:eastAsia="宋体" w:cs="宋体"/>
                <w:color w:val="auto"/>
                <w:sz w:val="21"/>
                <w:szCs w:val="21"/>
                <w:lang w:val="en-US" w:eastAsia="zh-CN" w:bidi="ar"/>
              </w:rPr>
              <w:t>2.最大带载780万像素，12路千兆网口输出</w:t>
            </w:r>
          </w:p>
          <w:p w14:paraId="5480247D">
            <w:pPr>
              <w:keepNext w:val="0"/>
              <w:keepLines w:val="0"/>
              <w:widowControl/>
              <w:numPr>
                <w:ilvl w:val="0"/>
                <w:numId w:val="0"/>
              </w:numPr>
              <w:suppressLineNumbers w:val="0"/>
              <w:jc w:val="left"/>
              <w:textAlignment w:val="center"/>
              <w:rPr>
                <w:rStyle w:val="16"/>
                <w:rFonts w:hint="eastAsia" w:ascii="宋体" w:hAnsi="宋体" w:eastAsia="宋体" w:cs="宋体"/>
                <w:color w:val="auto"/>
                <w:sz w:val="21"/>
                <w:szCs w:val="21"/>
                <w:lang w:val="en-US" w:eastAsia="zh-CN" w:bidi="ar"/>
              </w:rPr>
            </w:pPr>
            <w:r>
              <w:rPr>
                <w:rStyle w:val="16"/>
                <w:rFonts w:hint="eastAsia" w:ascii="宋体" w:hAnsi="宋体" w:eastAsia="宋体" w:cs="宋体"/>
                <w:color w:val="auto"/>
                <w:sz w:val="21"/>
                <w:szCs w:val="21"/>
                <w:lang w:val="en-US" w:eastAsia="zh-CN" w:bidi="ar"/>
              </w:rPr>
              <w:t>3.最宽8192像素点或最高4096像素点</w:t>
            </w:r>
          </w:p>
          <w:p w14:paraId="38DF082E">
            <w:pPr>
              <w:keepNext w:val="0"/>
              <w:keepLines w:val="0"/>
              <w:widowControl/>
              <w:numPr>
                <w:ilvl w:val="0"/>
                <w:numId w:val="0"/>
              </w:numPr>
              <w:suppressLineNumbers w:val="0"/>
              <w:jc w:val="left"/>
              <w:textAlignment w:val="center"/>
              <w:rPr>
                <w:rStyle w:val="16"/>
                <w:rFonts w:hint="eastAsia" w:ascii="宋体" w:hAnsi="宋体" w:eastAsia="宋体" w:cs="宋体"/>
                <w:color w:val="auto"/>
                <w:sz w:val="21"/>
                <w:szCs w:val="21"/>
                <w:lang w:val="en-US" w:eastAsia="zh-CN" w:bidi="ar"/>
              </w:rPr>
            </w:pPr>
            <w:r>
              <w:rPr>
                <w:rStyle w:val="16"/>
                <w:rFonts w:hint="eastAsia" w:ascii="宋体" w:hAnsi="宋体" w:eastAsia="宋体" w:cs="宋体"/>
                <w:color w:val="auto"/>
                <w:sz w:val="21"/>
                <w:szCs w:val="21"/>
                <w:lang w:val="en-US" w:eastAsia="zh-CN" w:bidi="ar"/>
              </w:rPr>
              <w:t>4.支持4路信号输入:3xHDMI1.4，1xDVI</w:t>
            </w:r>
          </w:p>
          <w:p w14:paraId="7C15C2CA">
            <w:pPr>
              <w:keepNext w:val="0"/>
              <w:keepLines w:val="0"/>
              <w:widowControl/>
              <w:numPr>
                <w:ilvl w:val="0"/>
                <w:numId w:val="0"/>
              </w:numPr>
              <w:suppressLineNumbers w:val="0"/>
              <w:jc w:val="left"/>
              <w:textAlignment w:val="center"/>
              <w:rPr>
                <w:rStyle w:val="16"/>
                <w:rFonts w:hint="eastAsia" w:ascii="宋体" w:hAnsi="宋体" w:eastAsia="宋体" w:cs="宋体"/>
                <w:color w:val="auto"/>
                <w:sz w:val="21"/>
                <w:szCs w:val="21"/>
                <w:lang w:val="en-US" w:eastAsia="zh-CN" w:bidi="ar"/>
              </w:rPr>
            </w:pPr>
            <w:r>
              <w:rPr>
                <w:rStyle w:val="16"/>
                <w:rFonts w:hint="eastAsia" w:ascii="宋体" w:hAnsi="宋体" w:eastAsia="宋体" w:cs="宋体"/>
                <w:color w:val="auto"/>
                <w:sz w:val="21"/>
                <w:szCs w:val="21"/>
                <w:lang w:val="en-US" w:eastAsia="zh-CN" w:bidi="ar"/>
              </w:rPr>
              <w:t>5.支持单机或双机冗余备份</w:t>
            </w:r>
          </w:p>
          <w:p w14:paraId="2C0AED23">
            <w:pPr>
              <w:keepNext w:val="0"/>
              <w:keepLines w:val="0"/>
              <w:widowControl/>
              <w:numPr>
                <w:ilvl w:val="0"/>
                <w:numId w:val="0"/>
              </w:numPr>
              <w:suppressLineNumbers w:val="0"/>
              <w:jc w:val="left"/>
              <w:textAlignment w:val="center"/>
              <w:rPr>
                <w:rStyle w:val="16"/>
                <w:rFonts w:hint="eastAsia" w:ascii="宋体" w:hAnsi="宋体" w:eastAsia="宋体" w:cs="宋体"/>
                <w:color w:val="auto"/>
                <w:sz w:val="21"/>
                <w:szCs w:val="21"/>
                <w:lang w:val="en-US" w:eastAsia="zh-CN" w:bidi="ar"/>
              </w:rPr>
            </w:pPr>
            <w:r>
              <w:rPr>
                <w:rStyle w:val="16"/>
                <w:rFonts w:hint="eastAsia" w:ascii="宋体" w:hAnsi="宋体" w:eastAsia="宋体" w:cs="宋体"/>
                <w:color w:val="auto"/>
                <w:sz w:val="21"/>
                <w:szCs w:val="21"/>
                <w:lang w:val="en-US" w:eastAsia="zh-CN" w:bidi="ar"/>
              </w:rPr>
              <w:t>6.支持1路独立音频输入，1路独立音频输出</w:t>
            </w:r>
          </w:p>
          <w:p w14:paraId="3F0DCAA0">
            <w:pPr>
              <w:keepNext w:val="0"/>
              <w:keepLines w:val="0"/>
              <w:widowControl/>
              <w:numPr>
                <w:ilvl w:val="0"/>
                <w:numId w:val="0"/>
              </w:numPr>
              <w:suppressLineNumbers w:val="0"/>
              <w:jc w:val="left"/>
              <w:textAlignment w:val="center"/>
              <w:rPr>
                <w:rStyle w:val="16"/>
                <w:rFonts w:hint="eastAsia" w:ascii="宋体" w:hAnsi="宋体" w:eastAsia="宋体" w:cs="宋体"/>
                <w:color w:val="auto"/>
                <w:sz w:val="21"/>
                <w:szCs w:val="21"/>
                <w:lang w:val="en-US" w:eastAsia="zh-CN" w:bidi="ar"/>
              </w:rPr>
            </w:pPr>
            <w:r>
              <w:rPr>
                <w:rStyle w:val="16"/>
                <w:rFonts w:hint="eastAsia" w:ascii="宋体" w:hAnsi="宋体" w:eastAsia="宋体" w:cs="宋体"/>
                <w:color w:val="auto"/>
                <w:sz w:val="21"/>
                <w:szCs w:val="21"/>
                <w:lang w:val="en-US" w:eastAsia="zh-CN" w:bidi="ar"/>
              </w:rPr>
              <w:t>7.支持3画面显示，位置、大小可自由调节</w:t>
            </w:r>
          </w:p>
          <w:p w14:paraId="5B761EAA">
            <w:pPr>
              <w:keepNext w:val="0"/>
              <w:keepLines w:val="0"/>
              <w:widowControl/>
              <w:numPr>
                <w:ilvl w:val="0"/>
                <w:numId w:val="0"/>
              </w:numPr>
              <w:suppressLineNumbers w:val="0"/>
              <w:jc w:val="left"/>
              <w:textAlignment w:val="center"/>
              <w:rPr>
                <w:rStyle w:val="16"/>
                <w:rFonts w:hint="eastAsia" w:ascii="宋体" w:hAnsi="宋体" w:eastAsia="宋体" w:cs="宋体"/>
                <w:color w:val="auto"/>
                <w:sz w:val="21"/>
                <w:szCs w:val="21"/>
                <w:lang w:val="en-US" w:eastAsia="zh-CN" w:bidi="ar"/>
              </w:rPr>
            </w:pPr>
            <w:r>
              <w:rPr>
                <w:rStyle w:val="16"/>
                <w:rFonts w:hint="eastAsia" w:ascii="宋体" w:hAnsi="宋体" w:eastAsia="宋体" w:cs="宋体"/>
                <w:color w:val="auto"/>
                <w:sz w:val="21"/>
                <w:szCs w:val="21"/>
                <w:lang w:val="en-US" w:eastAsia="zh-CN" w:bidi="ar"/>
              </w:rPr>
              <w:t>8.支持视频信号任意切换，裁剪，拼接，缩放</w:t>
            </w:r>
          </w:p>
          <w:p w14:paraId="2C5824D0">
            <w:pPr>
              <w:keepNext w:val="0"/>
              <w:keepLines w:val="0"/>
              <w:widowControl/>
              <w:numPr>
                <w:ilvl w:val="0"/>
                <w:numId w:val="0"/>
              </w:numPr>
              <w:suppressLineNumbers w:val="0"/>
              <w:jc w:val="left"/>
              <w:textAlignment w:val="center"/>
              <w:rPr>
                <w:rStyle w:val="16"/>
                <w:rFonts w:hint="eastAsia" w:ascii="宋体" w:hAnsi="宋体" w:eastAsia="宋体" w:cs="宋体"/>
                <w:color w:val="auto"/>
                <w:sz w:val="21"/>
                <w:szCs w:val="21"/>
                <w:lang w:val="en-US" w:eastAsia="zh-CN" w:bidi="ar"/>
              </w:rPr>
            </w:pPr>
            <w:r>
              <w:rPr>
                <w:rStyle w:val="16"/>
                <w:rFonts w:hint="eastAsia" w:ascii="宋体" w:hAnsi="宋体" w:eastAsia="宋体" w:cs="宋体"/>
                <w:color w:val="auto"/>
                <w:sz w:val="21"/>
                <w:szCs w:val="21"/>
                <w:lang w:val="en-US" w:eastAsia="zh-CN" w:bidi="ar"/>
              </w:rPr>
              <w:t>9.支持低亮高灰，能有效地保持低亮下灰阶的完整显示</w:t>
            </w:r>
          </w:p>
          <w:p w14:paraId="6FBA8E2E">
            <w:pPr>
              <w:keepNext w:val="0"/>
              <w:keepLines w:val="0"/>
              <w:widowControl/>
              <w:numPr>
                <w:ilvl w:val="0"/>
                <w:numId w:val="0"/>
              </w:numPr>
              <w:suppressLineNumbers w:val="0"/>
              <w:jc w:val="left"/>
              <w:textAlignment w:val="center"/>
              <w:rPr>
                <w:rStyle w:val="16"/>
                <w:rFonts w:hint="eastAsia" w:ascii="宋体" w:hAnsi="宋体" w:eastAsia="宋体" w:cs="宋体"/>
                <w:color w:val="auto"/>
                <w:sz w:val="21"/>
                <w:szCs w:val="21"/>
                <w:lang w:val="en-US" w:eastAsia="zh-CN" w:bidi="ar"/>
              </w:rPr>
            </w:pPr>
            <w:r>
              <w:rPr>
                <w:rStyle w:val="16"/>
                <w:rFonts w:hint="eastAsia" w:ascii="宋体" w:hAnsi="宋体" w:eastAsia="宋体" w:cs="宋体"/>
                <w:color w:val="auto"/>
                <w:sz w:val="21"/>
                <w:szCs w:val="21"/>
                <w:lang w:val="en-US" w:eastAsia="zh-CN" w:bidi="ar"/>
              </w:rPr>
              <w:t>10.确保产品质量可靠，提供厂家3C认证证书</w:t>
            </w:r>
          </w:p>
          <w:p w14:paraId="5854526E">
            <w:pPr>
              <w:keepNext w:val="0"/>
              <w:keepLines w:val="0"/>
              <w:widowControl/>
              <w:numPr>
                <w:ilvl w:val="0"/>
                <w:numId w:val="0"/>
              </w:numPr>
              <w:suppressLineNumbers w:val="0"/>
              <w:jc w:val="left"/>
              <w:textAlignment w:val="center"/>
              <w:rPr>
                <w:rStyle w:val="16"/>
                <w:rFonts w:hint="eastAsia" w:ascii="宋体" w:hAnsi="宋体" w:eastAsia="宋体" w:cs="宋体"/>
                <w:color w:val="auto"/>
                <w:sz w:val="21"/>
                <w:szCs w:val="21"/>
                <w:lang w:val="en-US" w:eastAsia="zh-CN" w:bidi="ar"/>
              </w:rPr>
            </w:pPr>
            <w:r>
              <w:rPr>
                <w:rStyle w:val="16"/>
                <w:rFonts w:hint="eastAsia" w:ascii="宋体" w:hAnsi="宋体" w:eastAsia="宋体" w:cs="宋体"/>
                <w:color w:val="auto"/>
                <w:sz w:val="21"/>
                <w:szCs w:val="21"/>
                <w:lang w:val="en-US" w:eastAsia="zh-CN" w:bidi="ar"/>
              </w:rPr>
              <w:t>11.▲设备直接通过USB2.0级联，级联数据下发发送速率最高可达60Mb/s，最多支持16台同时调节亮度、色温、设备之间同步性，符合大型高标准活动现场低延时要求；配合外设级联最大带载宽度可达262144像素点，最高可到131072像素点；（提供国家认可的检测机构出具的第三方检测报告复印件，并加盖投标人公章）</w:t>
            </w:r>
          </w:p>
          <w:p w14:paraId="1EC1DF31">
            <w:pPr>
              <w:keepNext w:val="0"/>
              <w:keepLines w:val="0"/>
              <w:widowControl/>
              <w:numPr>
                <w:ilvl w:val="0"/>
                <w:numId w:val="0"/>
              </w:numPr>
              <w:suppressLineNumbers w:val="0"/>
              <w:jc w:val="left"/>
              <w:textAlignment w:val="center"/>
              <w:rPr>
                <w:rStyle w:val="16"/>
                <w:rFonts w:hint="eastAsia" w:ascii="宋体" w:hAnsi="宋体" w:eastAsia="宋体" w:cs="宋体"/>
                <w:color w:val="auto"/>
                <w:sz w:val="21"/>
                <w:szCs w:val="21"/>
                <w:lang w:val="en-US" w:eastAsia="zh-CN" w:bidi="ar"/>
              </w:rPr>
            </w:pPr>
            <w:r>
              <w:rPr>
                <w:rStyle w:val="16"/>
                <w:rFonts w:hint="eastAsia" w:ascii="宋体" w:hAnsi="宋体" w:eastAsia="宋体" w:cs="宋体"/>
                <w:color w:val="auto"/>
                <w:sz w:val="21"/>
                <w:szCs w:val="21"/>
                <w:lang w:val="en-US" w:eastAsia="zh-CN" w:bidi="ar"/>
              </w:rPr>
              <w:t>12.▲为了保证HDMI或者DVI传输的高清晰信号不会被非法录制，设备具备HDCP1.4技术；（提供国家认可的检测机构出具的第三方检测报告复印件，并加盖投标人公章）</w:t>
            </w:r>
          </w:p>
          <w:p w14:paraId="14552445">
            <w:pPr>
              <w:keepNext w:val="0"/>
              <w:keepLines w:val="0"/>
              <w:widowControl/>
              <w:numPr>
                <w:ilvl w:val="0"/>
                <w:numId w:val="0"/>
              </w:numPr>
              <w:suppressLineNumbers w:val="0"/>
              <w:jc w:val="left"/>
              <w:textAlignment w:val="center"/>
              <w:rPr>
                <w:rStyle w:val="16"/>
                <w:rFonts w:hint="eastAsia" w:ascii="宋体" w:hAnsi="宋体" w:eastAsia="宋体" w:cs="宋体"/>
                <w:color w:val="auto"/>
                <w:sz w:val="21"/>
                <w:szCs w:val="21"/>
                <w:lang w:val="en-US" w:eastAsia="zh-CN" w:bidi="ar"/>
              </w:rPr>
            </w:pPr>
            <w:r>
              <w:rPr>
                <w:rStyle w:val="16"/>
                <w:rFonts w:hint="eastAsia" w:ascii="宋体" w:hAnsi="宋体" w:eastAsia="宋体" w:cs="宋体"/>
                <w:color w:val="auto"/>
                <w:sz w:val="21"/>
                <w:szCs w:val="21"/>
                <w:lang w:val="en-US" w:eastAsia="zh-CN" w:bidi="ar"/>
              </w:rPr>
              <w:t>13.▲节能环保，可通过与多功能卡的配合实现自动亮度调节功能，根据环境照度的改变自动调节显示屏的亮度，达到最佳的显示效果；（提供国家认可的检测机构出具的第三方检测报告复印件，并加盖投标人公章）</w:t>
            </w:r>
          </w:p>
          <w:p w14:paraId="02FA5724">
            <w:pPr>
              <w:keepNext w:val="0"/>
              <w:keepLines w:val="0"/>
              <w:widowControl/>
              <w:numPr>
                <w:ilvl w:val="0"/>
                <w:numId w:val="0"/>
              </w:numPr>
              <w:suppressLineNumbers w:val="0"/>
              <w:jc w:val="left"/>
              <w:textAlignment w:val="center"/>
              <w:rPr>
                <w:rStyle w:val="16"/>
                <w:rFonts w:hint="eastAsia" w:ascii="宋体" w:hAnsi="宋体" w:eastAsia="宋体" w:cs="宋体"/>
                <w:color w:val="auto"/>
                <w:sz w:val="21"/>
                <w:szCs w:val="21"/>
                <w:lang w:val="en-US" w:eastAsia="zh-CN" w:bidi="ar"/>
              </w:rPr>
            </w:pPr>
            <w:r>
              <w:rPr>
                <w:rStyle w:val="16"/>
                <w:rFonts w:hint="eastAsia" w:ascii="宋体" w:hAnsi="宋体" w:eastAsia="宋体" w:cs="宋体"/>
                <w:color w:val="auto"/>
                <w:sz w:val="21"/>
                <w:szCs w:val="21"/>
                <w:lang w:val="en-US" w:eastAsia="zh-CN" w:bidi="ar"/>
              </w:rPr>
              <w:t>14.▲设备带有RTC芯片，支持视频控制器和接收卡端的加密管理，通过加密相关的协议实现授权日期内的正常显示，非授权日期无法正常显示；（提供国家认可的检测机构出具的第三方检测报告复印件，并加盖投标人公章）</w:t>
            </w:r>
          </w:p>
          <w:p w14:paraId="18F6A6AB">
            <w:pPr>
              <w:keepNext w:val="0"/>
              <w:keepLines w:val="0"/>
              <w:widowControl/>
              <w:numPr>
                <w:ilvl w:val="0"/>
                <w:numId w:val="0"/>
              </w:numPr>
              <w:suppressLineNumbers w:val="0"/>
              <w:ind w:leftChars="0"/>
              <w:jc w:val="left"/>
              <w:textAlignment w:val="center"/>
              <w:rPr>
                <w:rStyle w:val="16"/>
                <w:rFonts w:hint="eastAsia" w:ascii="宋体" w:hAnsi="宋体" w:eastAsia="宋体" w:cs="宋体"/>
                <w:b/>
                <w:bCs/>
                <w:color w:val="auto"/>
                <w:sz w:val="21"/>
                <w:szCs w:val="21"/>
                <w:lang w:val="en-US" w:eastAsia="zh-CN" w:bidi="ar"/>
              </w:rPr>
            </w:pPr>
            <w:r>
              <w:rPr>
                <w:rStyle w:val="16"/>
                <w:rFonts w:hint="eastAsia" w:ascii="宋体" w:hAnsi="宋体" w:eastAsia="宋体" w:cs="宋体"/>
                <w:b/>
                <w:bCs/>
                <w:color w:val="auto"/>
                <w:sz w:val="21"/>
                <w:szCs w:val="21"/>
                <w:lang w:val="en-US" w:eastAsia="zh-CN" w:bidi="ar"/>
              </w:rPr>
              <w:t>三、钢结构</w:t>
            </w:r>
          </w:p>
          <w:p w14:paraId="2388F21C">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大屏幕钢结构制作，钢结构要求：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（1）按照国家钢结构设计规范，满足屏体安全承载需求制；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（2）显示屏支撑钢结构材料采用国标，不可采用非标；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（3）钢结构防锈处理，颜色由采购人选取。</w:t>
            </w:r>
          </w:p>
          <w:p w14:paraId="701714E0">
            <w:pPr>
              <w:keepNext w:val="0"/>
              <w:keepLines w:val="0"/>
              <w:widowControl/>
              <w:numPr>
                <w:ilvl w:val="0"/>
                <w:numId w:val="3"/>
              </w:numPr>
              <w:suppressLineNumbers w:val="0"/>
              <w:ind w:leftChars="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其他配套配件和辅材</w:t>
            </w:r>
          </w:p>
          <w:p w14:paraId="6F798C63">
            <w:pPr>
              <w:keepNext w:val="0"/>
              <w:keepLines w:val="0"/>
              <w:widowControl/>
              <w:numPr>
                <w:ilvl w:val="0"/>
                <w:numId w:val="4"/>
              </w:numPr>
              <w:suppressLineNumbers w:val="0"/>
              <w:ind w:left="105"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配套1套单红色条屏：显示尺寸为：</w:t>
            </w:r>
            <w:r>
              <w:rPr>
                <w:rFonts w:hint="eastAsia" w:ascii="宋体" w:hAnsi="宋体" w:eastAsia="宋体" w:cs="宋体"/>
                <w:i w:val="0"/>
                <w:iCs w:val="0"/>
                <w:color w:val="auto"/>
                <w:kern w:val="0"/>
                <w:sz w:val="21"/>
                <w:szCs w:val="21"/>
                <w:u w:val="none"/>
                <w:lang w:val="en-US" w:eastAsia="zh-CN" w:bidi="ar"/>
              </w:rPr>
              <w:t>5.776m×0.304m；</w:t>
            </w:r>
          </w:p>
          <w:p w14:paraId="16E89E3A">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1"/>
                <w:szCs w:val="21"/>
                <w:u w:val="none"/>
                <w:lang w:val="en-US" w:eastAsia="zh-CN" w:bidi="ar"/>
              </w:rPr>
              <w:t>安装、调试和培训，LED显示屏内部电源线、网线、视频线及布线所需辅材，含4张模组备品。</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144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A5C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1</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216B3">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20"/>
                <w:szCs w:val="20"/>
                <w:u w:val="none"/>
                <w:lang w:val="en-US" w:eastAsia="zh-CN" w:bidi="ar"/>
              </w:rPr>
              <w:t>198000</w:t>
            </w:r>
            <w:bookmarkStart w:id="0" w:name="_GoBack"/>
            <w:bookmarkEnd w:id="0"/>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6AE4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198000</w:t>
            </w:r>
            <w:r>
              <w:rPr>
                <w:rFonts w:hint="eastAsia" w:ascii="宋体" w:hAnsi="宋体" w:eastAsia="宋体" w:cs="宋体"/>
                <w:i w:val="0"/>
                <w:iCs w:val="0"/>
                <w:color w:val="auto"/>
                <w:kern w:val="0"/>
                <w:sz w:val="18"/>
                <w:szCs w:val="18"/>
                <w:u w:val="none"/>
                <w:lang w:val="en-US" w:eastAsia="zh-CN" w:bidi="ar"/>
              </w:rPr>
              <w:t xml:space="preserve">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A693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6468C">
            <w:pPr>
              <w:jc w:val="both"/>
              <w:rPr>
                <w:rFonts w:hint="default" w:ascii="宋体" w:hAnsi="宋体" w:eastAsia="宋体" w:cs="宋体"/>
                <w:i w:val="0"/>
                <w:iCs w:val="0"/>
                <w:color w:val="auto"/>
                <w:sz w:val="18"/>
                <w:szCs w:val="18"/>
                <w:u w:val="none"/>
                <w:lang w:val="en-US" w:eastAsia="zh-CN"/>
              </w:rPr>
            </w:pPr>
          </w:p>
        </w:tc>
      </w:tr>
      <w:tr w14:paraId="211D5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60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B086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合计金额</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2E28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198000</w:t>
            </w:r>
            <w:r>
              <w:rPr>
                <w:rFonts w:hint="eastAsia" w:ascii="宋体" w:hAnsi="宋体" w:eastAsia="宋体" w:cs="宋体"/>
                <w:i w:val="0"/>
                <w:iCs w:val="0"/>
                <w:color w:val="auto"/>
                <w:kern w:val="0"/>
                <w:sz w:val="18"/>
                <w:szCs w:val="18"/>
                <w:u w:val="none"/>
                <w:lang w:val="en-US" w:eastAsia="zh-CN" w:bidi="ar"/>
              </w:rPr>
              <w:t xml:space="preserve">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5FD0D">
            <w:pPr>
              <w:rPr>
                <w:rFonts w:hint="eastAsia" w:ascii="宋体" w:hAnsi="宋体" w:eastAsia="宋体" w:cs="宋体"/>
                <w:i w:val="0"/>
                <w:iCs w:val="0"/>
                <w:color w:val="auto"/>
                <w:sz w:val="18"/>
                <w:szCs w:val="18"/>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CF5BD">
            <w:pPr>
              <w:rPr>
                <w:rFonts w:hint="eastAsia" w:ascii="宋体" w:hAnsi="宋体" w:eastAsia="宋体" w:cs="宋体"/>
                <w:i w:val="0"/>
                <w:iCs w:val="0"/>
                <w:color w:val="auto"/>
                <w:sz w:val="18"/>
                <w:szCs w:val="18"/>
                <w:u w:val="none"/>
              </w:rPr>
            </w:pPr>
          </w:p>
        </w:tc>
      </w:tr>
    </w:tbl>
    <w:p w14:paraId="7122E7F0">
      <w:pPr>
        <w:rPr>
          <w:rFonts w:hint="eastAsia" w:eastAsia="宋体"/>
          <w:color w:val="000000" w:themeColor="text1"/>
          <w:sz w:val="18"/>
          <w:szCs w:val="18"/>
          <w:u w:val="none"/>
          <w:lang w:eastAsia="zh-CN"/>
          <w14:textFill>
            <w14:solidFill>
              <w14:schemeClr w14:val="tx1"/>
            </w14:solidFill>
          </w14:textFill>
        </w:rPr>
      </w:pPr>
    </w:p>
    <w:p w14:paraId="1B367D48">
      <w:pPr>
        <w:rPr>
          <w:rFonts w:hint="eastAsia" w:eastAsia="宋体"/>
          <w:color w:val="000000" w:themeColor="text1"/>
          <w:sz w:val="18"/>
          <w:szCs w:val="18"/>
          <w:u w:val="none"/>
          <w:lang w:eastAsia="zh-CN"/>
          <w14:textFill>
            <w14:solidFill>
              <w14:schemeClr w14:val="tx1"/>
            </w14:solidFill>
          </w14:textFill>
        </w:rPr>
      </w:pPr>
    </w:p>
    <w:p w14:paraId="087E2B73">
      <w:pPr>
        <w:rPr>
          <w:rFonts w:hint="eastAsia" w:eastAsia="宋体"/>
          <w:color w:val="000000" w:themeColor="text1"/>
          <w:sz w:val="18"/>
          <w:szCs w:val="18"/>
          <w:u w:val="none"/>
          <w:lang w:eastAsia="zh-CN"/>
          <w14:textFill>
            <w14:solidFill>
              <w14:schemeClr w14:val="tx1"/>
            </w14:solidFill>
          </w14:textFill>
        </w:rPr>
      </w:pPr>
    </w:p>
    <w:p w14:paraId="78C0207B">
      <w:pPr>
        <w:rPr>
          <w:rFonts w:hint="eastAsia" w:eastAsia="宋体"/>
          <w:color w:val="000000" w:themeColor="text1"/>
          <w:sz w:val="18"/>
          <w:szCs w:val="18"/>
          <w:u w:val="none"/>
          <w:lang w:eastAsia="zh-CN"/>
          <w14:textFill>
            <w14:solidFill>
              <w14:schemeClr w14:val="tx1"/>
            </w14:solidFill>
          </w14:textFill>
        </w:rPr>
      </w:pPr>
    </w:p>
    <w:p w14:paraId="48103827">
      <w:pPr>
        <w:rPr>
          <w:rFonts w:hint="eastAsia" w:eastAsia="宋体"/>
          <w:color w:val="000000" w:themeColor="text1"/>
          <w:sz w:val="18"/>
          <w:szCs w:val="18"/>
          <w:u w:val="none"/>
          <w:lang w:eastAsia="zh-CN"/>
          <w14:textFill>
            <w14:solidFill>
              <w14:schemeClr w14:val="tx1"/>
            </w14:solidFill>
          </w14:textFill>
        </w:rPr>
      </w:pPr>
    </w:p>
    <w:p w14:paraId="72028FC4">
      <w:pPr>
        <w:rPr>
          <w:rFonts w:ascii="宋体" w:hAnsi="宋体"/>
          <w:szCs w:val="21"/>
        </w:rPr>
      </w:pPr>
    </w:p>
    <w:p w14:paraId="51056E35">
      <w:pPr>
        <w:rPr>
          <w:rFonts w:ascii="宋体" w:hAnsi="宋体"/>
          <w:szCs w:val="21"/>
        </w:rPr>
      </w:pPr>
    </w:p>
    <w:p w14:paraId="4CB70194">
      <w:pPr>
        <w:rPr>
          <w:rFonts w:ascii="宋体" w:hAnsi="宋体"/>
          <w:szCs w:val="21"/>
        </w:rPr>
      </w:pPr>
    </w:p>
    <w:tbl>
      <w:tblPr>
        <w:tblStyle w:val="10"/>
        <w:tblpPr w:leftFromText="180" w:rightFromText="180" w:vertAnchor="text" w:horzAnchor="margin" w:tblpXSpec="center" w:tblpY="4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559"/>
        <w:gridCol w:w="10874"/>
      </w:tblGrid>
      <w:tr w14:paraId="40009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392" w:type="dxa"/>
            <w:gridSpan w:val="3"/>
          </w:tcPr>
          <w:p w14:paraId="606DB240">
            <w:pPr>
              <w:jc w:val="center"/>
              <w:rPr>
                <w:rFonts w:ascii="宋体" w:hAnsi="宋体"/>
                <w:b/>
                <w:szCs w:val="21"/>
              </w:rPr>
            </w:pPr>
            <w:r>
              <w:rPr>
                <w:rStyle w:val="16"/>
                <w:rFonts w:hint="eastAsia" w:ascii="宋体" w:hAnsi="宋体" w:eastAsia="宋体" w:cs="宋体"/>
                <w:color w:val="auto"/>
                <w:sz w:val="21"/>
                <w:szCs w:val="21"/>
                <w:lang w:val="en-US" w:eastAsia="zh-CN" w:bidi="ar"/>
              </w:rPr>
              <w:t>▲</w:t>
            </w:r>
            <w:r>
              <w:rPr>
                <w:rFonts w:hint="eastAsia" w:ascii="宋体" w:hAnsi="宋体"/>
                <w:b/>
                <w:szCs w:val="21"/>
              </w:rPr>
              <w:t>商务条款</w:t>
            </w:r>
          </w:p>
        </w:tc>
      </w:tr>
      <w:tr w14:paraId="10EA5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3B11A3E">
            <w:pPr>
              <w:jc w:val="center"/>
              <w:rPr>
                <w:rFonts w:ascii="宋体" w:hAnsi="宋体"/>
                <w:szCs w:val="21"/>
              </w:rPr>
            </w:pPr>
            <w:r>
              <w:rPr>
                <w:rFonts w:hint="eastAsia" w:ascii="宋体" w:hAnsi="宋体"/>
                <w:szCs w:val="21"/>
              </w:rPr>
              <w:t>1</w:t>
            </w:r>
          </w:p>
        </w:tc>
        <w:tc>
          <w:tcPr>
            <w:tcW w:w="1559" w:type="dxa"/>
          </w:tcPr>
          <w:p w14:paraId="3134BD9F">
            <w:pPr>
              <w:rPr>
                <w:rFonts w:ascii="宋体" w:hAnsi="宋体"/>
                <w:sz w:val="24"/>
                <w:szCs w:val="24"/>
              </w:rPr>
            </w:pPr>
            <w:r>
              <w:rPr>
                <w:rFonts w:hint="eastAsia" w:ascii="宋体" w:hAnsi="宋体"/>
                <w:sz w:val="24"/>
                <w:szCs w:val="24"/>
              </w:rPr>
              <w:t>报价要求</w:t>
            </w:r>
          </w:p>
        </w:tc>
        <w:tc>
          <w:tcPr>
            <w:tcW w:w="10874" w:type="dxa"/>
          </w:tcPr>
          <w:p w14:paraId="459944CC">
            <w:pPr>
              <w:rPr>
                <w:rFonts w:ascii="宋体" w:hAnsi="宋体"/>
                <w:sz w:val="24"/>
                <w:szCs w:val="24"/>
              </w:rPr>
            </w:pPr>
            <w:r>
              <w:rPr>
                <w:rFonts w:hint="eastAsia" w:ascii="宋体" w:hAnsi="宋体"/>
                <w:sz w:val="24"/>
                <w:szCs w:val="24"/>
              </w:rPr>
              <w:t>本次报价须为人民币报价，包含：产品价格、运输费（含装卸费）、安装费、税费、产品质保期内维护等费用。对于本文件中明确列明必须报价的货物或服务，供应商应分别报价。采购人未列明的货物或服务，不在供应商报价之内。注：</w:t>
            </w:r>
            <w:r>
              <w:rPr>
                <w:rFonts w:hint="eastAsia" w:ascii="宋体" w:hAnsi="宋体"/>
                <w:w w:val="104"/>
                <w:sz w:val="24"/>
                <w:szCs w:val="24"/>
              </w:rPr>
              <w:t>竞标供应商的投标总报价≤采购预算。</w:t>
            </w:r>
          </w:p>
        </w:tc>
      </w:tr>
      <w:tr w14:paraId="3B600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59" w:type="dxa"/>
          </w:tcPr>
          <w:p w14:paraId="276134F5">
            <w:pPr>
              <w:jc w:val="center"/>
              <w:rPr>
                <w:rFonts w:ascii="宋体" w:hAnsi="宋体"/>
                <w:szCs w:val="21"/>
              </w:rPr>
            </w:pPr>
            <w:r>
              <w:rPr>
                <w:rFonts w:hint="eastAsia" w:ascii="宋体" w:hAnsi="宋体"/>
                <w:szCs w:val="21"/>
              </w:rPr>
              <w:t>2</w:t>
            </w:r>
          </w:p>
        </w:tc>
        <w:tc>
          <w:tcPr>
            <w:tcW w:w="1559" w:type="dxa"/>
          </w:tcPr>
          <w:p w14:paraId="07366142">
            <w:pPr>
              <w:rPr>
                <w:rFonts w:ascii="宋体" w:hAnsi="宋体"/>
                <w:sz w:val="24"/>
                <w:szCs w:val="24"/>
              </w:rPr>
            </w:pPr>
            <w:r>
              <w:rPr>
                <w:rFonts w:hint="eastAsia" w:ascii="宋体" w:hAnsi="宋体"/>
                <w:sz w:val="24"/>
                <w:szCs w:val="24"/>
              </w:rPr>
              <w:t>货物性能要求</w:t>
            </w:r>
          </w:p>
        </w:tc>
        <w:tc>
          <w:tcPr>
            <w:tcW w:w="10874" w:type="dxa"/>
          </w:tcPr>
          <w:p w14:paraId="34FED6DE">
            <w:pPr>
              <w:pStyle w:val="13"/>
              <w:numPr>
                <w:ilvl w:val="0"/>
                <w:numId w:val="5"/>
              </w:numPr>
              <w:ind w:firstLineChars="0"/>
              <w:rPr>
                <w:rFonts w:ascii="宋体" w:hAnsi="宋体"/>
                <w:sz w:val="24"/>
              </w:rPr>
            </w:pPr>
            <w:r>
              <w:rPr>
                <w:rFonts w:hint="eastAsia" w:ascii="宋体" w:hAnsi="宋体"/>
                <w:sz w:val="24"/>
              </w:rPr>
              <w:t>本项目所有货物</w:t>
            </w:r>
            <w:r>
              <w:rPr>
                <w:rFonts w:hint="eastAsia" w:ascii="宋体" w:hAnsi="宋体"/>
                <w:sz w:val="24"/>
                <w:lang w:val="en-US" w:eastAsia="zh-CN"/>
              </w:rPr>
              <w:t>品牌、型号、</w:t>
            </w:r>
            <w:r>
              <w:rPr>
                <w:rFonts w:hint="eastAsia" w:ascii="宋体" w:hAnsi="宋体"/>
                <w:sz w:val="24"/>
              </w:rPr>
              <w:t>规格、技术参数已确定，不得做任何变更，否则视为不响应本采购要求；</w:t>
            </w:r>
          </w:p>
          <w:p w14:paraId="3569D9C5">
            <w:pPr>
              <w:pStyle w:val="13"/>
              <w:numPr>
                <w:ilvl w:val="0"/>
                <w:numId w:val="5"/>
              </w:numPr>
              <w:ind w:firstLineChars="0"/>
              <w:rPr>
                <w:rFonts w:ascii="宋体" w:hAnsi="宋体"/>
                <w:sz w:val="24"/>
              </w:rPr>
            </w:pPr>
            <w:r>
              <w:rPr>
                <w:rFonts w:hint="eastAsia" w:ascii="宋体" w:hAnsi="宋体"/>
                <w:sz w:val="24"/>
              </w:rPr>
              <w:t>对不能满足参数要求、虚假应标的，采购人将上报监督管理部门，由此所产生的的后果由成交供应商自行承担。</w:t>
            </w:r>
          </w:p>
        </w:tc>
      </w:tr>
      <w:tr w14:paraId="0537A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1BE7E6C">
            <w:pPr>
              <w:jc w:val="center"/>
              <w:rPr>
                <w:rFonts w:ascii="宋体" w:hAnsi="宋体"/>
                <w:szCs w:val="21"/>
              </w:rPr>
            </w:pPr>
            <w:r>
              <w:rPr>
                <w:rFonts w:hint="eastAsia" w:ascii="宋体" w:hAnsi="宋体"/>
                <w:szCs w:val="21"/>
              </w:rPr>
              <w:t>3</w:t>
            </w:r>
          </w:p>
        </w:tc>
        <w:tc>
          <w:tcPr>
            <w:tcW w:w="1559" w:type="dxa"/>
          </w:tcPr>
          <w:p w14:paraId="27E8D8FA">
            <w:pPr>
              <w:rPr>
                <w:rFonts w:ascii="宋体" w:hAnsi="宋体"/>
                <w:sz w:val="24"/>
                <w:szCs w:val="24"/>
              </w:rPr>
            </w:pPr>
            <w:r>
              <w:rPr>
                <w:rFonts w:hint="eastAsia" w:ascii="宋体" w:hAnsi="宋体"/>
                <w:sz w:val="24"/>
                <w:szCs w:val="24"/>
              </w:rPr>
              <w:t>交货及安装期要求</w:t>
            </w:r>
          </w:p>
        </w:tc>
        <w:tc>
          <w:tcPr>
            <w:tcW w:w="10874" w:type="dxa"/>
          </w:tcPr>
          <w:p w14:paraId="3163B90D">
            <w:pPr>
              <w:pStyle w:val="13"/>
              <w:numPr>
                <w:ilvl w:val="0"/>
                <w:numId w:val="6"/>
              </w:numPr>
              <w:ind w:firstLineChars="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安装时间是202</w:t>
            </w: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7</w:t>
            </w:r>
            <w:r>
              <w:rPr>
                <w:rFonts w:hint="eastAsia" w:ascii="宋体" w:hAnsi="宋体"/>
                <w:color w:val="000000" w:themeColor="text1"/>
                <w:sz w:val="24"/>
                <w14:textFill>
                  <w14:solidFill>
                    <w14:schemeClr w14:val="tx1"/>
                  </w14:solidFill>
                </w14:textFill>
              </w:rPr>
              <w:t>月份，</w:t>
            </w:r>
            <w:r>
              <w:rPr>
                <w:rFonts w:hint="eastAsia" w:ascii="宋体" w:hAnsi="宋体"/>
                <w:sz w:val="24"/>
              </w:rPr>
              <w:t>成交供应商</w:t>
            </w:r>
            <w:r>
              <w:rPr>
                <w:rFonts w:hint="eastAsia" w:ascii="宋体" w:hAnsi="宋体"/>
                <w:color w:val="000000" w:themeColor="text1"/>
                <w:sz w:val="24"/>
                <w14:textFill>
                  <w14:solidFill>
                    <w14:schemeClr w14:val="tx1"/>
                  </w14:solidFill>
                </w14:textFill>
              </w:rPr>
              <w:t>接到通知后10天内安装完毕</w:t>
            </w:r>
            <w:r>
              <w:rPr>
                <w:rFonts w:ascii="宋体" w:hAnsi="宋体"/>
                <w:color w:val="000000" w:themeColor="text1"/>
                <w:sz w:val="24"/>
                <w14:textFill>
                  <w14:solidFill>
                    <w14:schemeClr w14:val="tx1"/>
                  </w14:solidFill>
                </w14:textFill>
              </w:rPr>
              <w:t>并通过最终验收交付使用。</w:t>
            </w:r>
          </w:p>
          <w:p w14:paraId="61523549">
            <w:pPr>
              <w:pStyle w:val="13"/>
              <w:numPr>
                <w:ilvl w:val="0"/>
                <w:numId w:val="6"/>
              </w:numPr>
              <w:ind w:firstLineChars="0"/>
              <w:rPr>
                <w:rFonts w:ascii="宋体" w:hAnsi="宋体"/>
                <w:sz w:val="24"/>
              </w:rPr>
            </w:pPr>
            <w:r>
              <w:rPr>
                <w:rFonts w:hint="eastAsia" w:ascii="宋体" w:hAnsi="宋体"/>
                <w:spacing w:val="-2"/>
                <w:w w:val="104"/>
                <w:sz w:val="24"/>
              </w:rPr>
              <w:t>成交供应商提供的货物必须是原</w:t>
            </w:r>
            <w:r>
              <w:rPr>
                <w:rFonts w:hint="eastAsia" w:ascii="宋体" w:hAnsi="宋体"/>
                <w:spacing w:val="15"/>
                <w:w w:val="104"/>
                <w:sz w:val="24"/>
              </w:rPr>
              <w:t>厂</w:t>
            </w:r>
            <w:r>
              <w:rPr>
                <w:rFonts w:hint="eastAsia" w:ascii="宋体" w:hAnsi="宋体"/>
                <w:spacing w:val="-3"/>
                <w:w w:val="104"/>
                <w:sz w:val="24"/>
              </w:rPr>
              <w:t>生产全新的</w:t>
            </w:r>
            <w:r>
              <w:rPr>
                <w:rFonts w:hint="eastAsia" w:ascii="宋体" w:hAnsi="宋体"/>
                <w:spacing w:val="-25"/>
                <w:w w:val="104"/>
                <w:sz w:val="24"/>
              </w:rPr>
              <w:t>、</w:t>
            </w:r>
            <w:r>
              <w:rPr>
                <w:rFonts w:hint="eastAsia" w:ascii="宋体" w:hAnsi="宋体"/>
                <w:w w:val="104"/>
                <w:sz w:val="24"/>
              </w:rPr>
              <w:t>完整的</w:t>
            </w:r>
            <w:r>
              <w:rPr>
                <w:rFonts w:hint="eastAsia" w:ascii="宋体" w:hAnsi="宋体"/>
                <w:spacing w:val="-14"/>
                <w:w w:val="104"/>
                <w:sz w:val="24"/>
              </w:rPr>
              <w:t>、</w:t>
            </w:r>
            <w:r>
              <w:rPr>
                <w:rFonts w:hint="eastAsia" w:ascii="宋体" w:hAnsi="宋体"/>
                <w:spacing w:val="-3"/>
                <w:w w:val="104"/>
                <w:sz w:val="24"/>
              </w:rPr>
              <w:t>未使用过的合格产品</w:t>
            </w:r>
            <w:r>
              <w:rPr>
                <w:rFonts w:hint="eastAsia" w:ascii="宋体" w:hAnsi="宋体"/>
                <w:spacing w:val="-49"/>
                <w:w w:val="104"/>
                <w:sz w:val="24"/>
              </w:rPr>
              <w:t>，</w:t>
            </w:r>
            <w:r>
              <w:rPr>
                <w:rFonts w:ascii="宋体" w:hAnsi="宋体"/>
                <w:spacing w:val="-49"/>
                <w:w w:val="104"/>
                <w:sz w:val="24"/>
              </w:rPr>
              <w:t xml:space="preserve"> </w:t>
            </w:r>
            <w:r>
              <w:rPr>
                <w:rFonts w:hint="eastAsia" w:ascii="宋体" w:hAnsi="宋体"/>
                <w:w w:val="104"/>
                <w:sz w:val="24"/>
              </w:rPr>
              <w:t>货物</w:t>
            </w:r>
            <w:r>
              <w:rPr>
                <w:rFonts w:hint="eastAsia" w:ascii="宋体" w:hAnsi="宋体"/>
                <w:spacing w:val="-1"/>
                <w:w w:val="104"/>
                <w:sz w:val="24"/>
              </w:rPr>
              <w:t>质量符合国家相关标准和规范</w:t>
            </w:r>
            <w:r>
              <w:rPr>
                <w:rFonts w:hint="eastAsia" w:ascii="宋体" w:hAnsi="宋体"/>
                <w:spacing w:val="-42"/>
                <w:w w:val="104"/>
                <w:sz w:val="24"/>
              </w:rPr>
              <w:t>，</w:t>
            </w:r>
            <w:r>
              <w:rPr>
                <w:rFonts w:ascii="宋体" w:hAnsi="宋体"/>
                <w:spacing w:val="-42"/>
                <w:w w:val="104"/>
                <w:sz w:val="24"/>
              </w:rPr>
              <w:t xml:space="preserve"> </w:t>
            </w:r>
            <w:r>
              <w:rPr>
                <w:rFonts w:hint="eastAsia" w:ascii="宋体" w:hAnsi="宋体"/>
                <w:spacing w:val="-12"/>
                <w:w w:val="104"/>
                <w:sz w:val="24"/>
              </w:rPr>
              <w:t>具备正规合法经销渠道。所有产品除满足</w:t>
            </w:r>
            <w:r>
              <w:rPr>
                <w:rFonts w:hint="eastAsia" w:ascii="宋体" w:hAnsi="宋体"/>
                <w:spacing w:val="-14"/>
                <w:w w:val="104"/>
                <w:sz w:val="24"/>
              </w:rPr>
              <w:t>上</w:t>
            </w:r>
            <w:r>
              <w:rPr>
                <w:rFonts w:hint="eastAsia" w:ascii="宋体" w:hAnsi="宋体"/>
                <w:spacing w:val="-5"/>
                <w:w w:val="104"/>
                <w:sz w:val="24"/>
              </w:rPr>
              <w:t>表要求的技术</w:t>
            </w:r>
            <w:r>
              <w:rPr>
                <w:rFonts w:hint="eastAsia" w:ascii="宋体" w:hAnsi="宋体"/>
                <w:spacing w:val="-1"/>
                <w:w w:val="104"/>
                <w:sz w:val="24"/>
              </w:rPr>
              <w:t>参数外</w:t>
            </w:r>
            <w:r>
              <w:rPr>
                <w:rFonts w:hint="eastAsia" w:ascii="宋体" w:hAnsi="宋体"/>
                <w:spacing w:val="5"/>
                <w:w w:val="104"/>
                <w:sz w:val="24"/>
              </w:rPr>
              <w:t>，</w:t>
            </w:r>
            <w:r>
              <w:rPr>
                <w:rFonts w:hint="eastAsia" w:ascii="宋体" w:hAnsi="宋体"/>
                <w:spacing w:val="-9"/>
                <w:w w:val="104"/>
                <w:sz w:val="24"/>
              </w:rPr>
              <w:t>其余均按国家标准及生产</w:t>
            </w:r>
            <w:r>
              <w:rPr>
                <w:rFonts w:hint="eastAsia" w:ascii="宋体" w:hAnsi="宋体"/>
                <w:spacing w:val="2"/>
                <w:w w:val="104"/>
                <w:sz w:val="24"/>
              </w:rPr>
              <w:t>厂</w:t>
            </w:r>
            <w:r>
              <w:rPr>
                <w:rFonts w:hint="eastAsia" w:ascii="宋体" w:hAnsi="宋体"/>
                <w:spacing w:val="5"/>
                <w:w w:val="104"/>
                <w:sz w:val="24"/>
              </w:rPr>
              <w:t>家出厂</w:t>
            </w:r>
            <w:r>
              <w:rPr>
                <w:rFonts w:hint="eastAsia" w:ascii="宋体" w:hAnsi="宋体"/>
                <w:spacing w:val="-2"/>
                <w:w w:val="104"/>
                <w:sz w:val="24"/>
              </w:rPr>
              <w:t>标准配置。成交供应商提供的货物</w:t>
            </w:r>
            <w:r>
              <w:rPr>
                <w:rFonts w:hint="eastAsia" w:ascii="宋体" w:hAnsi="宋体"/>
                <w:spacing w:val="10"/>
                <w:w w:val="104"/>
                <w:sz w:val="24"/>
              </w:rPr>
              <w:t>规格</w:t>
            </w:r>
            <w:r>
              <w:rPr>
                <w:rFonts w:hint="eastAsia" w:ascii="宋体" w:hAnsi="宋体"/>
                <w:spacing w:val="16"/>
                <w:w w:val="104"/>
                <w:sz w:val="24"/>
              </w:rPr>
              <w:t>、</w:t>
            </w:r>
            <w:r>
              <w:rPr>
                <w:rFonts w:hint="eastAsia" w:ascii="宋体" w:hAnsi="宋体"/>
                <w:spacing w:val="-2"/>
                <w:w w:val="104"/>
                <w:sz w:val="24"/>
              </w:rPr>
              <w:t>技术参数</w:t>
            </w:r>
            <w:r>
              <w:rPr>
                <w:rFonts w:hint="eastAsia" w:ascii="宋体" w:hAnsi="宋体"/>
                <w:w w:val="104"/>
                <w:sz w:val="24"/>
              </w:rPr>
              <w:t>、质量不符合合同规定及采购需求</w:t>
            </w:r>
            <w:r>
              <w:rPr>
                <w:rFonts w:hint="eastAsia" w:ascii="宋体" w:hAnsi="宋体"/>
                <w:spacing w:val="-30"/>
                <w:w w:val="104"/>
                <w:sz w:val="24"/>
              </w:rPr>
              <w:t>规定标准的</w:t>
            </w:r>
            <w:r>
              <w:rPr>
                <w:rFonts w:hint="eastAsia" w:ascii="宋体" w:hAnsi="宋体"/>
                <w:spacing w:val="15"/>
                <w:w w:val="104"/>
                <w:sz w:val="24"/>
              </w:rPr>
              <w:t>，</w:t>
            </w:r>
            <w:r>
              <w:rPr>
                <w:rFonts w:ascii="宋体" w:hAnsi="宋体"/>
                <w:spacing w:val="15"/>
                <w:w w:val="104"/>
                <w:sz w:val="24"/>
              </w:rPr>
              <w:t xml:space="preserve"> </w:t>
            </w:r>
            <w:r>
              <w:rPr>
                <w:rFonts w:hint="eastAsia" w:ascii="宋体" w:hAnsi="宋体"/>
                <w:w w:val="104"/>
                <w:sz w:val="24"/>
              </w:rPr>
              <w:t>采购人有权拒收该货物。</w:t>
            </w:r>
            <w:r>
              <w:rPr>
                <w:rFonts w:hint="eastAsia" w:ascii="宋体" w:hAnsi="宋体"/>
                <w:spacing w:val="1"/>
                <w:sz w:val="24"/>
              </w:rPr>
              <w:t>成交供应商拒绝更换货物的，</w:t>
            </w:r>
            <w:r>
              <w:rPr>
                <w:rFonts w:hint="eastAsia" w:ascii="宋体" w:hAnsi="宋体"/>
                <w:spacing w:val="-2"/>
                <w:sz w:val="24"/>
              </w:rPr>
              <w:t>采购人可单方面解除合同</w:t>
            </w:r>
            <w:r>
              <w:rPr>
                <w:rFonts w:hint="eastAsia" w:ascii="宋体" w:hAnsi="宋体"/>
                <w:spacing w:val="6"/>
                <w:sz w:val="24"/>
              </w:rPr>
              <w:t>，</w:t>
            </w:r>
            <w:r>
              <w:rPr>
                <w:rFonts w:ascii="宋体" w:hAnsi="宋体"/>
                <w:spacing w:val="6"/>
                <w:sz w:val="24"/>
              </w:rPr>
              <w:t xml:space="preserve"> </w:t>
            </w:r>
            <w:r>
              <w:rPr>
                <w:rFonts w:hint="eastAsia" w:ascii="宋体" w:hAnsi="宋体"/>
                <w:sz w:val="24"/>
              </w:rPr>
              <w:t>并有权要求成交供应商赔偿经济损失。</w:t>
            </w:r>
          </w:p>
          <w:p w14:paraId="7F5A7AC9">
            <w:pPr>
              <w:pStyle w:val="13"/>
              <w:numPr>
                <w:ilvl w:val="0"/>
                <w:numId w:val="6"/>
              </w:numPr>
              <w:ind w:firstLineChars="0"/>
              <w:rPr>
                <w:rFonts w:ascii="宋体" w:hAnsi="宋体"/>
                <w:sz w:val="24"/>
              </w:rPr>
            </w:pPr>
            <w:r>
              <w:rPr>
                <w:rFonts w:hint="eastAsia" w:ascii="宋体" w:hAnsi="宋体"/>
                <w:sz w:val="24"/>
              </w:rPr>
              <w:t>本次采购的货物必须是成交供应商免费送货上门并提供免费安装，不接受物流快递发货以及远程指导安装，否则采购人有权取消合同。</w:t>
            </w:r>
          </w:p>
          <w:p w14:paraId="219F92A0">
            <w:pPr>
              <w:pStyle w:val="13"/>
              <w:numPr>
                <w:ilvl w:val="0"/>
                <w:numId w:val="6"/>
              </w:numPr>
              <w:ind w:firstLineChars="0"/>
              <w:rPr>
                <w:rFonts w:ascii="宋体" w:hAnsi="宋体"/>
                <w:sz w:val="24"/>
              </w:rPr>
            </w:pPr>
            <w:r>
              <w:rPr>
                <w:rFonts w:hint="eastAsia" w:ascii="宋体" w:hAnsi="宋体"/>
                <w:sz w:val="24"/>
              </w:rPr>
              <w:t>如不能按期交货和安装完毕，则视为违约，造成的一切损失由成交供应商承担。成交供应商提供的货物及服务不满足在</w:t>
            </w:r>
            <w:r>
              <w:rPr>
                <w:rFonts w:hint="eastAsia" w:ascii="宋体" w:hAnsi="宋体"/>
                <w:sz w:val="24"/>
                <w:lang w:val="en-US" w:eastAsia="zh-CN"/>
              </w:rPr>
              <w:t>采购</w:t>
            </w:r>
            <w:r>
              <w:rPr>
                <w:rFonts w:hint="eastAsia" w:ascii="宋体" w:hAnsi="宋体"/>
                <w:sz w:val="24"/>
              </w:rPr>
              <w:t>文件要求而导致最终验收不合格的</w:t>
            </w:r>
            <w:r>
              <w:rPr>
                <w:rFonts w:hint="eastAsia" w:ascii="宋体" w:hAnsi="宋体"/>
                <w:spacing w:val="7"/>
                <w:sz w:val="24"/>
              </w:rPr>
              <w:t>，</w:t>
            </w:r>
            <w:r>
              <w:rPr>
                <w:rFonts w:hint="eastAsia" w:ascii="宋体" w:hAnsi="宋体"/>
                <w:spacing w:val="3"/>
                <w:sz w:val="24"/>
              </w:rPr>
              <w:t>采购人有权解除合同并追究成交供应商的法律责任。</w:t>
            </w:r>
          </w:p>
        </w:tc>
      </w:tr>
      <w:tr w14:paraId="5156E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FBF16C">
            <w:pPr>
              <w:jc w:val="center"/>
              <w:rPr>
                <w:rFonts w:ascii="宋体" w:hAnsi="宋体"/>
                <w:szCs w:val="21"/>
              </w:rPr>
            </w:pPr>
            <w:r>
              <w:rPr>
                <w:rFonts w:hint="eastAsia" w:ascii="宋体" w:hAnsi="宋体"/>
                <w:szCs w:val="21"/>
              </w:rPr>
              <w:t>4</w:t>
            </w:r>
          </w:p>
        </w:tc>
        <w:tc>
          <w:tcPr>
            <w:tcW w:w="1559" w:type="dxa"/>
          </w:tcPr>
          <w:p w14:paraId="5CA92185">
            <w:pPr>
              <w:rPr>
                <w:rFonts w:ascii="宋体" w:hAnsi="宋体"/>
                <w:sz w:val="24"/>
                <w:szCs w:val="24"/>
              </w:rPr>
            </w:pPr>
            <w:r>
              <w:rPr>
                <w:rFonts w:hint="eastAsia" w:ascii="宋体" w:hAnsi="宋体"/>
                <w:sz w:val="24"/>
                <w:szCs w:val="24"/>
              </w:rPr>
              <w:t>交货及安装地点</w:t>
            </w:r>
          </w:p>
        </w:tc>
        <w:tc>
          <w:tcPr>
            <w:tcW w:w="10874" w:type="dxa"/>
          </w:tcPr>
          <w:p w14:paraId="36B7A188">
            <w:pPr>
              <w:rPr>
                <w:rFonts w:ascii="宋体" w:hAnsi="宋体"/>
                <w:sz w:val="24"/>
                <w:szCs w:val="24"/>
              </w:rPr>
            </w:pPr>
            <w:r>
              <w:rPr>
                <w:rFonts w:hint="eastAsia" w:ascii="宋体" w:hAnsi="宋体"/>
                <w:sz w:val="24"/>
                <w:szCs w:val="24"/>
              </w:rPr>
              <w:t>采购人指定地点。</w:t>
            </w:r>
          </w:p>
        </w:tc>
      </w:tr>
      <w:tr w14:paraId="47CDB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8B5F562">
            <w:pPr>
              <w:jc w:val="center"/>
              <w:rPr>
                <w:rFonts w:ascii="宋体" w:hAnsi="宋体"/>
                <w:szCs w:val="21"/>
              </w:rPr>
            </w:pPr>
            <w:r>
              <w:rPr>
                <w:rFonts w:hint="eastAsia" w:ascii="宋体" w:hAnsi="宋体"/>
                <w:szCs w:val="21"/>
              </w:rPr>
              <w:t>5</w:t>
            </w:r>
          </w:p>
        </w:tc>
        <w:tc>
          <w:tcPr>
            <w:tcW w:w="1559" w:type="dxa"/>
          </w:tcPr>
          <w:p w14:paraId="5315C987">
            <w:pPr>
              <w:rPr>
                <w:rFonts w:ascii="宋体" w:hAnsi="宋体"/>
                <w:sz w:val="24"/>
                <w:szCs w:val="24"/>
              </w:rPr>
            </w:pPr>
            <w:r>
              <w:rPr>
                <w:rFonts w:hint="eastAsia" w:ascii="宋体" w:hAnsi="宋体"/>
                <w:sz w:val="24"/>
                <w:szCs w:val="24"/>
              </w:rPr>
              <w:t>验收</w:t>
            </w:r>
          </w:p>
        </w:tc>
        <w:tc>
          <w:tcPr>
            <w:tcW w:w="10874" w:type="dxa"/>
          </w:tcPr>
          <w:p w14:paraId="40B15BFD">
            <w:pPr>
              <w:pStyle w:val="13"/>
              <w:numPr>
                <w:ilvl w:val="0"/>
                <w:numId w:val="7"/>
              </w:numPr>
              <w:ind w:firstLineChars="0"/>
              <w:rPr>
                <w:rFonts w:ascii="宋体" w:hAnsi="宋体"/>
                <w:sz w:val="24"/>
              </w:rPr>
            </w:pPr>
            <w:r>
              <w:rPr>
                <w:rFonts w:hint="eastAsia" w:ascii="宋体" w:hAnsi="宋体"/>
                <w:sz w:val="24"/>
              </w:rPr>
              <w:t>初步验收：货物运抵采购人指定地点后，采购人对成交供应商提交的货物依据本合同及</w:t>
            </w:r>
            <w:r>
              <w:rPr>
                <w:rFonts w:hint="eastAsia" w:ascii="宋体" w:hAnsi="宋体"/>
                <w:sz w:val="24"/>
                <w:lang w:eastAsia="zh-CN"/>
              </w:rPr>
              <w:t>采购文件</w:t>
            </w:r>
            <w:r>
              <w:rPr>
                <w:rFonts w:hint="eastAsia" w:ascii="宋体" w:hAnsi="宋体"/>
                <w:sz w:val="24"/>
              </w:rPr>
              <w:t>上的技术规格要求和国家有关质量标准进行现场初步验收，外观、说明书符合</w:t>
            </w:r>
            <w:r>
              <w:rPr>
                <w:rFonts w:hint="eastAsia" w:ascii="宋体" w:hAnsi="宋体"/>
                <w:sz w:val="24"/>
                <w:lang w:eastAsia="zh-CN"/>
              </w:rPr>
              <w:t>采购文件</w:t>
            </w:r>
            <w:r>
              <w:rPr>
                <w:rFonts w:hint="eastAsia" w:ascii="宋体" w:hAnsi="宋体"/>
                <w:sz w:val="24"/>
              </w:rPr>
              <w:t>技术要求的，给予签收，初步验收不合格的不予签收。如发生所供货物与合同约定不符，采购人有权退货或要求成交供应商进行更换、补齐，因此造成逾期交货的，成交供应商应承担逾期交货的违约责任。成交供应商应在接到采购人要求后 10 日内予以补救，所产生的费用及法律后果由成交供应商承担。</w:t>
            </w:r>
          </w:p>
          <w:p w14:paraId="0759C221">
            <w:pPr>
              <w:pStyle w:val="13"/>
              <w:numPr>
                <w:ilvl w:val="0"/>
                <w:numId w:val="7"/>
              </w:numPr>
              <w:ind w:firstLineChars="0"/>
              <w:rPr>
                <w:rFonts w:ascii="宋体" w:hAnsi="宋体"/>
                <w:sz w:val="24"/>
              </w:rPr>
            </w:pPr>
            <w:r>
              <w:rPr>
                <w:rFonts w:hint="eastAsia" w:ascii="宋体" w:hAnsi="宋体"/>
                <w:sz w:val="24"/>
              </w:rPr>
              <w:t>最终验收：货物经安装完成且符合技术要求后，采购人进行最终验收。验收时成交供应商必须在现场。货物符合合同约定的技术规范要求和验收标准的，采购人签署验收合格证明。如货物不符合合同约定的要求的，成交供应商应当在 10 日内采取措施消除缺陷后重新申请终验，并承担由此产生的费用。</w:t>
            </w:r>
          </w:p>
        </w:tc>
      </w:tr>
      <w:tr w14:paraId="78EB3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B0C48F5">
            <w:pPr>
              <w:jc w:val="center"/>
              <w:rPr>
                <w:rFonts w:ascii="宋体" w:hAnsi="宋体"/>
                <w:szCs w:val="21"/>
              </w:rPr>
            </w:pPr>
            <w:r>
              <w:rPr>
                <w:rFonts w:hint="eastAsia" w:ascii="宋体" w:hAnsi="宋体"/>
                <w:szCs w:val="21"/>
              </w:rPr>
              <w:t>6</w:t>
            </w:r>
          </w:p>
        </w:tc>
        <w:tc>
          <w:tcPr>
            <w:tcW w:w="1559" w:type="dxa"/>
          </w:tcPr>
          <w:p w14:paraId="51122C74">
            <w:pPr>
              <w:rPr>
                <w:rFonts w:ascii="宋体" w:hAnsi="宋体"/>
                <w:sz w:val="24"/>
                <w:szCs w:val="24"/>
              </w:rPr>
            </w:pPr>
            <w:r>
              <w:rPr>
                <w:rFonts w:hint="eastAsia" w:ascii="宋体" w:hAnsi="宋体"/>
                <w:sz w:val="24"/>
                <w:szCs w:val="24"/>
              </w:rPr>
              <w:t>货款结算</w:t>
            </w:r>
          </w:p>
        </w:tc>
        <w:tc>
          <w:tcPr>
            <w:tcW w:w="10874" w:type="dxa"/>
          </w:tcPr>
          <w:p w14:paraId="79DEE159">
            <w:pPr>
              <w:rPr>
                <w:rFonts w:ascii="宋体" w:hAnsi="宋体"/>
                <w:sz w:val="24"/>
                <w:szCs w:val="24"/>
              </w:rPr>
            </w:pPr>
            <w:r>
              <w:rPr>
                <w:rFonts w:hint="eastAsia" w:ascii="宋体" w:hAnsi="宋体"/>
                <w:sz w:val="24"/>
                <w:szCs w:val="24"/>
              </w:rPr>
              <w:t>一次性支付：本合同项下的全部货物经最终验收合格后 15 个工作日内，采购人凭成交供应商开具的全额发票向成交供应商支付全部合同价款。</w:t>
            </w:r>
          </w:p>
        </w:tc>
      </w:tr>
      <w:tr w14:paraId="18FD1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59" w:type="dxa"/>
          </w:tcPr>
          <w:p w14:paraId="34544B2F">
            <w:pPr>
              <w:jc w:val="center"/>
              <w:rPr>
                <w:rFonts w:ascii="宋体" w:hAnsi="宋体"/>
                <w:szCs w:val="21"/>
              </w:rPr>
            </w:pPr>
            <w:r>
              <w:rPr>
                <w:rFonts w:hint="eastAsia" w:ascii="宋体" w:hAnsi="宋体"/>
                <w:szCs w:val="21"/>
              </w:rPr>
              <w:t>7</w:t>
            </w:r>
          </w:p>
        </w:tc>
        <w:tc>
          <w:tcPr>
            <w:tcW w:w="1559" w:type="dxa"/>
          </w:tcPr>
          <w:p w14:paraId="3B7ADE4C">
            <w:pPr>
              <w:rPr>
                <w:rFonts w:ascii="宋体" w:hAnsi="宋体"/>
                <w:sz w:val="24"/>
                <w:szCs w:val="24"/>
              </w:rPr>
            </w:pPr>
            <w:r>
              <w:rPr>
                <w:rFonts w:hint="eastAsia" w:ascii="宋体" w:hAnsi="宋体"/>
                <w:sz w:val="24"/>
                <w:szCs w:val="24"/>
              </w:rPr>
              <w:t>质保期</w:t>
            </w:r>
          </w:p>
        </w:tc>
        <w:tc>
          <w:tcPr>
            <w:tcW w:w="10874" w:type="dxa"/>
          </w:tcPr>
          <w:p w14:paraId="15C011F9">
            <w:pPr>
              <w:tabs>
                <w:tab w:val="center" w:pos="4153"/>
                <w:tab w:val="right" w:pos="8306"/>
              </w:tabs>
              <w:snapToGrid w:val="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质保期自货物最终验收合格之日起计算，不少于</w:t>
            </w:r>
            <w:r>
              <w:rPr>
                <w:rFonts w:hint="eastAsia" w:ascii="宋体" w:hAnsi="宋体"/>
                <w:sz w:val="24"/>
                <w:szCs w:val="24"/>
                <w:lang w:val="en-US" w:eastAsia="zh-CN"/>
              </w:rPr>
              <w:t>3</w:t>
            </w:r>
            <w:r>
              <w:rPr>
                <w:rFonts w:hint="eastAsia" w:ascii="宋体" w:hAnsi="宋体"/>
                <w:color w:val="000000" w:themeColor="text1"/>
                <w:sz w:val="24"/>
                <w:szCs w:val="24"/>
                <w14:textFill>
                  <w14:solidFill>
                    <w14:schemeClr w14:val="tx1"/>
                  </w14:solidFill>
                </w14:textFill>
              </w:rPr>
              <w:t>年，质保期内免费上门维修，免费更换零部件。</w:t>
            </w:r>
          </w:p>
        </w:tc>
      </w:tr>
      <w:tr w14:paraId="216DE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C62F5C3">
            <w:pPr>
              <w:jc w:val="center"/>
              <w:rPr>
                <w:rFonts w:ascii="宋体" w:hAnsi="宋体"/>
                <w:szCs w:val="21"/>
              </w:rPr>
            </w:pPr>
            <w:r>
              <w:rPr>
                <w:rFonts w:hint="eastAsia" w:ascii="宋体" w:hAnsi="宋体"/>
                <w:szCs w:val="21"/>
              </w:rPr>
              <w:t>8</w:t>
            </w:r>
          </w:p>
        </w:tc>
        <w:tc>
          <w:tcPr>
            <w:tcW w:w="1559" w:type="dxa"/>
          </w:tcPr>
          <w:p w14:paraId="5BC54449">
            <w:pPr>
              <w:rPr>
                <w:rFonts w:ascii="宋体" w:hAnsi="宋体"/>
                <w:sz w:val="24"/>
                <w:szCs w:val="24"/>
              </w:rPr>
            </w:pPr>
            <w:r>
              <w:rPr>
                <w:rFonts w:hint="eastAsia" w:ascii="宋体" w:hAnsi="宋体"/>
                <w:sz w:val="24"/>
                <w:szCs w:val="24"/>
              </w:rPr>
              <w:t>售后服务要求</w:t>
            </w:r>
          </w:p>
        </w:tc>
        <w:tc>
          <w:tcPr>
            <w:tcW w:w="10874" w:type="dxa"/>
          </w:tcPr>
          <w:p w14:paraId="79AF2BF9">
            <w:pPr>
              <w:pStyle w:val="13"/>
              <w:numPr>
                <w:ilvl w:val="0"/>
                <w:numId w:val="8"/>
              </w:numPr>
              <w:tabs>
                <w:tab w:val="center" w:pos="4153"/>
                <w:tab w:val="right" w:pos="8306"/>
              </w:tabs>
              <w:snapToGrid w:val="0"/>
              <w:ind w:firstLineChars="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为确保货物质量，报价人必须提供售后服务承诺书原件（加盖公章），如无法提供的，视为虚假应标，取消成交资格。</w:t>
            </w:r>
          </w:p>
          <w:p w14:paraId="328C3E86">
            <w:pPr>
              <w:pStyle w:val="13"/>
              <w:numPr>
                <w:ilvl w:val="0"/>
                <w:numId w:val="8"/>
              </w:numPr>
              <w:tabs>
                <w:tab w:val="center" w:pos="4153"/>
                <w:tab w:val="right" w:pos="8306"/>
              </w:tabs>
              <w:snapToGrid w:val="0"/>
              <w:ind w:firstLineChars="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整体安装完毕，最终验收合格之日起，质保期内所有货物免费上门维修服务、免费更换零部件，更换所用货物不得低于竞标标准。质保期满后，如需更换货物零部件，成交供应商须保证提供优惠价格的配件和服务。</w:t>
            </w:r>
          </w:p>
          <w:p w14:paraId="3814985C">
            <w:pPr>
              <w:pStyle w:val="13"/>
              <w:numPr>
                <w:ilvl w:val="0"/>
                <w:numId w:val="8"/>
              </w:numPr>
              <w:tabs>
                <w:tab w:val="center" w:pos="4153"/>
                <w:tab w:val="right" w:pos="8306"/>
              </w:tabs>
              <w:snapToGrid w:val="0"/>
              <w:ind w:firstLineChars="0"/>
              <w:jc w:val="left"/>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质保期内货物非因人为及不可抗拒因素的原因而引起损坏或质量问题，成交供应商应免费予以技术服务、维修或设备更换，并承担相应费用和零部件的费用，因人为因素出现的故障不在免费保修范围内，成交供应商也要积极帮助采购人修理，并提供优惠价格的配件和服务；</w:t>
            </w:r>
          </w:p>
          <w:p w14:paraId="458DBC0D">
            <w:pPr>
              <w:pStyle w:val="13"/>
              <w:numPr>
                <w:ilvl w:val="0"/>
                <w:numId w:val="8"/>
              </w:numPr>
              <w:tabs>
                <w:tab w:val="center" w:pos="4153"/>
                <w:tab w:val="right" w:pos="8306"/>
              </w:tabs>
              <w:snapToGrid w:val="0"/>
              <w:ind w:firstLineChars="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应充分考虑供货成本及参数要求再进行报价，如投标人低价恶意竞价、且成交后无法按要求提供货物或者所供货物及资质要求无法满足参数要求的，采购人将按虚假竞标处理，并保留因耽误采购人使用时间造成的损失进行赔偿的权利，通过报备政采云平台及财政厅监管部门，并按规定对投标人公司予以处罚和进行网上通报处理，追究投标人的法律责任，由此引发的一切后果由投标人承担。</w:t>
            </w:r>
          </w:p>
        </w:tc>
      </w:tr>
      <w:tr w14:paraId="602CF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E71C878">
            <w:pPr>
              <w:jc w:val="center"/>
              <w:rPr>
                <w:rFonts w:ascii="宋体" w:hAnsi="宋体"/>
                <w:szCs w:val="21"/>
              </w:rPr>
            </w:pPr>
            <w:r>
              <w:rPr>
                <w:rFonts w:hint="eastAsia" w:ascii="宋体" w:hAnsi="宋体"/>
                <w:szCs w:val="21"/>
              </w:rPr>
              <w:t>9</w:t>
            </w:r>
          </w:p>
        </w:tc>
        <w:tc>
          <w:tcPr>
            <w:tcW w:w="1559" w:type="dxa"/>
          </w:tcPr>
          <w:p w14:paraId="67BD854A">
            <w:pPr>
              <w:rPr>
                <w:rFonts w:ascii="宋体" w:hAnsi="宋体"/>
                <w:sz w:val="24"/>
                <w:szCs w:val="24"/>
              </w:rPr>
            </w:pPr>
            <w:r>
              <w:rPr>
                <w:rFonts w:hint="eastAsia" w:ascii="宋体" w:hAnsi="宋体"/>
                <w:sz w:val="24"/>
                <w:szCs w:val="24"/>
              </w:rPr>
              <w:t>违约责任</w:t>
            </w:r>
          </w:p>
        </w:tc>
        <w:tc>
          <w:tcPr>
            <w:tcW w:w="10874" w:type="dxa"/>
          </w:tcPr>
          <w:p w14:paraId="672E1210">
            <w:pPr>
              <w:rPr>
                <w:rFonts w:ascii="宋体" w:hAnsi="宋体"/>
                <w:sz w:val="24"/>
                <w:szCs w:val="24"/>
              </w:rPr>
            </w:pPr>
            <w:r>
              <w:rPr>
                <w:rFonts w:hint="eastAsia" w:ascii="宋体" w:hAnsi="宋体"/>
                <w:sz w:val="24"/>
                <w:szCs w:val="24"/>
              </w:rPr>
              <w:t>1、本</w:t>
            </w:r>
            <w:r>
              <w:rPr>
                <w:rFonts w:hint="eastAsia" w:ascii="宋体" w:hAnsi="宋体"/>
                <w:sz w:val="24"/>
                <w:szCs w:val="24"/>
                <w:lang w:val="en-US" w:eastAsia="zh-CN"/>
              </w:rPr>
              <w:t>采购</w:t>
            </w:r>
            <w:r>
              <w:rPr>
                <w:rFonts w:hint="eastAsia" w:ascii="宋体" w:hAnsi="宋体"/>
                <w:sz w:val="24"/>
                <w:szCs w:val="24"/>
              </w:rPr>
              <w:t>文件项下的货物在交货、安装、验收及质保期等任何阶段内不符合合同约定的技术规范要求和验收标准的，采购人有权向成交供应商索赔并选择下列一项或多项补救措施：</w:t>
            </w:r>
          </w:p>
          <w:p w14:paraId="79FBA6EC">
            <w:pPr>
              <w:rPr>
                <w:rFonts w:ascii="宋体" w:hAnsi="宋体"/>
                <w:sz w:val="24"/>
                <w:szCs w:val="24"/>
              </w:rPr>
            </w:pPr>
            <w:r>
              <w:rPr>
                <w:rFonts w:hint="eastAsia" w:ascii="宋体" w:hAnsi="宋体"/>
                <w:sz w:val="24"/>
                <w:szCs w:val="24"/>
              </w:rPr>
              <w:t>（1）由成交供应商采取措施消除货物缺陷或不符合合同之处，如果成交供应商不能及时消除缺陷，采购人有权自行消除缺陷或不符合合同之处，由此产生的一切费用均由成交供应商承担。</w:t>
            </w:r>
          </w:p>
          <w:p w14:paraId="446BAD82">
            <w:pPr>
              <w:rPr>
                <w:rFonts w:ascii="宋体" w:hAnsi="宋体"/>
                <w:sz w:val="24"/>
                <w:szCs w:val="24"/>
              </w:rPr>
            </w:pPr>
            <w:r>
              <w:rPr>
                <w:rFonts w:hint="eastAsia" w:ascii="宋体" w:hAnsi="宋体"/>
                <w:sz w:val="24"/>
                <w:szCs w:val="24"/>
              </w:rPr>
              <w:t>（2）由成交供应商在接到采购人通知后 10 日内用符合合同规定的规格、质量和性能要求的新零件、部件和货物更换有缺陷的设备或用新的技术资料替换有错误的技术资料或补供遗漏的货物或技术资料等，成交供应商应承担一切费用和风险并负担给采购人造成的全部损失。</w:t>
            </w:r>
          </w:p>
          <w:p w14:paraId="4024A492">
            <w:pPr>
              <w:rPr>
                <w:rFonts w:ascii="宋体" w:hAnsi="宋体"/>
                <w:sz w:val="24"/>
                <w:szCs w:val="24"/>
              </w:rPr>
            </w:pPr>
            <w:r>
              <w:rPr>
                <w:rFonts w:hint="eastAsia" w:ascii="宋体" w:hAnsi="宋体"/>
                <w:sz w:val="24"/>
                <w:szCs w:val="24"/>
              </w:rPr>
              <w:t>（3）根据货物的低劣程度、损坏程度以及采购人所遭受损失的数额，成交供应商必须降低货物的价格。</w:t>
            </w:r>
          </w:p>
          <w:p w14:paraId="6594BBF4">
            <w:pPr>
              <w:rPr>
                <w:rFonts w:ascii="宋体" w:hAnsi="宋体"/>
                <w:sz w:val="24"/>
                <w:szCs w:val="24"/>
              </w:rPr>
            </w:pPr>
            <w:r>
              <w:rPr>
                <w:rFonts w:hint="eastAsia" w:ascii="宋体" w:hAnsi="宋体"/>
                <w:sz w:val="24"/>
                <w:szCs w:val="24"/>
              </w:rPr>
              <w:t>（4）退货，成交供应商应退还采购人支付的全部合同款，同时应承担该货物的直接费用（运输、保险、检验、货款利息及银行手续费等）。</w:t>
            </w:r>
          </w:p>
          <w:p w14:paraId="3119EEA5">
            <w:pPr>
              <w:rPr>
                <w:rFonts w:ascii="宋体" w:hAnsi="宋体"/>
                <w:sz w:val="24"/>
                <w:szCs w:val="24"/>
              </w:rPr>
            </w:pPr>
            <w:r>
              <w:rPr>
                <w:rFonts w:hint="eastAsia" w:ascii="宋体" w:hAnsi="宋体"/>
                <w:sz w:val="24"/>
                <w:szCs w:val="24"/>
              </w:rPr>
              <w:t>2、成交供应商逾期交付货物的，每逾期一日，应按逾期交货总额3‰向采购人支付违约金。逾期超过约定日期 17 个工作日不能交货的，采购人有权解除本合同，并要求成交供应商支付合同总额 20 %的违约金。</w:t>
            </w:r>
          </w:p>
          <w:p w14:paraId="5EC6DD90">
            <w:pPr>
              <w:rPr>
                <w:rFonts w:ascii="宋体" w:hAnsi="宋体"/>
                <w:sz w:val="24"/>
                <w:szCs w:val="24"/>
              </w:rPr>
            </w:pPr>
            <w:r>
              <w:rPr>
                <w:rFonts w:hint="eastAsia" w:ascii="宋体" w:hAnsi="宋体"/>
                <w:sz w:val="24"/>
                <w:szCs w:val="24"/>
              </w:rPr>
              <w:t>3、成交供应商所交付的货物规格、技术参数、质量不符合合同规定及在</w:t>
            </w:r>
            <w:r>
              <w:rPr>
                <w:rFonts w:hint="eastAsia" w:ascii="宋体" w:hAnsi="宋体"/>
                <w:sz w:val="24"/>
                <w:szCs w:val="24"/>
                <w:lang w:val="en-US" w:eastAsia="zh-CN"/>
              </w:rPr>
              <w:t>采购</w:t>
            </w:r>
            <w:r>
              <w:rPr>
                <w:rFonts w:hint="eastAsia" w:ascii="宋体" w:hAnsi="宋体"/>
                <w:sz w:val="24"/>
                <w:szCs w:val="24"/>
              </w:rPr>
              <w:t>文件规定标准的，采购人有权拒收该货物，成交供应商愿意更换货物但逾期交货的，按成交供应商逾期交货处理。成交供应商拒绝更换货物的，采购人可单方面解除合同，并要求成交供应商支付合同总值 20 %的违约金，违约金不足以弥补采购人损失的，成交供应商还应负责赔偿。</w:t>
            </w:r>
          </w:p>
          <w:p w14:paraId="68E94E67">
            <w:pPr>
              <w:rPr>
                <w:rFonts w:ascii="宋体" w:hAnsi="宋体"/>
                <w:sz w:val="24"/>
                <w:szCs w:val="24"/>
              </w:rPr>
            </w:pPr>
            <w:r>
              <w:rPr>
                <w:rFonts w:hint="eastAsia" w:ascii="宋体" w:hAnsi="宋体"/>
                <w:sz w:val="24"/>
                <w:szCs w:val="24"/>
              </w:rPr>
              <w:t>4、成交供应商未能按约定要求履行保修义务的，每发生一次应向采购人支付合同金额的5</w:t>
            </w:r>
            <w:r>
              <w:rPr>
                <w:rFonts w:ascii="宋体" w:hAnsi="宋体"/>
                <w:sz w:val="24"/>
                <w:szCs w:val="24"/>
              </w:rPr>
              <w:t>%</w:t>
            </w:r>
            <w:r>
              <w:rPr>
                <w:rFonts w:hint="eastAsia" w:ascii="宋体" w:hAnsi="宋体"/>
                <w:sz w:val="24"/>
                <w:szCs w:val="24"/>
              </w:rPr>
              <w:t>违约金，同时，采购人有权委托第三方进行保修，所产生的费用由成交供应商承担。若因货物缺陷或成交供应商服务质量等问题造成采购人或任何人员人身、财产损害的，成交供应商应承担有关责任并作出相应赔偿。</w:t>
            </w:r>
          </w:p>
        </w:tc>
      </w:tr>
      <w:tr w14:paraId="61AAB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9E3F5D">
            <w:pPr>
              <w:jc w:val="center"/>
              <w:rPr>
                <w:rFonts w:hint="default" w:ascii="宋体" w:hAnsi="宋体" w:eastAsia="宋体"/>
                <w:szCs w:val="21"/>
                <w:lang w:val="en-US" w:eastAsia="zh-CN"/>
              </w:rPr>
            </w:pPr>
            <w:r>
              <w:rPr>
                <w:rFonts w:hint="eastAsia" w:ascii="宋体" w:hAnsi="宋体"/>
                <w:szCs w:val="21"/>
                <w:lang w:val="en-US" w:eastAsia="zh-CN"/>
              </w:rPr>
              <w:t>10</w:t>
            </w:r>
          </w:p>
        </w:tc>
        <w:tc>
          <w:tcPr>
            <w:tcW w:w="1559" w:type="dxa"/>
          </w:tcPr>
          <w:p w14:paraId="6F5B56DE">
            <w:pPr>
              <w:rPr>
                <w:rFonts w:hint="eastAsia" w:ascii="宋体" w:hAnsi="宋体"/>
                <w:sz w:val="24"/>
                <w:szCs w:val="24"/>
              </w:rPr>
            </w:pPr>
            <w:r>
              <w:rPr>
                <w:rFonts w:hint="eastAsia" w:ascii="宋体" w:hAnsi="宋体"/>
                <w:sz w:val="24"/>
                <w:szCs w:val="24"/>
              </w:rPr>
              <w:t>验收标准及要求</w:t>
            </w:r>
          </w:p>
        </w:tc>
        <w:tc>
          <w:tcPr>
            <w:tcW w:w="10874" w:type="dxa"/>
          </w:tcPr>
          <w:p w14:paraId="5FA31404">
            <w:pPr>
              <w:rPr>
                <w:rFonts w:hint="eastAsia" w:ascii="宋体" w:hAnsi="宋体"/>
                <w:sz w:val="24"/>
                <w:szCs w:val="24"/>
              </w:rPr>
            </w:pPr>
            <w:r>
              <w:rPr>
                <w:rFonts w:hint="eastAsia" w:ascii="宋体" w:hAnsi="宋体"/>
                <w:sz w:val="24"/>
                <w:szCs w:val="24"/>
              </w:rPr>
              <w:t>1.验收依据</w:t>
            </w:r>
          </w:p>
          <w:p w14:paraId="1D2C574B">
            <w:pPr>
              <w:rPr>
                <w:rFonts w:hint="eastAsia" w:ascii="宋体" w:hAnsi="宋体"/>
                <w:sz w:val="24"/>
                <w:szCs w:val="24"/>
              </w:rPr>
            </w:pPr>
            <w:r>
              <w:rPr>
                <w:rFonts w:hint="eastAsia" w:ascii="宋体" w:hAnsi="宋体"/>
                <w:sz w:val="24"/>
                <w:szCs w:val="24"/>
              </w:rPr>
              <w:t>按合同要求及国家标准进行验收。</w:t>
            </w:r>
          </w:p>
          <w:p w14:paraId="151D6644">
            <w:pPr>
              <w:rPr>
                <w:rFonts w:hint="eastAsia" w:ascii="宋体" w:hAnsi="宋体"/>
                <w:sz w:val="24"/>
                <w:szCs w:val="24"/>
              </w:rPr>
            </w:pPr>
            <w:r>
              <w:rPr>
                <w:rFonts w:hint="eastAsia" w:ascii="宋体" w:hAnsi="宋体"/>
                <w:sz w:val="24"/>
                <w:szCs w:val="24"/>
              </w:rPr>
              <w:t>2.验收标准</w:t>
            </w:r>
          </w:p>
          <w:p w14:paraId="1F0CDF15">
            <w:pPr>
              <w:rPr>
                <w:rFonts w:hint="eastAsia" w:ascii="宋体" w:hAnsi="宋体"/>
                <w:sz w:val="24"/>
                <w:szCs w:val="24"/>
              </w:rPr>
            </w:pPr>
            <w:r>
              <w:rPr>
                <w:rFonts w:hint="eastAsia" w:ascii="宋体" w:hAnsi="宋体"/>
                <w:sz w:val="24"/>
                <w:szCs w:val="24"/>
              </w:rPr>
              <w:t>（1）所供产品的规格、数量、功能、材质、颜色等符合采购需求及采购合同约定的要求。</w:t>
            </w:r>
          </w:p>
          <w:p w14:paraId="7760658D">
            <w:pPr>
              <w:rPr>
                <w:rFonts w:hint="eastAsia" w:ascii="宋体" w:hAnsi="宋体"/>
                <w:sz w:val="24"/>
                <w:szCs w:val="24"/>
              </w:rPr>
            </w:pPr>
            <w:r>
              <w:rPr>
                <w:rFonts w:hint="eastAsia" w:ascii="宋体" w:hAnsi="宋体"/>
                <w:sz w:val="24"/>
                <w:szCs w:val="24"/>
              </w:rPr>
              <w:t>（2）所供产品的外观完好，无严重碰撞、表皮脱落、五金件生锈等明显瑕疵。</w:t>
            </w:r>
          </w:p>
          <w:p w14:paraId="2B594D58">
            <w:pPr>
              <w:rPr>
                <w:rFonts w:hint="eastAsia" w:ascii="宋体" w:hAnsi="宋体"/>
                <w:sz w:val="24"/>
                <w:szCs w:val="24"/>
              </w:rPr>
            </w:pPr>
            <w:r>
              <w:rPr>
                <w:rFonts w:hint="eastAsia" w:ascii="宋体" w:hAnsi="宋体"/>
                <w:sz w:val="24"/>
                <w:szCs w:val="24"/>
              </w:rPr>
              <w:t>（3）所供产品结构牢固，无安全隐患。</w:t>
            </w:r>
          </w:p>
          <w:p w14:paraId="36CBAC2D">
            <w:pPr>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）所有产品均已运输至指定地点，并安装调试完毕。</w:t>
            </w:r>
          </w:p>
          <w:p w14:paraId="4D865F18">
            <w:pPr>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5</w:t>
            </w:r>
            <w:r>
              <w:rPr>
                <w:rFonts w:hint="eastAsia" w:ascii="宋体" w:hAnsi="宋体"/>
                <w:sz w:val="24"/>
                <w:szCs w:val="24"/>
              </w:rPr>
              <w:t>）采购需求及采购合同约定的附件、技术资料等齐全；提供产品使用说明书、</w:t>
            </w:r>
            <w:r>
              <w:rPr>
                <w:rFonts w:hint="eastAsia" w:ascii="宋体" w:hAnsi="宋体"/>
                <w:sz w:val="24"/>
                <w:szCs w:val="24"/>
                <w:lang w:val="en-US" w:eastAsia="zh-CN"/>
              </w:rPr>
              <w:t>LED显示屏</w:t>
            </w:r>
            <w:r>
              <w:rPr>
                <w:rFonts w:hint="eastAsia" w:ascii="宋体" w:hAnsi="宋体"/>
                <w:sz w:val="24"/>
                <w:szCs w:val="24"/>
              </w:rPr>
              <w:t>必须提供产品合格证。</w:t>
            </w:r>
          </w:p>
          <w:p w14:paraId="7197D5E6">
            <w:pPr>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6</w:t>
            </w:r>
            <w:r>
              <w:rPr>
                <w:rFonts w:hint="eastAsia" w:ascii="宋体" w:hAnsi="宋体"/>
                <w:sz w:val="24"/>
                <w:szCs w:val="24"/>
              </w:rPr>
              <w:t>）要求货物是全新的、未经改装的、合格的、满足本项目技术需求及要求的货物。所有零部件、配件必须是未经使用的全新的并符合国家有关质量安全标准的产品。供货时成交供应商须提供货物正规渠道来源证明原件，否则不予签收。</w:t>
            </w:r>
          </w:p>
          <w:p w14:paraId="2C36E99B">
            <w:pPr>
              <w:rPr>
                <w:rFonts w:hint="eastAsia" w:ascii="宋体" w:hAnsi="宋体"/>
                <w:sz w:val="24"/>
                <w:szCs w:val="24"/>
              </w:rPr>
            </w:pPr>
            <w:r>
              <w:rPr>
                <w:rFonts w:hint="eastAsia" w:ascii="宋体" w:hAnsi="宋体"/>
                <w:sz w:val="24"/>
                <w:szCs w:val="24"/>
              </w:rPr>
              <w:t>3、验收要求</w:t>
            </w:r>
          </w:p>
          <w:p w14:paraId="2FB56802">
            <w:pPr>
              <w:rPr>
                <w:rFonts w:hint="eastAsia" w:ascii="宋体" w:hAnsi="宋体"/>
                <w:sz w:val="24"/>
                <w:szCs w:val="24"/>
              </w:rPr>
            </w:pPr>
            <w:r>
              <w:rPr>
                <w:rFonts w:hint="eastAsia" w:ascii="宋体" w:hAnsi="宋体"/>
                <w:sz w:val="24"/>
                <w:szCs w:val="24"/>
              </w:rPr>
              <w:t>（1）采购人可以根据采购项目具体情况自行组织验收，或者委托第三方机构或部门开展采购项目履约验收工作，验收过程中所产生的一切费用均由成交供应商承担，报价时应考虑相关费用。</w:t>
            </w:r>
          </w:p>
          <w:p w14:paraId="06C9F594">
            <w:pPr>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2</w:t>
            </w:r>
            <w:r>
              <w:rPr>
                <w:rFonts w:hint="eastAsia" w:ascii="宋体" w:hAnsi="宋体"/>
                <w:sz w:val="24"/>
                <w:szCs w:val="24"/>
              </w:rPr>
              <w:t>）验收时成交供应商提供验收文档，包括货物合格证、使用说明书、测试报告等，装订成册，由采购人根据验收文档对项目组织验收。</w:t>
            </w:r>
          </w:p>
          <w:p w14:paraId="3130834E">
            <w:pPr>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成交供应商与采购人交货时，采购人根据采购文件要求对所有要求出具的检测报告、证明材料的原件进行核查。交货时，成交供应商必须按技术参数及性能（配置）的要求，提供资料复印件并加盖生产厂家公章，不按要求提供的视为供应商违约，采购人有权终止合同拒收货物，并追究供应商责任，同时报财政部门备案。</w:t>
            </w:r>
          </w:p>
          <w:p w14:paraId="32730673">
            <w:pPr>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）成交供应商所供设备必须是具备厂家合法渠道的全新、未使用过的合格正品产品。产品包装必须按照原厂标准包装规格供货，不接受散装或拆包装件。所有货物都提供使用说明书和详细装箱清单及质量合格证。</w:t>
            </w:r>
          </w:p>
        </w:tc>
      </w:tr>
      <w:tr w14:paraId="07403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959" w:type="dxa"/>
          </w:tcPr>
          <w:p w14:paraId="2AA92F18">
            <w:pPr>
              <w:jc w:val="center"/>
              <w:rPr>
                <w:rFonts w:hint="default" w:ascii="宋体" w:hAnsi="宋体" w:eastAsia="宋体"/>
                <w:szCs w:val="21"/>
                <w:lang w:val="en-US" w:eastAsia="zh-CN"/>
              </w:rPr>
            </w:pPr>
            <w:r>
              <w:rPr>
                <w:rFonts w:hint="eastAsia" w:ascii="宋体" w:hAnsi="宋体"/>
                <w:szCs w:val="21"/>
              </w:rPr>
              <w:t>1</w:t>
            </w:r>
            <w:r>
              <w:rPr>
                <w:rFonts w:hint="eastAsia" w:ascii="宋体" w:hAnsi="宋体"/>
                <w:szCs w:val="21"/>
                <w:lang w:val="en-US" w:eastAsia="zh-CN"/>
              </w:rPr>
              <w:t>1</w:t>
            </w:r>
          </w:p>
        </w:tc>
        <w:tc>
          <w:tcPr>
            <w:tcW w:w="1559" w:type="dxa"/>
          </w:tcPr>
          <w:p w14:paraId="558C0A1F">
            <w:pPr>
              <w:rPr>
                <w:rFonts w:ascii="宋体" w:hAnsi="宋体"/>
                <w:sz w:val="24"/>
                <w:szCs w:val="24"/>
              </w:rPr>
            </w:pPr>
            <w:r>
              <w:rPr>
                <w:rFonts w:hint="eastAsia" w:ascii="宋体" w:hAnsi="宋体"/>
                <w:sz w:val="24"/>
                <w:szCs w:val="24"/>
              </w:rPr>
              <w:t>其他要求</w:t>
            </w:r>
          </w:p>
        </w:tc>
        <w:tc>
          <w:tcPr>
            <w:tcW w:w="10874" w:type="dxa"/>
          </w:tcPr>
          <w:p w14:paraId="282E5631">
            <w:pPr>
              <w:pStyle w:val="4"/>
              <w:tabs>
                <w:tab w:val="center" w:pos="4153"/>
                <w:tab w:val="right" w:pos="8306"/>
              </w:tabs>
              <w:kinsoku w:val="0"/>
              <w:overflowPunct w:val="0"/>
              <w:snapToGrid w:val="0"/>
              <w:spacing w:before="49"/>
              <w:ind w:left="20"/>
              <w:rPr>
                <w:color w:val="000000" w:themeColor="text1"/>
                <w:spacing w:val="-11"/>
                <w:sz w:val="24"/>
                <w14:textFill>
                  <w14:solidFill>
                    <w14:schemeClr w14:val="tx1"/>
                  </w14:solidFill>
                </w14:textFill>
              </w:rPr>
            </w:pPr>
            <w:r>
              <w:rPr>
                <w:color w:val="000000" w:themeColor="text1"/>
                <w:spacing w:val="-11"/>
                <w:sz w:val="24"/>
                <w14:textFill>
                  <w14:solidFill>
                    <w14:schemeClr w14:val="tx1"/>
                  </w14:solidFill>
                </w14:textFill>
              </w:rPr>
              <w:t>1.</w:t>
            </w:r>
            <w:r>
              <w:rPr>
                <w:rFonts w:hint="eastAsia"/>
                <w:color w:val="000000" w:themeColor="text1"/>
                <w:spacing w:val="-11"/>
                <w:sz w:val="24"/>
                <w14:textFill>
                  <w14:solidFill>
                    <w14:schemeClr w14:val="tx1"/>
                  </w14:solidFill>
                </w14:textFill>
              </w:rPr>
              <w:t>对在“信用中国”网站、中国政府采购网被列入失信被执行人、重大税收违法案件当事人名单、政府采购严重违法失信行为记录名单及其他不符合《中华人民共和国政府采购法》第二十二条规定的供应商，不得参与投标报价。</w:t>
            </w:r>
          </w:p>
          <w:p w14:paraId="77177DF1">
            <w:pPr>
              <w:pStyle w:val="4"/>
              <w:kinsoku w:val="0"/>
              <w:overflowPunct w:val="0"/>
              <w:spacing w:before="49"/>
              <w:ind w:left="20"/>
              <w:rPr>
                <w:rFonts w:cs="宋体"/>
                <w:spacing w:val="-11"/>
                <w:kern w:val="2"/>
                <w:sz w:val="24"/>
              </w:rPr>
            </w:pPr>
            <w:r>
              <w:rPr>
                <w:rFonts w:hint="eastAsia" w:cs="宋体"/>
                <w:spacing w:val="-11"/>
                <w:kern w:val="2"/>
                <w:sz w:val="24"/>
              </w:rPr>
              <w:t>2、成交供应商在收到成交结果通知之日起5个工作日内必须向采购人提供询价货物的以下纸质资料：</w:t>
            </w:r>
          </w:p>
          <w:p w14:paraId="569094CA">
            <w:pPr>
              <w:pStyle w:val="4"/>
              <w:kinsoku w:val="0"/>
              <w:overflowPunct w:val="0"/>
              <w:spacing w:before="49"/>
              <w:ind w:left="20"/>
              <w:rPr>
                <w:rFonts w:cs="宋体"/>
                <w:spacing w:val="-11"/>
                <w:kern w:val="2"/>
                <w:sz w:val="24"/>
              </w:rPr>
            </w:pPr>
            <w:r>
              <w:rPr>
                <w:rFonts w:hint="eastAsia" w:cs="宋体"/>
                <w:spacing w:val="-11"/>
                <w:kern w:val="2"/>
                <w:sz w:val="24"/>
              </w:rPr>
              <w:t>（1）</w:t>
            </w:r>
            <w:r>
              <w:rPr>
                <w:rFonts w:hint="eastAsia" w:cs="宋体"/>
                <w:spacing w:val="-11"/>
                <w:kern w:val="2"/>
                <w:sz w:val="24"/>
                <w:lang w:val="en-US" w:eastAsia="zh-CN"/>
              </w:rPr>
              <w:t>提供厂家针对该项目的授权书</w:t>
            </w:r>
            <w:r>
              <w:rPr>
                <w:rFonts w:hint="eastAsia" w:cs="宋体"/>
                <w:spacing w:val="-11"/>
                <w:kern w:val="2"/>
                <w:sz w:val="24"/>
              </w:rPr>
              <w:t>，并加盖厂家公章。</w:t>
            </w:r>
          </w:p>
          <w:p w14:paraId="62D95A0C">
            <w:pPr>
              <w:pStyle w:val="4"/>
              <w:kinsoku w:val="0"/>
              <w:overflowPunct w:val="0"/>
              <w:spacing w:before="49"/>
              <w:ind w:left="20"/>
              <w:rPr>
                <w:rFonts w:cs="宋体"/>
                <w:spacing w:val="-11"/>
                <w:kern w:val="2"/>
                <w:sz w:val="24"/>
              </w:rPr>
            </w:pPr>
            <w:r>
              <w:rPr>
                <w:rFonts w:hint="eastAsia" w:cs="宋体"/>
                <w:spacing w:val="-11"/>
                <w:kern w:val="2"/>
                <w:sz w:val="24"/>
                <w:lang w:val="en-US" w:eastAsia="zh-CN"/>
              </w:rPr>
              <w:t>3</w:t>
            </w:r>
            <w:r>
              <w:rPr>
                <w:rFonts w:hint="eastAsia" w:cs="宋体"/>
                <w:spacing w:val="-11"/>
                <w:kern w:val="2"/>
                <w:sz w:val="24"/>
              </w:rPr>
              <w:t>、本项目采购任务急，现特向潜在供应商作出相关提醒：供应商存在不按要求竞标、不按要求提供审查资料、或资料审查不合格、成交后无故放弃、不按合同履行等违约行为的， 采购人有权按预算金额20%的赔偿金额向成交供应商追偿其所造成的损失。</w:t>
            </w:r>
          </w:p>
          <w:p w14:paraId="42312496">
            <w:pPr>
              <w:pStyle w:val="4"/>
              <w:kinsoku w:val="0"/>
              <w:overflowPunct w:val="0"/>
              <w:spacing w:before="49"/>
              <w:rPr>
                <w:rFonts w:cs="宋体"/>
                <w:color w:val="00B0F0"/>
                <w:spacing w:val="-11"/>
                <w:kern w:val="2"/>
                <w:sz w:val="24"/>
              </w:rPr>
            </w:pPr>
          </w:p>
        </w:tc>
      </w:tr>
    </w:tbl>
    <w:p w14:paraId="2908D7E9">
      <w:pPr>
        <w:rPr>
          <w:rFonts w:ascii="宋体" w:hAnsi="宋体"/>
          <w:szCs w:val="21"/>
        </w:rPr>
      </w:pPr>
    </w:p>
    <w:p w14:paraId="35B3CDBB">
      <w:pPr>
        <w:rPr>
          <w:rFonts w:ascii="宋体" w:hAnsi="宋体"/>
          <w:szCs w:val="21"/>
        </w:rPr>
      </w:pPr>
    </w:p>
    <w:p w14:paraId="34422D2E">
      <w:pPr>
        <w:rPr>
          <w:rFonts w:ascii="宋体" w:hAnsi="宋体"/>
          <w:szCs w:val="21"/>
        </w:rPr>
      </w:pPr>
    </w:p>
    <w:p w14:paraId="5625E8C2">
      <w:pPr>
        <w:rPr>
          <w:rFonts w:ascii="宋体" w:hAnsi="宋体"/>
          <w:sz w:val="18"/>
          <w:szCs w:val="18"/>
        </w:rPr>
      </w:pPr>
    </w:p>
    <w:sectPr>
      <w:footerReference r:id="rId3" w:type="default"/>
      <w:pgSz w:w="16838" w:h="11906" w:orient="landscape"/>
      <w:pgMar w:top="850" w:right="680" w:bottom="680"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64733">
    <w:pPr>
      <w:pStyle w:val="6"/>
      <w:jc w:val="center"/>
    </w:pPr>
    <w:r>
      <w:fldChar w:fldCharType="begin"/>
    </w:r>
    <w:r>
      <w:instrText xml:space="preserve">PAGE   \* MERGEFORMAT</w:instrText>
    </w:r>
    <w:r>
      <w:fldChar w:fldCharType="separate"/>
    </w:r>
    <w:r>
      <w:rPr>
        <w:lang w:val="zh-CN"/>
      </w:rPr>
      <w:t>6</w:t>
    </w:r>
    <w:r>
      <w:fldChar w:fldCharType="end"/>
    </w:r>
  </w:p>
  <w:p w14:paraId="7624AA19">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000192"/>
    <w:multiLevelType w:val="singleLevel"/>
    <w:tmpl w:val="B6000192"/>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2"/>
    <w:multiLevelType w:val="multilevel"/>
    <w:tmpl w:val="00000002"/>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3"/>
    <w:multiLevelType w:val="multilevel"/>
    <w:tmpl w:val="00000003"/>
    <w:lvl w:ilvl="0" w:tentative="0">
      <w:start w:val="1"/>
      <w:numFmt w:val="decimal"/>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4711A15"/>
    <w:multiLevelType w:val="multilevel"/>
    <w:tmpl w:val="04711A15"/>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7752308"/>
    <w:multiLevelType w:val="singleLevel"/>
    <w:tmpl w:val="37752308"/>
    <w:lvl w:ilvl="0" w:tentative="0">
      <w:start w:val="4"/>
      <w:numFmt w:val="chineseCounting"/>
      <w:suff w:val="nothing"/>
      <w:lvlText w:val="%1、"/>
      <w:lvlJc w:val="left"/>
      <w:rPr>
        <w:rFonts w:hint="eastAsia"/>
      </w:rPr>
    </w:lvl>
  </w:abstractNum>
  <w:abstractNum w:abstractNumId="6">
    <w:nsid w:val="58A43BFE"/>
    <w:multiLevelType w:val="singleLevel"/>
    <w:tmpl w:val="58A43BFE"/>
    <w:lvl w:ilvl="0" w:tentative="0">
      <w:start w:val="1"/>
      <w:numFmt w:val="decimal"/>
      <w:suff w:val="nothing"/>
      <w:lvlText w:val="（%1）"/>
      <w:lvlJc w:val="left"/>
      <w:pPr>
        <w:ind w:left="105" w:firstLine="0"/>
      </w:pPr>
    </w:lvl>
  </w:abstractNum>
  <w:abstractNum w:abstractNumId="7">
    <w:nsid w:val="74C59C3B"/>
    <w:multiLevelType w:val="singleLevel"/>
    <w:tmpl w:val="74C59C3B"/>
    <w:lvl w:ilvl="0" w:tentative="0">
      <w:start w:val="27"/>
      <w:numFmt w:val="decimal"/>
      <w:suff w:val="space"/>
      <w:lvlText w:val="%1."/>
      <w:lvlJc w:val="left"/>
    </w:lvl>
  </w:abstractNum>
  <w:num w:numId="1">
    <w:abstractNumId w:val="0"/>
  </w:num>
  <w:num w:numId="2">
    <w:abstractNumId w:val="7"/>
  </w:num>
  <w:num w:numId="3">
    <w:abstractNumId w:val="5"/>
  </w:num>
  <w:num w:numId="4">
    <w:abstractNumId w:val="6"/>
  </w:num>
  <w:num w:numId="5">
    <w:abstractNumId w:val="3"/>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4NmQ3Yjk2ZmFhOTYyYzhhYzZlMWE0NjRkZjExY2IifQ=="/>
  </w:docVars>
  <w:rsids>
    <w:rsidRoot w:val="006F415C"/>
    <w:rsid w:val="0000657E"/>
    <w:rsid w:val="000071AB"/>
    <w:rsid w:val="00010997"/>
    <w:rsid w:val="00042573"/>
    <w:rsid w:val="000D2719"/>
    <w:rsid w:val="000D7C18"/>
    <w:rsid w:val="000F4813"/>
    <w:rsid w:val="00111AC8"/>
    <w:rsid w:val="001168C8"/>
    <w:rsid w:val="001968BC"/>
    <w:rsid w:val="001B0309"/>
    <w:rsid w:val="001B727E"/>
    <w:rsid w:val="001C690C"/>
    <w:rsid w:val="001D3408"/>
    <w:rsid w:val="001F560E"/>
    <w:rsid w:val="00203A16"/>
    <w:rsid w:val="00220101"/>
    <w:rsid w:val="00251CC2"/>
    <w:rsid w:val="00261BA9"/>
    <w:rsid w:val="002F18BC"/>
    <w:rsid w:val="00303DE9"/>
    <w:rsid w:val="0033343E"/>
    <w:rsid w:val="003463C8"/>
    <w:rsid w:val="00355850"/>
    <w:rsid w:val="00393959"/>
    <w:rsid w:val="003C2021"/>
    <w:rsid w:val="003C24F2"/>
    <w:rsid w:val="003D7909"/>
    <w:rsid w:val="00451615"/>
    <w:rsid w:val="004522EA"/>
    <w:rsid w:val="00455AEF"/>
    <w:rsid w:val="00461108"/>
    <w:rsid w:val="00485C05"/>
    <w:rsid w:val="004C3426"/>
    <w:rsid w:val="004D28E9"/>
    <w:rsid w:val="004F27D6"/>
    <w:rsid w:val="004F5987"/>
    <w:rsid w:val="00584CB4"/>
    <w:rsid w:val="00586C1C"/>
    <w:rsid w:val="006200C1"/>
    <w:rsid w:val="00622441"/>
    <w:rsid w:val="00630573"/>
    <w:rsid w:val="0064758D"/>
    <w:rsid w:val="006518BD"/>
    <w:rsid w:val="006B1C3C"/>
    <w:rsid w:val="006B3EB3"/>
    <w:rsid w:val="006E3E8D"/>
    <w:rsid w:val="006F415C"/>
    <w:rsid w:val="00701105"/>
    <w:rsid w:val="00733ABB"/>
    <w:rsid w:val="007B6A44"/>
    <w:rsid w:val="007C3C95"/>
    <w:rsid w:val="007D7B5D"/>
    <w:rsid w:val="00830265"/>
    <w:rsid w:val="00863F45"/>
    <w:rsid w:val="008F0A7B"/>
    <w:rsid w:val="009471EA"/>
    <w:rsid w:val="00953C4F"/>
    <w:rsid w:val="009727AB"/>
    <w:rsid w:val="009B1B2A"/>
    <w:rsid w:val="009C348A"/>
    <w:rsid w:val="009C5965"/>
    <w:rsid w:val="009E6FAD"/>
    <w:rsid w:val="00A56305"/>
    <w:rsid w:val="00A60E4F"/>
    <w:rsid w:val="00A80D5C"/>
    <w:rsid w:val="00AA1028"/>
    <w:rsid w:val="00AE11DF"/>
    <w:rsid w:val="00AF0A40"/>
    <w:rsid w:val="00B66E4C"/>
    <w:rsid w:val="00B74CC8"/>
    <w:rsid w:val="00B80D9E"/>
    <w:rsid w:val="00BC2688"/>
    <w:rsid w:val="00C0724B"/>
    <w:rsid w:val="00C22C39"/>
    <w:rsid w:val="00C3499A"/>
    <w:rsid w:val="00C53B39"/>
    <w:rsid w:val="00C82F90"/>
    <w:rsid w:val="00C910D1"/>
    <w:rsid w:val="00CD0A50"/>
    <w:rsid w:val="00CD5AB3"/>
    <w:rsid w:val="00D1496C"/>
    <w:rsid w:val="00D43618"/>
    <w:rsid w:val="00D7371F"/>
    <w:rsid w:val="00D74B9A"/>
    <w:rsid w:val="00D937EB"/>
    <w:rsid w:val="00D95DE6"/>
    <w:rsid w:val="00DA039F"/>
    <w:rsid w:val="00DA2875"/>
    <w:rsid w:val="00DB7F80"/>
    <w:rsid w:val="00DC3147"/>
    <w:rsid w:val="00DD0C00"/>
    <w:rsid w:val="00DD7EB7"/>
    <w:rsid w:val="00DE4AFA"/>
    <w:rsid w:val="00E076F1"/>
    <w:rsid w:val="00E14384"/>
    <w:rsid w:val="00E87E91"/>
    <w:rsid w:val="00E9191C"/>
    <w:rsid w:val="00EA2F79"/>
    <w:rsid w:val="00EA556F"/>
    <w:rsid w:val="00EB217A"/>
    <w:rsid w:val="00F06B1E"/>
    <w:rsid w:val="00F40023"/>
    <w:rsid w:val="00FC6CF0"/>
    <w:rsid w:val="00FD37E1"/>
    <w:rsid w:val="00FD43C1"/>
    <w:rsid w:val="00FD77F3"/>
    <w:rsid w:val="016070DE"/>
    <w:rsid w:val="032077ED"/>
    <w:rsid w:val="03BE185C"/>
    <w:rsid w:val="04587CAC"/>
    <w:rsid w:val="046A5064"/>
    <w:rsid w:val="06471FDD"/>
    <w:rsid w:val="074F3089"/>
    <w:rsid w:val="08D061E1"/>
    <w:rsid w:val="0B1B68DC"/>
    <w:rsid w:val="0C361799"/>
    <w:rsid w:val="0D437689"/>
    <w:rsid w:val="0F806D97"/>
    <w:rsid w:val="0F985657"/>
    <w:rsid w:val="11F67C3C"/>
    <w:rsid w:val="16260F49"/>
    <w:rsid w:val="16547688"/>
    <w:rsid w:val="1A805690"/>
    <w:rsid w:val="20264F89"/>
    <w:rsid w:val="221F3677"/>
    <w:rsid w:val="225466DC"/>
    <w:rsid w:val="238271CB"/>
    <w:rsid w:val="26077B0F"/>
    <w:rsid w:val="268E7A4D"/>
    <w:rsid w:val="28D66F96"/>
    <w:rsid w:val="29C56816"/>
    <w:rsid w:val="2B964019"/>
    <w:rsid w:val="30454250"/>
    <w:rsid w:val="3053211A"/>
    <w:rsid w:val="350C7DCA"/>
    <w:rsid w:val="35BF7D63"/>
    <w:rsid w:val="35F25502"/>
    <w:rsid w:val="369E7E9F"/>
    <w:rsid w:val="385827C4"/>
    <w:rsid w:val="3CE95E6B"/>
    <w:rsid w:val="3EB4618B"/>
    <w:rsid w:val="3FFA3DA2"/>
    <w:rsid w:val="41C9151C"/>
    <w:rsid w:val="479A217E"/>
    <w:rsid w:val="47E60EC0"/>
    <w:rsid w:val="49093E15"/>
    <w:rsid w:val="4B51066F"/>
    <w:rsid w:val="4C2A663C"/>
    <w:rsid w:val="4C370AC4"/>
    <w:rsid w:val="4C6E069B"/>
    <w:rsid w:val="4EC865B4"/>
    <w:rsid w:val="4F3A40CE"/>
    <w:rsid w:val="513E2B48"/>
    <w:rsid w:val="51CD70D5"/>
    <w:rsid w:val="52E734FB"/>
    <w:rsid w:val="58C104BC"/>
    <w:rsid w:val="58E61264"/>
    <w:rsid w:val="5B9531D8"/>
    <w:rsid w:val="5BBA3BBA"/>
    <w:rsid w:val="5F441D8B"/>
    <w:rsid w:val="5FF05A6E"/>
    <w:rsid w:val="61843A34"/>
    <w:rsid w:val="629464CE"/>
    <w:rsid w:val="6B2A480C"/>
    <w:rsid w:val="6C7D1B5B"/>
    <w:rsid w:val="6F1A1697"/>
    <w:rsid w:val="6F88441E"/>
    <w:rsid w:val="705A1860"/>
    <w:rsid w:val="717074B8"/>
    <w:rsid w:val="72132DB8"/>
    <w:rsid w:val="755C2BC7"/>
    <w:rsid w:val="7C0C40B8"/>
    <w:rsid w:val="7D080444"/>
    <w:rsid w:val="7D7545DE"/>
    <w:rsid w:val="7DE71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annotation text"/>
    <w:basedOn w:val="1"/>
    <w:link w:val="18"/>
    <w:qFormat/>
    <w:uiPriority w:val="99"/>
    <w:pPr>
      <w:jc w:val="left"/>
    </w:pPr>
  </w:style>
  <w:style w:type="paragraph" w:styleId="4">
    <w:name w:val="Body Text"/>
    <w:basedOn w:val="1"/>
    <w:link w:val="20"/>
    <w:qFormat/>
    <w:uiPriority w:val="1"/>
    <w:pPr>
      <w:autoSpaceDE w:val="0"/>
      <w:autoSpaceDN w:val="0"/>
      <w:adjustRightInd w:val="0"/>
      <w:jc w:val="left"/>
    </w:pPr>
    <w:rPr>
      <w:rFonts w:ascii="宋体" w:hAnsi="宋体" w:cs="Times New Roman"/>
      <w:kern w:val="0"/>
      <w:sz w:val="20"/>
      <w:szCs w:val="24"/>
    </w:rPr>
  </w:style>
  <w:style w:type="paragraph" w:styleId="5">
    <w:name w:val="Balloon Text"/>
    <w:basedOn w:val="1"/>
    <w:link w:val="17"/>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9"/>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qFormat/>
    <w:uiPriority w:val="99"/>
    <w:rPr>
      <w:sz w:val="21"/>
      <w:szCs w:val="21"/>
    </w:rPr>
  </w:style>
  <w:style w:type="paragraph" w:styleId="13">
    <w:name w:val="List Paragraph"/>
    <w:basedOn w:val="1"/>
    <w:qFormat/>
    <w:uiPriority w:val="34"/>
    <w:pPr>
      <w:ind w:firstLine="420" w:firstLineChars="200"/>
    </w:pPr>
    <w:rPr>
      <w:rFonts w:ascii="Times New Roman" w:hAnsi="Times New Roman" w:cs="Times New Roman"/>
      <w:szCs w:val="24"/>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character" w:customStyle="1" w:styleId="16">
    <w:name w:val="font21"/>
    <w:basedOn w:val="11"/>
    <w:qFormat/>
    <w:uiPriority w:val="0"/>
    <w:rPr>
      <w:rFonts w:hint="eastAsia" w:ascii="宋体" w:hAnsi="宋体" w:eastAsia="宋体" w:cs="宋体"/>
      <w:color w:val="FF0000"/>
      <w:sz w:val="22"/>
      <w:szCs w:val="22"/>
      <w:u w:val="none"/>
    </w:rPr>
  </w:style>
  <w:style w:type="character" w:customStyle="1" w:styleId="17">
    <w:name w:val="批注框文本 Char"/>
    <w:basedOn w:val="11"/>
    <w:link w:val="5"/>
    <w:qFormat/>
    <w:uiPriority w:val="99"/>
    <w:rPr>
      <w:sz w:val="18"/>
      <w:szCs w:val="18"/>
    </w:rPr>
  </w:style>
  <w:style w:type="character" w:customStyle="1" w:styleId="18">
    <w:name w:val="批注文字 Char"/>
    <w:basedOn w:val="11"/>
    <w:link w:val="3"/>
    <w:qFormat/>
    <w:uiPriority w:val="99"/>
  </w:style>
  <w:style w:type="character" w:customStyle="1" w:styleId="19">
    <w:name w:val="批注主题 Char"/>
    <w:basedOn w:val="18"/>
    <w:link w:val="8"/>
    <w:qFormat/>
    <w:uiPriority w:val="99"/>
    <w:rPr>
      <w:b/>
      <w:bCs/>
    </w:rPr>
  </w:style>
  <w:style w:type="character" w:customStyle="1" w:styleId="20">
    <w:name w:val="正文文本 Char"/>
    <w:basedOn w:val="11"/>
    <w:link w:val="4"/>
    <w:qFormat/>
    <w:uiPriority w:val="99"/>
    <w:rPr>
      <w:rFonts w:ascii="宋体" w:hAnsi="宋体" w:eastAsia="宋体" w:cs="Times New Roman"/>
      <w:kern w:val="0"/>
      <w:sz w:val="20"/>
      <w:szCs w:val="24"/>
    </w:rPr>
  </w:style>
  <w:style w:type="character" w:customStyle="1" w:styleId="21">
    <w:name w:val="font31"/>
    <w:basedOn w:val="11"/>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6BF2EA49-9014-4A8E-8D74-1E2380002A44}">
  <ds:schemaRefs/>
</ds:datastoreItem>
</file>

<file path=customXml/itemProps2.xml><?xml version="1.0" encoding="utf-8"?>
<ds:datastoreItem xmlns:ds="http://schemas.openxmlformats.org/officeDocument/2006/customXml" ds:itemID="{064BEDBF-E672-4B24-881B-37207CAAF0E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3673</Words>
  <Characters>4278</Characters>
  <Lines>33</Lines>
  <Paragraphs>9</Paragraphs>
  <TotalTime>35</TotalTime>
  <ScaleCrop>false</ScaleCrop>
  <LinksUpToDate>false</LinksUpToDate>
  <CharactersWithSpaces>4356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2024-06-14T01:10:00Z</dcterms:created>
  <dc:creator>微软用户</dc:creator>
  <cp:lastModifiedBy>XM</cp:lastModifiedBy>
  <cp:lastPrinted>2024-06-06T08:05:00Z</cp:lastPrinted>
  <dcterms:modified xsi:type="dcterms:W3CDTF">2025-07-17T08:39:02Z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46E9FB2683204358851BB4A0F13351F6_13</vt:lpwstr>
  </property>
  <property fmtid="{D5CDD505-2E9C-101B-9397-08002B2CF9AE}" pid="4" name="KSOTemplateDocerSaveRecord">
    <vt:lpwstr>eyJoZGlkIjoiYTI4ZmQ1NDFhMTliMmFjNzNkMzE0MDQxODMwZjAwODMiLCJ1c2VySWQiOiI0ODkyMzA2NTYifQ==</vt:lpwstr>
  </property>
</Properties>
</file>