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职业院校技能竞赛云计算应用竞赛设备采购清单</w:t>
      </w:r>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30"/>
        <w:gridCol w:w="800"/>
        <w:gridCol w:w="1476"/>
        <w:gridCol w:w="8488"/>
        <w:gridCol w:w="582"/>
        <w:gridCol w:w="626"/>
        <w:gridCol w:w="1163"/>
        <w:gridCol w:w="1258"/>
      </w:tblGrid>
      <w:tr>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tblPrEx>
          <w:tblCellMar>
            <w:top w:w="0" w:type="dxa"/>
            <w:left w:w="108" w:type="dxa"/>
            <w:bottom w:w="0" w:type="dxa"/>
            <w:right w:w="108" w:type="dxa"/>
          </w:tblCellMar>
        </w:tblPrEx>
        <w:trPr>
          <w:trHeight w:val="288"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olor w:val="auto"/>
                <w:sz w:val="22"/>
                <w:lang w:val="en-US" w:eastAsia="zh-CN"/>
              </w:rPr>
              <w:t>竞赛服务器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联想 ThinkServer SR660V2</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一、硬件要求: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1、总体要求:2U机架服务器，国内知名品牌，国内拥有多家生产工厂。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2、处理器要求:配置&gt;2个IntelXeon Silver 4314 16C 120W 2.4GHz处理器处理器，可选最大可支持至36核处理器;</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3、内存要求:本次配置&gt;8*32GB DDR4 3200MHz内存，本机配置32个内存DIMIs扩展槽，最大支持&gt;3TB内存容</w:t>
            </w:r>
            <w:r>
              <w:rPr>
                <w:rFonts w:hint="eastAsia" w:ascii="宋体" w:hAnsi="宋体" w:cs="宋体"/>
                <w:color w:val="auto"/>
                <w:sz w:val="21"/>
                <w:szCs w:val="21"/>
                <w:highlight w:val="none"/>
                <w:lang w:val="en-US" w:eastAsia="zh-CN"/>
              </w:rPr>
              <w:t>量</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4、硬盘:本次配置&gt;2块2.5 英寸960G固态硬盘，&gt;6块8TSATA企业级硬盘;本机最大支持&gt;28块SAS硬盘:支持前置驱动器托架中切换SAS，SATA或IVIe PCIe驱动器;</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5、RAID阵列卡&gt;1张2G缓存独立RAID阵列卡，支持0/1/10/5 RAID级别;可选RAID6/60，最大支持8GB闪存;</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6、网络接口:支持可选的0CP3.0模块，提供10G、25G、40G等多种网络接口选择，本次配置&gt;4个1000M网口，支持网卡冗余、负载均衡、isCSI连接，虚拟化功能;</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7、I/0扩展:最大支持10个PCIe插槽，支持两个专用的0CP插槽和不低于6个PCIe4.0标准插槽;</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8、支持3个双宽或8个单宽GPU，支持FPGA:</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9、电源及散热&gt;2个800W铂金热插拔冗余电源;</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二、数据安全保护软件</w:t>
            </w:r>
            <w:r>
              <w:rPr>
                <w:rFonts w:hint="eastAsia" w:ascii="宋体" w:hAnsi="宋体" w:eastAsia="宋体" w:cs="宋体"/>
                <w:color w:val="auto"/>
                <w:sz w:val="21"/>
                <w:szCs w:val="21"/>
                <w:highlight w:val="none"/>
              </w:rPr>
              <w:t xml:space="preserve">                                                                             1、产品可以纯软件交付，包含管理控制中心软件及终端客户端软件，其中管理控制中心可云化部署；</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2、管理平台要求其操作系统为64位的Centos7或ubuntu等操作系统</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3、支持展示跟同品牌下一代防火墙、安全感知平台、上网行为管理，云端SOC平台，SAAS化管理平台的联动状态（投标时需提供产品截图证明）</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4、支持以安全策略模板方式对指定终端组快速部署安全策略，安全策略模板支持默认模板和自定义模板；（投标时需提供产品截图证明）</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7、支持跳转链接至云端安全威胁响应系统，针对已发生的病毒的基本信息，影响分析（客户情况、影响行业、区域分布）、威胁分析和处理建议等（投标时需提供产品截图证明）</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10、支持监控诱饵文件，诱饵文件可被实时监控，当勒索病毒对该文件进行修改或加密操作时进行拦截（投标时需提供产品</w:t>
            </w:r>
            <w:bookmarkStart w:id="0" w:name="_GoBack"/>
            <w:bookmarkEnd w:id="0"/>
            <w:r>
              <w:rPr>
                <w:rFonts w:hint="eastAsia" w:ascii="宋体" w:hAnsi="宋体" w:eastAsia="宋体" w:cs="宋体"/>
                <w:color w:val="auto"/>
                <w:sz w:val="21"/>
                <w:szCs w:val="21"/>
                <w:highlight w:val="none"/>
              </w:rPr>
              <w:t xml:space="preserve">截图证明） </w:t>
            </w:r>
          </w:p>
          <w:p>
            <w:pPr>
              <w:widowControl/>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三、资质</w:t>
            </w:r>
            <w:r>
              <w:rPr>
                <w:rFonts w:hint="eastAsia" w:ascii="宋体" w:hAnsi="宋体" w:cs="宋体"/>
                <w:b/>
                <w:bCs/>
                <w:color w:val="auto"/>
                <w:sz w:val="21"/>
                <w:szCs w:val="21"/>
                <w:highlight w:val="none"/>
                <w:lang w:val="en-US" w:eastAsia="zh-CN"/>
              </w:rPr>
              <w:t>要求</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1、产品生产厂商具有ISO9001 质量管理体系认证、IT产品信息安全认证证书EAL4、CMMI五级、CCCS客户联络中心标准体系认证证书五星级及以上、国家信息安全测评信息安全服务资质证书：安全工程一级、SA8000企业社会责任管理体系认证等证明文件；</w:t>
            </w:r>
            <w:r>
              <w:rPr>
                <w:rFonts w:hint="eastAsia" w:ascii="宋体" w:hAnsi="宋体" w:eastAsia="宋体" w:cs="宋体"/>
                <w:b/>
                <w:bCs/>
                <w:color w:val="auto"/>
                <w:sz w:val="21"/>
                <w:szCs w:val="21"/>
                <w:highlight w:val="none"/>
              </w:rPr>
              <w:t>（投标时需提供相关证明文件复印件）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82500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165000</w:t>
            </w:r>
          </w:p>
        </w:tc>
      </w:tr>
      <w:tr>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 w:val="22"/>
                <w:lang w:val="en-US" w:eastAsia="zh-CN"/>
              </w:rPr>
            </w:pPr>
            <w:r>
              <w:rPr>
                <w:rFonts w:hint="eastAsia" w:ascii="宋体" w:hAnsi="宋体"/>
                <w:color w:val="auto"/>
                <w:sz w:val="22"/>
                <w:lang w:val="en-US" w:eastAsia="zh-CN"/>
              </w:rPr>
              <w:t>台式工作站</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联想ThinkStation P368</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一、硬件要求： </w:t>
            </w:r>
            <w:r>
              <w:rPr>
                <w:rFonts w:hint="eastAsia" w:ascii="宋体" w:hAnsi="宋体" w:eastAsia="宋体" w:cs="宋体"/>
                <w:b w:val="0"/>
                <w:bCs w:val="0"/>
                <w:color w:val="auto"/>
                <w:sz w:val="21"/>
                <w:szCs w:val="21"/>
                <w:highlight w:val="none"/>
              </w:rPr>
              <w:t xml:space="preserve">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1、处理器≥英特酷睿Core I9-12900 2.4G 16C处理器或以上；</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2、芯片组≥Intel Q670芯片组及以上，具备1个PCI-E*16、2个PCI-E*4槽位，四个内存槽位，≥2个M.2接口，主板具备USB屏蔽技术，仅识别USB键盘、鼠标，无法识别USB读取设备，有效防止数据泄露；</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3、内存≥4*16GB DDR4 3200内存；</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4、硬盘≥512G M.2 SSD固态盘+1T机械硬盘；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5、网卡：主板集成千兆网卡；</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6、显卡：集成显卡；</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7、键鼠：原厂标准USB键盘及光电鼠标；</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8、接口≥8个USB接口(其中至少2个USB 3.2 G2接口 )、≥3个视频接口（VGA、HDMI、DP均可），支持5.1声道(提供前2后3共5个音频接口)；</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9、机箱：标准MATX立式机箱，机箱容积≤17L，免工具拆卸，顶置电源开关键，方便开关机,内置可降解甲醛等有害物质光触媒散热风扇,有效去除教学环境中甲醛等有害物质；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10、系统：Windows正版操作系统或以上版本;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11、电源：电源≥500W电源；</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12、显示器：≥27寸高清液晶显示器；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12、为确保整机运行稳定性及兼容性，以上硬件配置须为原厂标配，要求为原厂工作站型号；</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二、数据安全保护软件  </w:t>
            </w:r>
            <w:r>
              <w:rPr>
                <w:rFonts w:hint="eastAsia" w:ascii="宋体" w:hAnsi="宋体" w:eastAsia="宋体" w:cs="宋体"/>
                <w:b w:val="0"/>
                <w:bCs w:val="0"/>
                <w:color w:val="auto"/>
                <w:sz w:val="21"/>
                <w:szCs w:val="21"/>
                <w:highlight w:val="none"/>
              </w:rPr>
              <w:t xml:space="preserve">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1、产品可以纯软件交付，包含管理控制中心软件及终端客户端软件，其中管理控制中心可云化部署；</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2、管理平台要求其操作系统为64位的Centos7或ubuntu等操作系统</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3、支持展示跟同品牌下一代防火墙、安全感知平台、上网行为管理，云端SOC平台，SAAS化管理平台的联动状态（</w:t>
            </w:r>
            <w:r>
              <w:rPr>
                <w:rFonts w:hint="eastAsia" w:ascii="宋体" w:hAnsi="宋体" w:eastAsia="宋体" w:cs="宋体"/>
                <w:color w:val="auto"/>
                <w:sz w:val="21"/>
                <w:szCs w:val="21"/>
                <w:highlight w:val="none"/>
              </w:rPr>
              <w:t>投标时</w:t>
            </w:r>
            <w:r>
              <w:rPr>
                <w:rFonts w:hint="eastAsia" w:ascii="宋体" w:hAnsi="宋体" w:eastAsia="宋体" w:cs="宋体"/>
                <w:b w:val="0"/>
                <w:bCs w:val="0"/>
                <w:color w:val="auto"/>
                <w:sz w:val="21"/>
                <w:szCs w:val="21"/>
                <w:highlight w:val="none"/>
              </w:rPr>
              <w:t>需提供产品截图证明）</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4、支持以安全策略模板方式对指定终端组快速部署安全策略，安全策略模板支持默认模板和自定义模板；（</w:t>
            </w:r>
            <w:r>
              <w:rPr>
                <w:rFonts w:hint="eastAsia" w:ascii="宋体" w:hAnsi="宋体" w:eastAsia="宋体" w:cs="宋体"/>
                <w:color w:val="auto"/>
                <w:sz w:val="21"/>
                <w:szCs w:val="21"/>
                <w:highlight w:val="none"/>
              </w:rPr>
              <w:t>投标时</w:t>
            </w:r>
            <w:r>
              <w:rPr>
                <w:rFonts w:hint="eastAsia" w:ascii="宋体" w:hAnsi="宋体" w:eastAsia="宋体" w:cs="宋体"/>
                <w:b w:val="0"/>
                <w:bCs w:val="0"/>
                <w:color w:val="auto"/>
                <w:sz w:val="21"/>
                <w:szCs w:val="21"/>
                <w:highlight w:val="none"/>
              </w:rPr>
              <w:t>需提供产品截图证明）</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7、支持跳转链接至云端安全威胁响应系统，针对已发生的病毒的基本信息，影响分析（客户情况、影响行业、区域分布）、威胁分析和处理建议等（</w:t>
            </w:r>
            <w:r>
              <w:rPr>
                <w:rFonts w:hint="eastAsia" w:ascii="宋体" w:hAnsi="宋体" w:eastAsia="宋体" w:cs="宋体"/>
                <w:color w:val="auto"/>
                <w:sz w:val="21"/>
                <w:szCs w:val="21"/>
                <w:highlight w:val="none"/>
              </w:rPr>
              <w:t>投标时</w:t>
            </w:r>
            <w:r>
              <w:rPr>
                <w:rFonts w:hint="eastAsia" w:ascii="宋体" w:hAnsi="宋体" w:eastAsia="宋体" w:cs="宋体"/>
                <w:b w:val="0"/>
                <w:bCs w:val="0"/>
                <w:color w:val="auto"/>
                <w:sz w:val="21"/>
                <w:szCs w:val="21"/>
                <w:highlight w:val="none"/>
              </w:rPr>
              <w:t>需提供产品截图证明）</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10、支持监控诱饵文件，诱饵文件可被实时监控，当勒索病毒对该文件进行修改或加密操作时进行拦截（</w:t>
            </w:r>
            <w:r>
              <w:rPr>
                <w:rFonts w:hint="eastAsia" w:ascii="宋体" w:hAnsi="宋体" w:eastAsia="宋体" w:cs="宋体"/>
                <w:color w:val="auto"/>
                <w:sz w:val="21"/>
                <w:szCs w:val="21"/>
                <w:highlight w:val="none"/>
              </w:rPr>
              <w:t>投标时</w:t>
            </w:r>
            <w:r>
              <w:rPr>
                <w:rFonts w:hint="eastAsia" w:ascii="宋体" w:hAnsi="宋体" w:eastAsia="宋体" w:cs="宋体"/>
                <w:b w:val="0"/>
                <w:bCs w:val="0"/>
                <w:color w:val="auto"/>
                <w:sz w:val="21"/>
                <w:szCs w:val="21"/>
                <w:highlight w:val="none"/>
              </w:rPr>
              <w:t xml:space="preserve">需提供产品截图证明）                                                                                                                             </w:t>
            </w:r>
            <w:r>
              <w:rPr>
                <w:rFonts w:hint="eastAsia" w:ascii="宋体" w:hAnsi="宋体" w:eastAsia="宋体" w:cs="宋体"/>
                <w:b/>
                <w:bCs/>
                <w:color w:val="auto"/>
                <w:sz w:val="21"/>
                <w:szCs w:val="21"/>
                <w:highlight w:val="none"/>
              </w:rPr>
              <w:t xml:space="preserve">三、资质及服务要求                                                                 </w:t>
            </w:r>
          </w:p>
          <w:p>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1、认证：通过中国节能认证证书，3C强制认证，服务体系具备安全工程一级认证及CCCS钻石五星级认证</w:t>
            </w:r>
            <w:r>
              <w:rPr>
                <w:rFonts w:hint="eastAsia" w:ascii="宋体" w:hAnsi="宋体" w:eastAsia="宋体" w:cs="宋体"/>
                <w:b/>
                <w:bCs/>
                <w:color w:val="auto"/>
                <w:sz w:val="21"/>
                <w:szCs w:val="21"/>
                <w:highlight w:val="none"/>
              </w:rPr>
              <w:t>（投标时需提供相关证明文件复印件）</w:t>
            </w:r>
            <w:r>
              <w:rPr>
                <w:rFonts w:hint="eastAsia" w:ascii="宋体" w:hAnsi="宋体" w:eastAsia="宋体" w:cs="宋体"/>
                <w:b w:val="0"/>
                <w:bCs w:val="0"/>
                <w:color w:val="auto"/>
                <w:sz w:val="21"/>
                <w:szCs w:val="21"/>
                <w:highlight w:val="none"/>
              </w:rPr>
              <w:t xml:space="preserve">                                              </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43500</w:t>
            </w:r>
          </w:p>
        </w:tc>
      </w:tr>
      <w:tr>
        <w:tblPrEx>
          <w:tblCellMar>
            <w:top w:w="0" w:type="dxa"/>
            <w:left w:w="108" w:type="dxa"/>
            <w:bottom w:w="0" w:type="dxa"/>
            <w:right w:w="108" w:type="dxa"/>
          </w:tblCellMar>
        </w:tblPrEx>
        <w:trPr>
          <w:trHeight w:val="567" w:hRule="atLeast"/>
          <w:jc w:val="center"/>
        </w:trPr>
        <w:tc>
          <w:tcPr>
            <w:tcW w:w="457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1"/>
                <w:szCs w:val="21"/>
                <w:highlight w:val="none"/>
                <w:lang w:val="en-US" w:eastAsia="zh-CN" w:bidi="ar"/>
              </w:rPr>
              <w:t>208500</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pPr>
              <w:rPr>
                <w:color w:val="auto"/>
                <w:highlight w:val="none"/>
                <w:vertAlign w:val="baseline"/>
              </w:rPr>
            </w:pP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b/>
                <w:bCs/>
                <w:color w:val="auto"/>
                <w:kern w:val="0"/>
                <w:szCs w:val="21"/>
                <w:highlight w:val="none"/>
              </w:rPr>
              <w:t>二、商务服务要求表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交货时间及地点</w:t>
            </w:r>
          </w:p>
        </w:tc>
        <w:tc>
          <w:tcPr>
            <w:tcW w:w="11366" w:type="dxa"/>
            <w:shd w:val="clear" w:color="auto" w:fill="auto"/>
            <w:vAlign w:val="center"/>
          </w:tcPr>
          <w:p>
            <w:pPr>
              <w:widowControl/>
              <w:snapToGrid w:val="0"/>
              <w:spacing w:line="400" w:lineRule="exact"/>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1.交货期：合同签订之日起</w:t>
            </w:r>
            <w:r>
              <w:rPr>
                <w:rFonts w:hint="eastAsia" w:asciiTheme="minorEastAsia" w:hAnsiTheme="minorEastAsia" w:cstheme="minorEastAsia"/>
                <w:color w:val="auto"/>
                <w:kern w:val="0"/>
                <w:szCs w:val="21"/>
                <w:highlight w:val="none"/>
                <w:u w:val="single"/>
                <w:lang w:val="en-US" w:eastAsia="zh-CN"/>
              </w:rPr>
              <w:t>10</w:t>
            </w:r>
            <w:r>
              <w:rPr>
                <w:rFonts w:hint="eastAsia" w:asciiTheme="minorEastAsia" w:hAnsiTheme="minorEastAsia" w:cstheme="minorEastAsia"/>
                <w:color w:val="auto"/>
                <w:kern w:val="0"/>
                <w:szCs w:val="21"/>
                <w:highlight w:val="none"/>
              </w:rPr>
              <w:t>个日历日内交货并安装调试完毕。</w:t>
            </w:r>
          </w:p>
          <w:p>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2.交货地点：</w:t>
            </w:r>
            <w:r>
              <w:rPr>
                <w:rFonts w:hint="eastAsia" w:asciiTheme="minorEastAsia" w:hAnsiTheme="minorEastAsia" w:cstheme="minorEastAsia"/>
                <w:color w:val="auto"/>
                <w:szCs w:val="21"/>
                <w:highlight w:val="none"/>
              </w:rPr>
              <w:t>广西南宁市采购人指定地点（广西水利电力职业技术学院</w:t>
            </w:r>
            <w:r>
              <w:rPr>
                <w:rFonts w:hint="eastAsia" w:asciiTheme="minorEastAsia" w:hAnsiTheme="minorEastAsia" w:cstheme="minorEastAsia"/>
                <w:color w:val="auto"/>
                <w:szCs w:val="21"/>
                <w:highlight w:val="none"/>
                <w:lang w:val="en-US" w:eastAsia="zh-CN"/>
              </w:rPr>
              <w:t>里建</w:t>
            </w:r>
            <w:r>
              <w:rPr>
                <w:rFonts w:hint="eastAsia" w:asciiTheme="minorEastAsia" w:hAnsiTheme="minorEastAsia" w:cstheme="minorEastAsia"/>
                <w:color w:val="auto"/>
                <w:szCs w:val="21"/>
                <w:highlight w:val="none"/>
              </w:rPr>
              <w:t>校区）</w:t>
            </w:r>
            <w:r>
              <w:rPr>
                <w:rStyle w:val="13"/>
                <w:rFonts w:hint="default"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质保期</w:t>
            </w:r>
          </w:p>
        </w:tc>
        <w:tc>
          <w:tcPr>
            <w:tcW w:w="11366"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产品厂商具有专属服务团队，全面支持客户使用过程中遇到的各类问题</w:t>
            </w:r>
            <w:r>
              <w:rPr>
                <w:rFonts w:hint="eastAsia" w:ascii="宋体" w:hAnsi="宋体" w:cs="宋体"/>
                <w:color w:val="auto"/>
                <w:sz w:val="21"/>
                <w:szCs w:val="21"/>
                <w:highlight w:val="none"/>
                <w:lang w:eastAsia="zh-CN"/>
              </w:rPr>
              <w:t>，</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产品质量与售后服务要求</w:t>
            </w:r>
          </w:p>
        </w:tc>
        <w:tc>
          <w:tcPr>
            <w:tcW w:w="11366" w:type="dxa"/>
            <w:shd w:val="clear" w:color="auto" w:fill="auto"/>
            <w:vAlign w:val="center"/>
          </w:tcPr>
          <w:p>
            <w:pPr>
              <w:widowControl/>
              <w:snapToGrid w:val="0"/>
              <w:spacing w:line="400" w:lineRule="exact"/>
              <w:rPr>
                <w:rFonts w:hint="default" w:ascii="宋体" w:hAnsi="宋体"/>
                <w:color w:val="auto"/>
                <w:szCs w:val="21"/>
                <w:highlight w:val="none"/>
              </w:rPr>
            </w:pPr>
            <w:r>
              <w:rPr>
                <w:rStyle w:val="13"/>
                <w:rFonts w:hint="default"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Cs w:val="21"/>
                <w:highlight w:val="none"/>
              </w:rPr>
              <w:t>供应商所投产品</w:t>
            </w:r>
            <w:r>
              <w:rPr>
                <w:rFonts w:hint="eastAsia" w:asciiTheme="minorEastAsia" w:hAnsiTheme="minorEastAsia" w:eastAsiaTheme="minorEastAsia" w:cstheme="minorEastAsia"/>
                <w:b/>
                <w:bCs/>
                <w:color w:val="auto"/>
                <w:szCs w:val="21"/>
                <w:highlight w:val="none"/>
                <w:lang w:val="en-US" w:eastAsia="zh-CN"/>
              </w:rPr>
              <w:t>必须为采购需求中所列出的</w:t>
            </w:r>
            <w:r>
              <w:rPr>
                <w:rFonts w:hint="eastAsia" w:ascii="宋体" w:hAnsi="宋体" w:cs="宋体"/>
                <w:b/>
                <w:bCs/>
                <w:color w:val="auto"/>
                <w:kern w:val="0"/>
                <w:szCs w:val="21"/>
                <w:highlight w:val="none"/>
              </w:rPr>
              <w:t>品牌型号</w:t>
            </w:r>
            <w:r>
              <w:rPr>
                <w:rFonts w:hint="eastAsia" w:ascii="宋体" w:hAnsi="宋体" w:cs="宋体"/>
                <w:color w:val="auto"/>
                <w:kern w:val="0"/>
                <w:szCs w:val="21"/>
                <w:highlight w:val="none"/>
                <w:lang w:eastAsia="zh-CN"/>
              </w:rPr>
              <w:t>，</w:t>
            </w:r>
            <w:r>
              <w:rPr>
                <w:rFonts w:hint="eastAsia" w:asciiTheme="minorEastAsia" w:hAnsiTheme="minorEastAsia" w:cstheme="minorEastAsia"/>
                <w:color w:val="auto"/>
                <w:szCs w:val="21"/>
                <w:highlight w:val="none"/>
              </w:rPr>
              <w:t>所投产品必须能实质性响应采购要求（所投产品应完全满足或优于采购参数要求）</w:t>
            </w:r>
            <w:r>
              <w:rPr>
                <w:rFonts w:hint="eastAsia" w:asciiTheme="minorEastAsia" w:hAnsiTheme="minorEastAsia" w:cstheme="minorEastAsia"/>
                <w:color w:val="auto"/>
                <w:szCs w:val="21"/>
                <w:highlight w:val="none"/>
                <w:lang w:eastAsia="zh-CN"/>
              </w:rPr>
              <w:t>，</w:t>
            </w:r>
            <w:r>
              <w:rPr>
                <w:rFonts w:hint="eastAsia" w:ascii="宋体" w:hAnsi="宋体"/>
                <w:color w:val="auto"/>
                <w:szCs w:val="21"/>
                <w:highlight w:val="none"/>
              </w:rPr>
              <w:t>供货时能按照采购需求的要求提供厂家的供货证明</w:t>
            </w:r>
            <w:r>
              <w:rPr>
                <w:rFonts w:hint="eastAsia" w:ascii="宋体" w:hAnsi="宋体"/>
                <w:color w:val="auto"/>
                <w:szCs w:val="21"/>
                <w:highlight w:val="none"/>
                <w:lang w:val="en-US" w:eastAsia="zh-CN"/>
              </w:rPr>
              <w:t>和</w:t>
            </w:r>
            <w:r>
              <w:rPr>
                <w:rFonts w:hint="eastAsia" w:ascii="宋体" w:hAnsi="宋体"/>
                <w:color w:val="auto"/>
                <w:szCs w:val="21"/>
                <w:highlight w:val="none"/>
              </w:rPr>
              <w:t>售后服务承诺书原件（加盖原厂印章），</w:t>
            </w:r>
            <w:r>
              <w:rPr>
                <w:rFonts w:hint="eastAsia" w:ascii="宋体" w:hAnsi="宋体"/>
                <w:color w:val="auto"/>
                <w:szCs w:val="21"/>
                <w:highlight w:val="none"/>
                <w:lang w:val="en-US" w:eastAsia="zh-CN"/>
              </w:rPr>
              <w:t>并</w:t>
            </w:r>
            <w:r>
              <w:rPr>
                <w:rFonts w:hint="eastAsia" w:ascii="宋体" w:hAnsi="宋体"/>
                <w:color w:val="auto"/>
                <w:szCs w:val="21"/>
                <w:highlight w:val="none"/>
              </w:rPr>
              <w:t>提供设备生产厂商400/800售后服务电话对以上服务内容进行严格查验，避免假冒伪劣产品。对不能满足参数要求虚假响应，或者签订合同后15个日历日内无法交付使用的，采购人可作废标处理，并依法向供应商追究违约责任。</w:t>
            </w:r>
          </w:p>
          <w:p>
            <w:pPr>
              <w:widowControl/>
              <w:snapToGrid w:val="0"/>
              <w:spacing w:line="400" w:lineRule="exact"/>
              <w:jc w:val="left"/>
              <w:textAlignment w:val="center"/>
              <w:rPr>
                <w:rFonts w:hint="eastAsia" w:eastAsia="宋体" w:asciiTheme="minorEastAsia" w:hAnsiTheme="minorEastAsia" w:cstheme="minorEastAsia"/>
                <w:color w:val="auto"/>
                <w:kern w:val="2"/>
                <w:sz w:val="21"/>
                <w:szCs w:val="21"/>
                <w:highlight w:val="none"/>
                <w:lang w:val="en-US" w:eastAsia="zh-CN" w:bidi="ar-SA"/>
              </w:rPr>
            </w:pPr>
            <w:r>
              <w:rPr>
                <w:rStyle w:val="13"/>
                <w:rFonts w:hint="eastAsia" w:asciiTheme="minorEastAsia" w:hAnsiTheme="minorEastAsia" w:eastAsiaTheme="minorEastAsia" w:cstheme="minorEastAsia"/>
                <w:color w:val="auto"/>
                <w:sz w:val="21"/>
                <w:szCs w:val="21"/>
                <w:highlight w:val="none"/>
                <w:lang w:val="en-US" w:eastAsia="zh-CN"/>
              </w:rPr>
              <w:t>2</w:t>
            </w:r>
            <w:r>
              <w:rPr>
                <w:rStyle w:val="13"/>
                <w:rFonts w:hint="default" w:asciiTheme="minorEastAsia" w:hAnsiTheme="minorEastAsia" w:eastAsiaTheme="minorEastAsia" w:cstheme="minorEastAsia"/>
                <w:color w:val="auto"/>
                <w:sz w:val="21"/>
                <w:szCs w:val="21"/>
                <w:highlight w:val="none"/>
              </w:rPr>
              <w:t>、故障响应时间：</w:t>
            </w:r>
            <w:r>
              <w:rPr>
                <w:rFonts w:hint="eastAsia" w:asciiTheme="minorEastAsia" w:hAnsiTheme="minorEastAsia" w:cstheme="minorEastAsia"/>
                <w:color w:val="auto"/>
                <w:kern w:val="0"/>
                <w:szCs w:val="21"/>
                <w:highlight w:val="none"/>
              </w:rPr>
              <w:t>成交供应商收到采购人的故障维修通知后</w:t>
            </w:r>
            <w:r>
              <w:rPr>
                <w:rFonts w:hint="eastAsia" w:ascii="宋体" w:hAnsi="宋体" w:cs="宋体"/>
                <w:color w:val="auto"/>
                <w:kern w:val="0"/>
                <w:szCs w:val="21"/>
                <w:highlight w:val="none"/>
              </w:rPr>
              <w:t>30分钟内</w:t>
            </w:r>
            <w:r>
              <w:rPr>
                <w:rFonts w:hint="eastAsia" w:ascii="宋体" w:hAnsi="宋体" w:cs="宋体"/>
                <w:color w:val="auto"/>
                <w:szCs w:val="21"/>
                <w:highlight w:val="none"/>
              </w:rPr>
              <w:t>电话服务应答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Theme="minorEastAsia" w:hAnsiTheme="minorEastAsia" w:cstheme="minorEastAsia"/>
                <w:color w:val="auto"/>
                <w:kern w:val="0"/>
                <w:szCs w:val="21"/>
                <w:highlight w:val="none"/>
              </w:rPr>
              <w:t>小时内到达现场进行维修，4小时内排除故障，</w:t>
            </w:r>
            <w:r>
              <w:rPr>
                <w:rFonts w:hint="eastAsia" w:ascii="宋体" w:hAnsi="宋体" w:cs="宋体"/>
                <w:color w:val="auto"/>
                <w:szCs w:val="21"/>
                <w:highlight w:val="none"/>
              </w:rPr>
              <w:t>如24小时内无法修复的，质保期内成交供应商应无条件更换新设备或提供代用设备，或采取使设备可正常运转的措施(必须响应)。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Cs w:val="21"/>
                <w:highlight w:val="none"/>
              </w:rPr>
              <w:t>实施和安装要求</w:t>
            </w:r>
          </w:p>
        </w:tc>
        <w:tc>
          <w:tcPr>
            <w:tcW w:w="11366" w:type="dxa"/>
            <w:shd w:val="clear" w:color="auto" w:fill="auto"/>
            <w:vAlign w:val="center"/>
          </w:tcPr>
          <w:p>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本项目为交钥匙工程，成交后，供应商需应严格按竞标产品的安装规范要求进行安装调试，保证设备正常运行，质量合格。</w:t>
            </w:r>
          </w:p>
          <w:p>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（1）根据采购要求的工期提供项目实施方案及进度安排计划表；</w:t>
            </w:r>
          </w:p>
          <w:p>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szCs w:val="21"/>
                <w:highlight w:val="none"/>
              </w:rPr>
              <w:t>供应商必须服从采购单位现场负责人的指挥，按指定地点进行设备安装、调试，确保设备安装符合国家现行技术规范标准；</w:t>
            </w:r>
          </w:p>
          <w:p>
            <w:pPr>
              <w:spacing w:line="400" w:lineRule="exact"/>
              <w:jc w:val="left"/>
              <w:rPr>
                <w:rFonts w:hint="eastAsia" w:asciiTheme="minorEastAsia" w:hAnsiTheme="minorEastAsia" w:cstheme="minorEastAsia"/>
                <w:color w:val="auto"/>
                <w:szCs w:val="21"/>
                <w:highlight w:val="none"/>
              </w:rPr>
            </w:pPr>
            <w:r>
              <w:rPr>
                <w:color w:val="auto"/>
                <w:szCs w:val="21"/>
                <w:highlight w:val="none"/>
              </w:rPr>
              <w:t>（3）</w:t>
            </w:r>
            <w:r>
              <w:rPr>
                <w:rFonts w:hint="eastAsia" w:asciiTheme="minorEastAsia" w:hAnsiTheme="minorEastAsia" w:cstheme="minorEastAsia"/>
                <w:color w:val="auto"/>
                <w:szCs w:val="21"/>
                <w:highlight w:val="none"/>
              </w:rPr>
              <w:t>安装过程中的所有安全保障由供应商自行负责；</w:t>
            </w:r>
          </w:p>
          <w:p>
            <w:pPr>
              <w:spacing w:line="400" w:lineRule="exac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cstheme="minorEastAsia"/>
                <w:color w:val="auto"/>
                <w:kern w:val="0"/>
                <w:szCs w:val="21"/>
                <w:highlight w:val="none"/>
                <w:lang w:val="zh-CN"/>
              </w:rPr>
              <w:t>（</w:t>
            </w:r>
            <w:r>
              <w:rPr>
                <w:rFonts w:hint="eastAsia"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lang w:val="zh-CN"/>
              </w:rPr>
              <w:t>）项目实施过程中产生的垃圾废料由供应商负责清理至校外。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付款方式</w:t>
            </w:r>
          </w:p>
        </w:tc>
        <w:tc>
          <w:tcPr>
            <w:tcW w:w="11366" w:type="dxa"/>
            <w:shd w:val="clear" w:color="auto" w:fill="auto"/>
            <w:vAlign w:val="center"/>
          </w:tcPr>
          <w:p>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验收要求</w:t>
            </w:r>
          </w:p>
        </w:tc>
        <w:tc>
          <w:tcPr>
            <w:tcW w:w="11366" w:type="dxa"/>
            <w:shd w:val="clear" w:color="auto" w:fill="auto"/>
            <w:vAlign w:val="center"/>
          </w:tcPr>
          <w:p>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3、货物（设备）验收合格，项目约定产品或服务方可正式交接，双方对相关货物清单、随机附件及验收结论意见书等书面材料进行清点签字后，作为项目的最终验收。</w:t>
            </w:r>
          </w:p>
          <w:p>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rPr>
              <w:t>4、验收费用：验收所产生的劳务费、检验费及相关发生的全部费用均由成交人承担。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其他要求</w:t>
            </w:r>
          </w:p>
        </w:tc>
        <w:tc>
          <w:tcPr>
            <w:tcW w:w="0" w:type="auto"/>
            <w:shd w:val="clear" w:color="auto" w:fill="auto"/>
            <w:vAlign w:val="center"/>
          </w:tcPr>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1、供应商必须实质性响应本项目标注“▲”的技术参数要求，不允许负偏离</w:t>
            </w:r>
            <w:r>
              <w:rPr>
                <w:rFonts w:hint="eastAsia" w:ascii="宋体" w:hAnsi="宋体" w:cs="宋体"/>
                <w:color w:val="auto"/>
                <w:kern w:val="0"/>
                <w:szCs w:val="21"/>
                <w:highlight w:val="none"/>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w:t>
            </w:r>
            <w:r>
              <w:rPr>
                <w:rFonts w:hint="eastAsia" w:ascii="宋体" w:hAnsi="宋体" w:eastAsia="宋体" w:cs="宋体"/>
                <w:color w:val="auto"/>
                <w:kern w:val="0"/>
                <w:szCs w:val="21"/>
                <w:highlight w:val="none"/>
              </w:rPr>
              <w:t>▲</w:t>
            </w:r>
            <w:r>
              <w:rPr>
                <w:rFonts w:hint="eastAsia" w:ascii="宋体" w:hAnsi="宋体"/>
                <w:color w:val="auto"/>
                <w:kern w:val="0"/>
                <w:szCs w:val="21"/>
                <w:highlight w:val="none"/>
              </w:rPr>
              <w:t>”的技术参数</w:t>
            </w:r>
            <w:r>
              <w:rPr>
                <w:rFonts w:hint="eastAsia" w:ascii="宋体" w:hAnsi="宋体"/>
                <w:color w:val="auto"/>
                <w:highlight w:val="none"/>
                <w:shd w:val="clear"/>
                <w:lang w:eastAsia="zh-CN"/>
              </w:rPr>
              <w:t>负偏离项数不超过</w:t>
            </w:r>
            <w:r>
              <w:rPr>
                <w:rFonts w:hint="eastAsia" w:ascii="宋体" w:hAnsi="宋体"/>
                <w:color w:val="auto"/>
                <w:highlight w:val="none"/>
                <w:shd w:val="clear"/>
                <w:lang w:val="en-US" w:eastAsia="zh-CN"/>
              </w:rPr>
              <w:t>2</w:t>
            </w:r>
            <w:r>
              <w:rPr>
                <w:rFonts w:hint="eastAsia" w:ascii="宋体" w:hAnsi="宋体"/>
                <w:color w:val="auto"/>
                <w:highlight w:val="none"/>
                <w:shd w:val="clear"/>
                <w:lang w:eastAsia="zh-CN"/>
              </w:rPr>
              <w:t>项，否则视为无效响应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olor w:val="auto"/>
                <w:szCs w:val="21"/>
                <w:highlight w:val="none"/>
              </w:rPr>
              <w:t>需提供</w:t>
            </w:r>
            <w:r>
              <w:rPr>
                <w:rFonts w:hint="eastAsia" w:ascii="宋体" w:hAnsi="宋体"/>
                <w:color w:val="auto"/>
                <w:szCs w:val="21"/>
                <w:highlight w:val="none"/>
              </w:rPr>
              <w:t>《商务、技术响应、偏离情况说明表》（格式自拟）</w:t>
            </w:r>
            <w:r>
              <w:rPr>
                <w:rFonts w:hint="eastAsia" w:ascii="宋体" w:hAnsi="宋体" w:eastAsia="宋体" w:cs="宋体"/>
                <w:color w:val="auto"/>
                <w:kern w:val="0"/>
                <w:szCs w:val="21"/>
                <w:highlight w:val="none"/>
              </w:rPr>
              <w:t>及相关佐证材料，以上材料加盖供应商公章】， 否则视为无效响应。</w:t>
            </w:r>
          </w:p>
          <w:p>
            <w:pPr>
              <w:autoSpaceDE w:val="0"/>
              <w:autoSpaceDN w:val="0"/>
              <w:adjustRightInd w:val="0"/>
              <w:spacing w:line="400" w:lineRule="exact"/>
              <w:ind w:firstLine="420" w:firstLineChars="200"/>
              <w:rPr>
                <w:rFonts w:hint="eastAsia" w:eastAsia="宋体"/>
                <w:color w:val="auto"/>
                <w:szCs w:val="21"/>
                <w:highlight w:val="none"/>
                <w:lang w:val="en-US" w:eastAsia="zh-CN"/>
              </w:rPr>
            </w:pPr>
            <w:r>
              <w:rPr>
                <w:rFonts w:hint="eastAsia" w:ascii="宋体" w:hAnsi="宋体" w:eastAsia="宋体" w:cs="宋体"/>
                <w:color w:val="auto"/>
                <w:kern w:val="0"/>
                <w:szCs w:val="21"/>
                <w:highlight w:val="none"/>
              </w:rPr>
              <w:t>2、</w:t>
            </w:r>
            <w:r>
              <w:rPr>
                <w:rFonts w:hint="eastAsia"/>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highlight w:val="none"/>
              </w:rPr>
              <w:t>本项目采购的产品如属于</w:t>
            </w:r>
            <w:r>
              <w:rPr>
                <w:rFonts w:hint="eastAsia"/>
                <w:color w:val="auto"/>
                <w:szCs w:val="21"/>
                <w:highlight w:val="none"/>
              </w:rPr>
              <w:t>节能产品政府采购品目清单内标注“</w:t>
            </w:r>
            <w:r>
              <w:rPr>
                <w:rFonts w:hint="eastAsia" w:ascii="宋体" w:hAnsi="宋体"/>
                <w:color w:val="auto"/>
                <w:kern w:val="0"/>
                <w:szCs w:val="21"/>
                <w:highlight w:val="none"/>
                <w:lang w:eastAsia="zh-CN"/>
              </w:rPr>
              <w:t>★</w:t>
            </w:r>
            <w:r>
              <w:rPr>
                <w:rFonts w:hint="eastAsia"/>
                <w:color w:val="auto"/>
                <w:szCs w:val="21"/>
                <w:highlight w:val="none"/>
              </w:rPr>
              <w:t>”的产品的，供应商的竞标货物必须使用政府强制采购的节能产品，</w:t>
            </w:r>
            <w:r>
              <w:rPr>
                <w:rFonts w:hint="eastAsia" w:ascii="宋体" w:hAnsi="宋体" w:eastAsia="宋体" w:cs="宋体"/>
                <w:color w:val="auto"/>
                <w:szCs w:val="21"/>
                <w:highlight w:val="none"/>
              </w:rPr>
              <w:t>竞标时须提供国家确定的认证机构出具的、处于有效期之内的有效的节能产品认证证书复印件并加盖供应商公章，</w:t>
            </w:r>
            <w:r>
              <w:rPr>
                <w:rFonts w:hint="eastAsia"/>
                <w:color w:val="auto"/>
                <w:szCs w:val="21"/>
                <w:highlight w:val="none"/>
              </w:rPr>
              <w:t>否则响应文件作无效竞标处理。</w:t>
            </w:r>
            <w:r>
              <w:rPr>
                <w:rFonts w:hint="eastAsia" w:ascii="宋体" w:hAnsi="宋体" w:cs="宋体"/>
                <w:color w:val="auto"/>
                <w:sz w:val="20"/>
                <w:szCs w:val="20"/>
                <w:highlight w:val="none"/>
              </w:rPr>
              <w:t xml:space="preserve"> </w:t>
            </w:r>
          </w:p>
          <w:p>
            <w:pPr>
              <w:autoSpaceDE w:val="0"/>
              <w:autoSpaceDN w:val="0"/>
              <w:adjustRightInd w:val="0"/>
              <w:spacing w:line="400" w:lineRule="exact"/>
              <w:ind w:firstLine="420" w:firstLineChars="200"/>
              <w:rPr>
                <w:rFonts w:hint="default"/>
                <w:color w:val="auto"/>
                <w:highlight w:val="none"/>
                <w:lang w:val="en-US" w:eastAsia="zh-CN"/>
              </w:rPr>
            </w:pPr>
            <w:r>
              <w:rPr>
                <w:rFonts w:hint="eastAsia" w:ascii="宋体" w:hAnsi="宋体" w:eastAsia="宋体" w:cs="宋体"/>
                <w:color w:val="auto"/>
                <w:kern w:val="0"/>
                <w:szCs w:val="21"/>
                <w:highlight w:val="none"/>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highlight w:val="none"/>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pPr>
        <w:pStyle w:val="3"/>
        <w:rPr>
          <w:color w:val="auto"/>
        </w:rPr>
      </w:pPr>
    </w:p>
    <w:p>
      <w:pPr>
        <w:rPr>
          <w:color w:val="auto"/>
        </w:rPr>
      </w:pPr>
    </w:p>
    <w:p>
      <w:pPr>
        <w:rPr>
          <w:color w:val="auto"/>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xYzA3ODUyZDRiODcxMWQyYmI1ZmZhMWYwNzBkYjY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5A3AFD"/>
    <w:rsid w:val="0CB06944"/>
    <w:rsid w:val="0D693500"/>
    <w:rsid w:val="0D7C0FEF"/>
    <w:rsid w:val="0D907DC5"/>
    <w:rsid w:val="0DF539E8"/>
    <w:rsid w:val="0E06452B"/>
    <w:rsid w:val="0E1409F6"/>
    <w:rsid w:val="0E572FD9"/>
    <w:rsid w:val="0EA77ABC"/>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756D52"/>
    <w:rsid w:val="169F45B2"/>
    <w:rsid w:val="16EB1C4C"/>
    <w:rsid w:val="170574C9"/>
    <w:rsid w:val="173E0892"/>
    <w:rsid w:val="17AD77C6"/>
    <w:rsid w:val="180A2E6A"/>
    <w:rsid w:val="182757CA"/>
    <w:rsid w:val="18B0756E"/>
    <w:rsid w:val="197373DD"/>
    <w:rsid w:val="19AF7DF1"/>
    <w:rsid w:val="19E25E4D"/>
    <w:rsid w:val="19FB6C07"/>
    <w:rsid w:val="1B7A3E63"/>
    <w:rsid w:val="1BB71917"/>
    <w:rsid w:val="1BC34054"/>
    <w:rsid w:val="1BDC5123"/>
    <w:rsid w:val="1C695629"/>
    <w:rsid w:val="1CCE158A"/>
    <w:rsid w:val="1CF83EBA"/>
    <w:rsid w:val="1CFC0FD3"/>
    <w:rsid w:val="1E593087"/>
    <w:rsid w:val="1EA30F1D"/>
    <w:rsid w:val="1FD46187"/>
    <w:rsid w:val="20607D86"/>
    <w:rsid w:val="20AA346D"/>
    <w:rsid w:val="21CD5EBA"/>
    <w:rsid w:val="224B0307"/>
    <w:rsid w:val="22942393"/>
    <w:rsid w:val="22E53BE8"/>
    <w:rsid w:val="22E76CD5"/>
    <w:rsid w:val="23234DAD"/>
    <w:rsid w:val="23817B23"/>
    <w:rsid w:val="238A585A"/>
    <w:rsid w:val="238C0BD7"/>
    <w:rsid w:val="23A36435"/>
    <w:rsid w:val="23A61397"/>
    <w:rsid w:val="23FA65E1"/>
    <w:rsid w:val="241A61E3"/>
    <w:rsid w:val="24522960"/>
    <w:rsid w:val="247578BD"/>
    <w:rsid w:val="255F69BB"/>
    <w:rsid w:val="26A04291"/>
    <w:rsid w:val="26A34BB6"/>
    <w:rsid w:val="2753038A"/>
    <w:rsid w:val="27DD3CE9"/>
    <w:rsid w:val="28185DA2"/>
    <w:rsid w:val="289724F8"/>
    <w:rsid w:val="289B3D96"/>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2E6640D"/>
    <w:rsid w:val="330313D6"/>
    <w:rsid w:val="33D360B3"/>
    <w:rsid w:val="34531AA2"/>
    <w:rsid w:val="34642367"/>
    <w:rsid w:val="35E16A2E"/>
    <w:rsid w:val="36362684"/>
    <w:rsid w:val="368F480F"/>
    <w:rsid w:val="36985DB9"/>
    <w:rsid w:val="36AD5148"/>
    <w:rsid w:val="371A4544"/>
    <w:rsid w:val="3757544A"/>
    <w:rsid w:val="37755E86"/>
    <w:rsid w:val="38D9696E"/>
    <w:rsid w:val="3905700A"/>
    <w:rsid w:val="390F2A93"/>
    <w:rsid w:val="397A79F8"/>
    <w:rsid w:val="39D07618"/>
    <w:rsid w:val="39DE2D7E"/>
    <w:rsid w:val="3A4C399D"/>
    <w:rsid w:val="3AAB781D"/>
    <w:rsid w:val="3AC23405"/>
    <w:rsid w:val="3AF81008"/>
    <w:rsid w:val="3B5E449F"/>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263A5A"/>
    <w:rsid w:val="449201B8"/>
    <w:rsid w:val="44966E6C"/>
    <w:rsid w:val="44994855"/>
    <w:rsid w:val="44E40606"/>
    <w:rsid w:val="45310E46"/>
    <w:rsid w:val="4581088E"/>
    <w:rsid w:val="45FC03BF"/>
    <w:rsid w:val="46B34549"/>
    <w:rsid w:val="4743767B"/>
    <w:rsid w:val="48502E97"/>
    <w:rsid w:val="48DA32E9"/>
    <w:rsid w:val="48E522B6"/>
    <w:rsid w:val="490A67FA"/>
    <w:rsid w:val="49EF33A1"/>
    <w:rsid w:val="49F7687F"/>
    <w:rsid w:val="4B02599F"/>
    <w:rsid w:val="4B8B2F80"/>
    <w:rsid w:val="4B9761E7"/>
    <w:rsid w:val="4BE17463"/>
    <w:rsid w:val="4BFC429C"/>
    <w:rsid w:val="4C2677C7"/>
    <w:rsid w:val="4CC96874"/>
    <w:rsid w:val="4D9549A9"/>
    <w:rsid w:val="4DD5541C"/>
    <w:rsid w:val="4E0451F9"/>
    <w:rsid w:val="4ECF7A46"/>
    <w:rsid w:val="503A73A6"/>
    <w:rsid w:val="507B5A4E"/>
    <w:rsid w:val="50A56427"/>
    <w:rsid w:val="51703763"/>
    <w:rsid w:val="51704C1D"/>
    <w:rsid w:val="51A837F2"/>
    <w:rsid w:val="51F96325"/>
    <w:rsid w:val="52F26AC7"/>
    <w:rsid w:val="54491472"/>
    <w:rsid w:val="5488491F"/>
    <w:rsid w:val="548F7351"/>
    <w:rsid w:val="55654C60"/>
    <w:rsid w:val="558F7E43"/>
    <w:rsid w:val="559B0682"/>
    <w:rsid w:val="56022098"/>
    <w:rsid w:val="562D75AF"/>
    <w:rsid w:val="56DF6C95"/>
    <w:rsid w:val="579161E1"/>
    <w:rsid w:val="5794182D"/>
    <w:rsid w:val="57DA2CC3"/>
    <w:rsid w:val="58551CB2"/>
    <w:rsid w:val="586A3939"/>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530A95"/>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B3227"/>
    <w:rsid w:val="74162D65"/>
    <w:rsid w:val="74253E9F"/>
    <w:rsid w:val="745A4070"/>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2608</Words>
  <Characters>3010</Characters>
  <Lines>116</Lines>
  <Paragraphs>32</Paragraphs>
  <TotalTime>8</TotalTime>
  <ScaleCrop>false</ScaleCrop>
  <LinksUpToDate>false</LinksUpToDate>
  <CharactersWithSpaces>3805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Administrator</cp:lastModifiedBy>
  <dcterms:modified xsi:type="dcterms:W3CDTF">2025-08-18T03:10:35Z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80F70A4EA4C6476F921404372B833C6C_13</vt:lpwstr>
  </property>
  <property fmtid="{D5CDD505-2E9C-101B-9397-08002B2CF9AE}" pid="4" name="KSOTemplateDocerSaveRecord">
    <vt:lpwstr>eyJoZGlkIjoiM2MxYzA3ODUyZDRiODcxMWQyYmI1ZmZhMWYwNzBkYjYiLCJ1c2VySWQiOiI1ODI0ODIzODAifQ==</vt:lpwstr>
  </property>
</Properties>
</file>