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B115A">
      <w:pPr>
        <w:jc w:val="center"/>
        <w:rPr>
          <w:rFonts w:hint="default" w:ascii="宋体" w:hAnsi="宋体" w:eastAsia="宋体"/>
          <w:b/>
          <w:bCs/>
          <w:color w:val="auto"/>
          <w:kern w:val="0"/>
          <w:sz w:val="32"/>
          <w:szCs w:val="32"/>
          <w:lang w:val="en-US" w:eastAsia="zh-CN"/>
        </w:rPr>
      </w:pPr>
      <w:r>
        <w:rPr>
          <w:rFonts w:hint="eastAsia" w:ascii="宋体" w:hAnsi="宋体"/>
          <w:b/>
          <w:bCs/>
          <w:color w:val="auto"/>
          <w:kern w:val="0"/>
          <w:sz w:val="32"/>
          <w:szCs w:val="32"/>
          <w:lang w:val="en-US" w:eastAsia="zh-CN"/>
        </w:rPr>
        <w:t>职业院校技能竞赛云计算应用竞赛设备采购清单</w:t>
      </w:r>
    </w:p>
    <w:tbl>
      <w:tblPr>
        <w:tblStyle w:val="9"/>
        <w:tblpPr w:leftFromText="180" w:rightFromText="180" w:vertAnchor="text" w:horzAnchor="page" w:tblpXSpec="center" w:tblpY="648"/>
        <w:tblOverlap w:val="never"/>
        <w:tblW w:w="4976" w:type="pct"/>
        <w:jc w:val="center"/>
        <w:tblLayout w:type="autofit"/>
        <w:tblCellMar>
          <w:top w:w="0" w:type="dxa"/>
          <w:left w:w="108" w:type="dxa"/>
          <w:bottom w:w="0" w:type="dxa"/>
          <w:right w:w="108" w:type="dxa"/>
        </w:tblCellMar>
      </w:tblPr>
      <w:tblGrid>
        <w:gridCol w:w="430"/>
        <w:gridCol w:w="800"/>
        <w:gridCol w:w="1476"/>
        <w:gridCol w:w="8488"/>
        <w:gridCol w:w="582"/>
        <w:gridCol w:w="626"/>
        <w:gridCol w:w="1163"/>
        <w:gridCol w:w="1258"/>
      </w:tblGrid>
      <w:tr w14:paraId="153B12A8">
        <w:tblPrEx>
          <w:tblCellMar>
            <w:top w:w="0" w:type="dxa"/>
            <w:left w:w="108" w:type="dxa"/>
            <w:bottom w:w="0" w:type="dxa"/>
            <w:right w:w="108" w:type="dxa"/>
          </w:tblCellMar>
        </w:tblPrEx>
        <w:trPr>
          <w:trHeight w:val="56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99465F">
            <w:pPr>
              <w:widowControl/>
              <w:jc w:val="left"/>
              <w:textAlignment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一、技术参数要求表</w:t>
            </w:r>
          </w:p>
        </w:tc>
      </w:tr>
      <w:tr w14:paraId="0215C3E3">
        <w:tblPrEx>
          <w:tblCellMar>
            <w:top w:w="0" w:type="dxa"/>
            <w:left w:w="108" w:type="dxa"/>
            <w:bottom w:w="0" w:type="dxa"/>
            <w:right w:w="108" w:type="dxa"/>
          </w:tblCellMar>
        </w:tblPrEx>
        <w:trPr>
          <w:trHeight w:val="288"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30C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项号</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B2013">
            <w:pPr>
              <w:widowControl/>
              <w:jc w:val="center"/>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b/>
                <w:bCs/>
                <w:color w:val="auto"/>
                <w:kern w:val="0"/>
                <w:sz w:val="21"/>
                <w:szCs w:val="21"/>
                <w:highlight w:val="none"/>
                <w:lang w:bidi="ar"/>
              </w:rPr>
              <w:t>货物</w:t>
            </w:r>
          </w:p>
          <w:p w14:paraId="143377B0">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名称</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F41F">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品牌</w:t>
            </w:r>
            <w:r>
              <w:rPr>
                <w:rFonts w:hint="eastAsia" w:ascii="宋体" w:hAnsi="宋体" w:cs="宋体"/>
                <w:b/>
                <w:bCs/>
                <w:color w:val="auto"/>
                <w:kern w:val="0"/>
                <w:sz w:val="21"/>
                <w:szCs w:val="21"/>
                <w:highlight w:val="none"/>
                <w:lang w:val="en-US" w:eastAsia="zh-CN" w:bidi="ar"/>
              </w:rPr>
              <w:t>型号</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45EA3">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主要技术参数及性能（配置）要求</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E1E52">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数量</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432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单位</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8619">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单价（元）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66107">
            <w:pPr>
              <w:widowControl/>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0"/>
                <w:sz w:val="21"/>
                <w:szCs w:val="21"/>
                <w:highlight w:val="none"/>
                <w:lang w:bidi="ar"/>
              </w:rPr>
              <w:t>总价（元）</w:t>
            </w:r>
          </w:p>
        </w:tc>
      </w:tr>
      <w:tr w14:paraId="35BA626B">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6AF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825C">
            <w:pPr>
              <w:widowControl/>
              <w:jc w:val="center"/>
              <w:textAlignment w:val="center"/>
              <w:rPr>
                <w:rFonts w:hint="eastAsia" w:ascii="宋体" w:hAnsi="宋体" w:eastAsia="宋体" w:cs="宋体"/>
                <w:color w:val="auto"/>
                <w:kern w:val="0"/>
                <w:sz w:val="21"/>
                <w:szCs w:val="21"/>
                <w:highlight w:val="none"/>
                <w:lang w:bidi="ar"/>
              </w:rPr>
            </w:pPr>
            <w:r>
              <w:rPr>
                <w:rFonts w:hint="eastAsia" w:ascii="宋体" w:hAnsi="宋体"/>
                <w:color w:val="auto"/>
                <w:sz w:val="22"/>
                <w:lang w:val="en-US" w:eastAsia="zh-CN"/>
              </w:rPr>
              <w:t>竞赛服务器</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64A17">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联想 ThinkServer SR660V2</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F6DCD">
            <w:pPr>
              <w:widowControl/>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一、硬件要求:</w:t>
            </w:r>
          </w:p>
          <w:p w14:paraId="783666C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1、总体要求:2U机架服务器，国内知名品牌，国内拥有多家生产工厂。</w:t>
            </w:r>
          </w:p>
          <w:p w14:paraId="1FFBA17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2、处理器要求:配置&gt;2个IntelXeon Silver 4314 16C 120W 2.4GHz处理器处理器，可选最大可支持至36核处理器;</w:t>
            </w:r>
          </w:p>
          <w:p w14:paraId="0F687768">
            <w:pPr>
              <w:widowControl/>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3、内存要求:本次配置&gt;8*32GB DDR4 3200MHz内存，本机配置32个内存DIMIs扩展槽，最大支持&gt;3TB内存容</w:t>
            </w:r>
            <w:r>
              <w:rPr>
                <w:rFonts w:hint="eastAsia" w:ascii="宋体" w:hAnsi="宋体" w:cs="宋体"/>
                <w:color w:val="auto"/>
                <w:sz w:val="21"/>
                <w:szCs w:val="21"/>
                <w:highlight w:val="none"/>
                <w:lang w:val="en-US" w:eastAsia="zh-CN"/>
              </w:rPr>
              <w:t>量</w:t>
            </w:r>
          </w:p>
          <w:p w14:paraId="0A4CF16C">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4、硬盘:本次配置&gt;2块2.5 英寸960G固态硬盘，&gt;6块8TSATA企业级硬盘;本机最大支持&gt;28块SAS硬盘:支持前置驱动器托架中切换SAS，SATA或IVIe PCIe驱动器;</w:t>
            </w:r>
          </w:p>
          <w:p w14:paraId="1FE4585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5、RAID阵列卡&gt;1张2G缓存独立RAID阵列卡，支持0/1/10/5 RAID级别;可选RAID6/60，最大支持8GB闪存;</w:t>
            </w:r>
          </w:p>
          <w:p w14:paraId="60EF162D">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6、网络接口:支持可选的0CP3.0模块，提供10G、25G、40G等多种网络接口选择，本次配置&gt;4个1000M网口，支持网卡冗余、负载均衡、isCSI连接，虚拟化功能;</w:t>
            </w:r>
          </w:p>
          <w:p w14:paraId="25223FA0">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7、I/0扩展:最大支持10个PCIe插槽，支持两个专用的0CP插槽和不低于6个PCIe4.0标准插槽;</w:t>
            </w:r>
          </w:p>
          <w:p w14:paraId="1C9BCE7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8、支持3个双宽或8个单宽GPU，支持FPGA:</w:t>
            </w:r>
          </w:p>
          <w:p w14:paraId="7536CBB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9、电源及散热&gt;2个800W铂金热插拔冗余电源;</w:t>
            </w:r>
          </w:p>
          <w:p w14:paraId="6DB59DE5">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二、数据安全保护软件</w:t>
            </w:r>
            <w:r>
              <w:rPr>
                <w:rFonts w:hint="eastAsia" w:ascii="宋体" w:hAnsi="宋体" w:eastAsia="宋体" w:cs="宋体"/>
                <w:color w:val="auto"/>
                <w:sz w:val="21"/>
                <w:szCs w:val="21"/>
                <w:highlight w:val="none"/>
              </w:rPr>
              <w:t xml:space="preserve">                                                                             1、产品可以纯软件交付，包含管理控制中心软件及终端客户端软件，其中管理控制中心可云化部署；</w:t>
            </w:r>
          </w:p>
          <w:p w14:paraId="63C20857">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2、管理平台要求其操作系统为64位的Centos7或ubuntu等操作系统</w:t>
            </w:r>
          </w:p>
          <w:p w14:paraId="0976E7A1">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3、支持展示跟同品牌下一代防火墙、安全感知平台、上网行为管理，云端SOC平台，SAAS化管理平台的联动状态</w:t>
            </w:r>
          </w:p>
          <w:p w14:paraId="54E0DCC0">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4、支持以安全策略模板方式对指定终端组快速部署安全策略，安全策略模板支持默认模板和自定义模板；</w:t>
            </w:r>
          </w:p>
          <w:p w14:paraId="1E60CBDF">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14:paraId="7C7A9EBB">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14:paraId="01EEB218">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7、支持跳转链接至云端安全威胁响应系统，针对已发生的病毒的基本信息，影响分析（客户情况、影响行业、区域分布）、威胁分析和处理建议等</w:t>
            </w:r>
          </w:p>
          <w:p w14:paraId="3F74AF61">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14:paraId="00F03504">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14:paraId="239944BB">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10、支持监控诱饵文件，诱饵文件可被实时监控，当勒索病毒对该文件进行修改或加密操作时进行拦截</w:t>
            </w:r>
          </w:p>
          <w:p w14:paraId="39A6C1AB">
            <w:pPr>
              <w:widowControl/>
              <w:jc w:val="left"/>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三、资质</w:t>
            </w:r>
            <w:r>
              <w:rPr>
                <w:rFonts w:hint="eastAsia" w:ascii="宋体" w:hAnsi="宋体" w:cs="宋体"/>
                <w:b/>
                <w:bCs/>
                <w:color w:val="auto"/>
                <w:sz w:val="21"/>
                <w:szCs w:val="21"/>
                <w:highlight w:val="none"/>
                <w:lang w:val="en-US" w:eastAsia="zh-CN"/>
              </w:rPr>
              <w:t>要求</w:t>
            </w:r>
          </w:p>
          <w:p w14:paraId="738D31E7">
            <w:pPr>
              <w:widowControl/>
              <w:jc w:val="left"/>
              <w:textAlignment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1、产品生产厂商具有ISO9001 质量管理体系认证、IT产品信息安全认证证书EAL4、CMMI五级、CCCS客户联络中心标准体系认证证书五星级及以上、国家信息安全测评信息安全服务资质证书：安全工程一级、SA8000企业社会责任管理体系认证等证明文件；</w:t>
            </w:r>
          </w:p>
          <w:p w14:paraId="4EE150AD">
            <w:pPr>
              <w:widowControl/>
              <w:jc w:val="left"/>
              <w:textAlignment w:val="center"/>
              <w:rPr>
                <w:rFonts w:hint="eastAsia" w:ascii="宋体" w:hAnsi="宋体" w:eastAsia="宋体" w:cs="宋体"/>
                <w:color w:val="auto"/>
                <w:sz w:val="21"/>
                <w:szCs w:val="21"/>
                <w:highlight w:val="none"/>
              </w:rPr>
            </w:pPr>
          </w:p>
          <w:p w14:paraId="2486D17D">
            <w:pPr>
              <w:widowControl/>
              <w:jc w:val="left"/>
              <w:textAlignment w:val="center"/>
              <w:rPr>
                <w:rFonts w:hint="eastAsia" w:ascii="宋体" w:hAnsi="宋体" w:eastAsia="宋体" w:cs="宋体"/>
                <w:color w:val="auto"/>
                <w:sz w:val="21"/>
                <w:szCs w:val="21"/>
                <w:highlight w:val="none"/>
              </w:rPr>
            </w:pPr>
          </w:p>
          <w:p w14:paraId="59228347">
            <w:pPr>
              <w:widowControl/>
              <w:jc w:val="left"/>
              <w:textAlignment w:val="center"/>
              <w:rPr>
                <w:rFonts w:hint="eastAsia" w:ascii="宋体" w:hAnsi="宋体" w:eastAsia="宋体" w:cs="宋体"/>
                <w:color w:val="auto"/>
                <w:sz w:val="21"/>
                <w:szCs w:val="21"/>
                <w:highlight w:val="none"/>
              </w:rPr>
            </w:pPr>
          </w:p>
          <w:p w14:paraId="1388C85E">
            <w:pPr>
              <w:widowControl/>
              <w:jc w:val="left"/>
              <w:textAlignment w:val="center"/>
              <w:rPr>
                <w:rFonts w:hint="eastAsia" w:ascii="宋体" w:hAnsi="宋体" w:eastAsia="宋体" w:cs="宋体"/>
                <w:color w:val="auto"/>
                <w:sz w:val="21"/>
                <w:szCs w:val="21"/>
                <w:highlight w:val="none"/>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5590B">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D54F">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2FE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82500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4B68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165000</w:t>
            </w:r>
          </w:p>
        </w:tc>
      </w:tr>
      <w:tr w14:paraId="5DFD2D6E">
        <w:tblPrEx>
          <w:tblCellMar>
            <w:top w:w="0" w:type="dxa"/>
            <w:left w:w="108" w:type="dxa"/>
            <w:bottom w:w="0" w:type="dxa"/>
            <w:right w:w="108" w:type="dxa"/>
          </w:tblCellMar>
        </w:tblPrEx>
        <w:trPr>
          <w:trHeight w:val="90" w:hRule="atLeast"/>
          <w:jc w:val="center"/>
        </w:trPr>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27643">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452F">
            <w:pPr>
              <w:widowControl/>
              <w:jc w:val="center"/>
              <w:textAlignment w:val="center"/>
              <w:rPr>
                <w:rFonts w:hint="eastAsia" w:ascii="宋体" w:hAnsi="宋体"/>
                <w:color w:val="auto"/>
                <w:sz w:val="22"/>
                <w:lang w:val="en-US" w:eastAsia="zh-CN"/>
              </w:rPr>
            </w:pPr>
            <w:r>
              <w:rPr>
                <w:rFonts w:hint="eastAsia" w:ascii="宋体" w:hAnsi="宋体"/>
                <w:color w:val="auto"/>
                <w:sz w:val="22"/>
                <w:lang w:val="en-US" w:eastAsia="zh-CN"/>
              </w:rPr>
              <w:t>台式工作站</w:t>
            </w:r>
          </w:p>
        </w:tc>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9433F">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rPr>
              <w:t>联想ThinkStation P368</w:t>
            </w:r>
          </w:p>
        </w:tc>
        <w:tc>
          <w:tcPr>
            <w:tcW w:w="2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35C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一、硬件要求： </w:t>
            </w:r>
            <w:r>
              <w:rPr>
                <w:rFonts w:hint="eastAsia" w:ascii="宋体" w:hAnsi="宋体" w:eastAsia="宋体" w:cs="宋体"/>
                <w:b w:val="0"/>
                <w:bCs w:val="0"/>
                <w:color w:val="auto"/>
                <w:sz w:val="21"/>
                <w:szCs w:val="21"/>
                <w:highlight w:val="none"/>
              </w:rPr>
              <w:t xml:space="preserve">                                                                                                                        </w:t>
            </w:r>
          </w:p>
          <w:p w14:paraId="0BCED410">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1、处理器≥英特酷睿Core I9-12900 2.4G 16C处理器或以上；</w:t>
            </w:r>
          </w:p>
          <w:p w14:paraId="5855995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2、芯片组≥Intel Q670芯片组及以上，具备1个PCI-E*16、2个PCI-E*4槽位，四个内存槽位，≥2个M.2接口，主板具备USB屏蔽技术，仅识别USB键盘、鼠标，无法识别USB读取设备，有效防止数据泄露；</w:t>
            </w:r>
          </w:p>
          <w:p w14:paraId="1D578AF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3、内存≥4*16GB DDR4 3200内存；</w:t>
            </w:r>
          </w:p>
          <w:p w14:paraId="7ACE13A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4、硬盘≥512G M.2 SSD固态盘+1T机械硬盘；                                              </w:t>
            </w:r>
          </w:p>
          <w:p w14:paraId="25BDF2B1">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5、网卡：主板集成千兆网卡；</w:t>
            </w:r>
          </w:p>
          <w:p w14:paraId="5D52745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6、显卡：集成显卡；</w:t>
            </w:r>
          </w:p>
          <w:p w14:paraId="08466919">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7、键鼠：原厂标准USB键盘及光电鼠标；</w:t>
            </w:r>
          </w:p>
          <w:p w14:paraId="1E154D8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8、接口≥8个USB接口(其中至少2个USB 3.2 G2接口 )、≥3个视频接口（VGA、HDMI、DP均可），支持5.1声道(提供前2后3共5个音频接口)；</w:t>
            </w:r>
          </w:p>
          <w:p w14:paraId="1A80D612">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9、机箱：标准MATX立式机箱，机箱容积≤17L，免工具拆卸，顶置电源开关键，方便开关机,内置可降解甲醛等有害物质光触媒散热风扇,有效去除教学环境中甲醛等有害物质；                                                                                        </w:t>
            </w:r>
          </w:p>
          <w:p w14:paraId="7CBE18E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10、系统：Windows正版操作系统或以上版本;                                                      </w:t>
            </w:r>
          </w:p>
          <w:p w14:paraId="15E91B0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11、电源：电源≥500W电源；</w:t>
            </w:r>
          </w:p>
          <w:p w14:paraId="6995FF7C">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12、显示器：≥27寸高清液晶显示器；                                                                     </w:t>
            </w:r>
          </w:p>
          <w:p w14:paraId="3CD85CB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12、为确保整机运行稳定性及兼容性，以上硬件配置须为原厂标配，要求为原厂工作站型号；</w:t>
            </w:r>
          </w:p>
          <w:p w14:paraId="6E9EF42E">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 xml:space="preserve">二、数据安全保护软件  </w:t>
            </w:r>
            <w:r>
              <w:rPr>
                <w:rFonts w:hint="eastAsia" w:ascii="宋体" w:hAnsi="宋体" w:eastAsia="宋体" w:cs="宋体"/>
                <w:b w:val="0"/>
                <w:bCs w:val="0"/>
                <w:color w:val="auto"/>
                <w:sz w:val="21"/>
                <w:szCs w:val="21"/>
                <w:highlight w:val="none"/>
              </w:rPr>
              <w:t xml:space="preserve">                                                                           </w:t>
            </w:r>
          </w:p>
          <w:p w14:paraId="3ECC8C2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1、产品可以纯软件交付，包含管理控制中心软件及终端客户端软件，其中管理控制中心可云化部署；</w:t>
            </w:r>
          </w:p>
          <w:p w14:paraId="631C228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2、管理平台要求其操作系统为64位的Centos7或ubuntu等操作系统</w:t>
            </w:r>
          </w:p>
          <w:p w14:paraId="3762691B">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3、支持展示跟同品牌下一代防火墙、安全感知平台、上网行为管理，云端SOC平台，SAAS化管理平台的联动状态</w:t>
            </w:r>
          </w:p>
          <w:p w14:paraId="6D3A2D33">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4、支持以安全策略模板方式对指定终端组快速部署安全策略，安全策略模板支持默认模板和自定义模板；</w:t>
            </w:r>
          </w:p>
          <w:p w14:paraId="2D3D1BF6">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支持安全策略一体化配置，通过一条策略即可实现不同安全功能的配置，包括：终端病毒查杀的文件扫描配置、文件实时监控的参数配置、WebShell检测和威胁处置方式、暴力破解的威胁处置方式和Windows白名单信任目录；</w:t>
            </w:r>
          </w:p>
          <w:p w14:paraId="42F658E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支持对主机账号信息进行梳理，可按照“7天”、“30天”展示登录历史，了解账号风险，包括是否存在隐藏账号、弱密码账号、可疑root权限账号、长期未使用账号、半夜登录、多IP登录等，并可以将存在风险账号的主机列表导出</w:t>
            </w:r>
          </w:p>
          <w:p w14:paraId="61E76AA8">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7、支持跳转链接至云端安全威胁响应系统，针对已发生的病毒的基本信息，影响分析（客户情况、影响行业、区域分布）、威胁分析和处理建议等</w:t>
            </w:r>
          </w:p>
          <w:p w14:paraId="56BB08C5">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具备基于本地缓存信誉检测与全网信誉检测，构建企业全网信誉库的检测引擎，做到企业内网一台威胁，全网感知并进行针对性查杀，支持处置病毒时选择是否在其它终端上同步处置有效提升查杀效率，减少终端资源开销</w:t>
            </w:r>
          </w:p>
          <w:p w14:paraId="3BDD9CBD">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支持本地查杀缓存，具备二级缓存机制：终端侧使用全盘文件缓存，加速本地二次扫描速度，减少对本地虚拟化环境的资源消耗；管理平台侧使用全网文件缓存，加速云查杀速度，减少通过互联网进行云查杀的带宽消耗。</w:t>
            </w:r>
          </w:p>
          <w:p w14:paraId="3AEBA6AF">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10、支持监控诱饵文件，诱饵文件可被实时监控，当勒索病毒对该文件进行修改或加密操作时进行拦截                                                                                                                          </w:t>
            </w:r>
            <w:r>
              <w:rPr>
                <w:rFonts w:hint="eastAsia" w:ascii="宋体" w:hAnsi="宋体" w:eastAsia="宋体" w:cs="宋体"/>
                <w:b/>
                <w:bCs/>
                <w:color w:val="auto"/>
                <w:sz w:val="21"/>
                <w:szCs w:val="21"/>
                <w:highlight w:val="none"/>
              </w:rPr>
              <w:t xml:space="preserve">三、资质及服务要求                                                                 </w:t>
            </w:r>
          </w:p>
          <w:p w14:paraId="64862507">
            <w:pPr>
              <w:widowControl/>
              <w:jc w:val="left"/>
              <w:textAlignment w:val="center"/>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 xml:space="preserve"> 1、认证：通过中国节能认证证书，3C强制认证，服务体系具备安全工程一级认证及CCCS钻石五星级认证                                             </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DF0C">
            <w:pPr>
              <w:widowControl/>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EA5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台</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7DB0">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14500</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716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43500</w:t>
            </w:r>
          </w:p>
        </w:tc>
      </w:tr>
      <w:tr w14:paraId="3B7D764B">
        <w:tblPrEx>
          <w:tblCellMar>
            <w:top w:w="0" w:type="dxa"/>
            <w:left w:w="108" w:type="dxa"/>
            <w:bottom w:w="0" w:type="dxa"/>
            <w:right w:w="108" w:type="dxa"/>
          </w:tblCellMar>
        </w:tblPrEx>
        <w:trPr>
          <w:trHeight w:val="567" w:hRule="atLeast"/>
          <w:jc w:val="center"/>
        </w:trPr>
        <w:tc>
          <w:tcPr>
            <w:tcW w:w="457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30210C">
            <w:pPr>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合计（元）</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8C576">
            <w:pPr>
              <w:keepNext w:val="0"/>
              <w:keepLines w:val="0"/>
              <w:widowControl/>
              <w:suppressLineNumbers w:val="0"/>
              <w:jc w:val="center"/>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cs="宋体"/>
                <w:color w:val="auto"/>
                <w:kern w:val="0"/>
                <w:sz w:val="21"/>
                <w:szCs w:val="21"/>
                <w:highlight w:val="none"/>
                <w:lang w:val="en-US" w:eastAsia="zh-CN" w:bidi="ar"/>
              </w:rPr>
              <w:t>208500</w:t>
            </w:r>
          </w:p>
        </w:tc>
      </w:tr>
    </w:tbl>
    <w:p w14:paraId="4223D5A7">
      <w:pPr>
        <w:rPr>
          <w:color w:val="auto"/>
        </w:rPr>
      </w:pPr>
    </w:p>
    <w:p w14:paraId="38B20800">
      <w:pPr>
        <w:rPr>
          <w:color w:val="auto"/>
        </w:rPr>
      </w:pPr>
    </w:p>
    <w:p w14:paraId="62D880AA">
      <w:pPr>
        <w:rPr>
          <w:color w:val="auto"/>
        </w:rPr>
      </w:pPr>
    </w:p>
    <w:p w14:paraId="7F4151FC">
      <w:pPr>
        <w:rPr>
          <w:color w:val="auto"/>
        </w:rPr>
      </w:pPr>
    </w:p>
    <w:p w14:paraId="171725D4">
      <w:pPr>
        <w:rPr>
          <w:color w:val="auto"/>
        </w:rPr>
      </w:pPr>
    </w:p>
    <w:p w14:paraId="255E4F20">
      <w:pPr>
        <w:rPr>
          <w:color w:val="auto"/>
        </w:rPr>
      </w:pPr>
    </w:p>
    <w:p w14:paraId="34D21E73">
      <w:pPr>
        <w:rPr>
          <w:color w:val="auto"/>
        </w:rPr>
      </w:pPr>
    </w:p>
    <w:p w14:paraId="6E8292E8">
      <w:pPr>
        <w:rPr>
          <w:color w:val="auto"/>
        </w:rPr>
      </w:pPr>
    </w:p>
    <w:p w14:paraId="7C34E4B0">
      <w:pPr>
        <w:rPr>
          <w:color w:val="auto"/>
        </w:rPr>
      </w:pPr>
    </w:p>
    <w:p w14:paraId="3DA3B768">
      <w:pPr>
        <w:rPr>
          <w:color w:val="auto"/>
        </w:rPr>
      </w:pPr>
      <w:bookmarkStart w:id="0" w:name="_GoBack"/>
      <w:bookmarkEnd w:id="0"/>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13500"/>
      </w:tblGrid>
      <w:tr w14:paraId="2D9C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2"/>
          </w:tcPr>
          <w:p w14:paraId="534A0C80">
            <w:pPr>
              <w:rPr>
                <w:color w:val="auto"/>
                <w:highlight w:val="none"/>
                <w:vertAlign w:val="baseline"/>
              </w:rPr>
            </w:pPr>
            <w:r>
              <w:rPr>
                <w:rFonts w:hint="eastAsia" w:asciiTheme="minorEastAsia" w:hAnsiTheme="minorEastAsia" w:cstheme="minorEastAsia"/>
                <w:color w:val="auto"/>
                <w:kern w:val="0"/>
                <w:szCs w:val="21"/>
                <w:highlight w:val="none"/>
                <w:lang w:eastAsia="zh-CN"/>
              </w:rPr>
              <w:t>▲</w:t>
            </w:r>
            <w:r>
              <w:rPr>
                <w:rFonts w:hint="eastAsia" w:asciiTheme="minorEastAsia" w:hAnsiTheme="minorEastAsia" w:cstheme="minorEastAsia"/>
                <w:b/>
                <w:bCs/>
                <w:color w:val="auto"/>
                <w:kern w:val="0"/>
                <w:szCs w:val="21"/>
                <w:highlight w:val="none"/>
              </w:rPr>
              <w:t>二、商务服务要求表</w:t>
            </w:r>
          </w:p>
        </w:tc>
      </w:tr>
      <w:tr w14:paraId="1228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6D7EC812">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交货时间及地点</w:t>
            </w:r>
          </w:p>
        </w:tc>
        <w:tc>
          <w:tcPr>
            <w:tcW w:w="11366" w:type="dxa"/>
            <w:shd w:val="clear" w:color="auto" w:fill="auto"/>
            <w:vAlign w:val="center"/>
          </w:tcPr>
          <w:p w14:paraId="02CA32F3">
            <w:pPr>
              <w:widowControl/>
              <w:snapToGrid w:val="0"/>
              <w:spacing w:line="400" w:lineRule="exact"/>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1.交货期：合同签订之日起</w:t>
            </w:r>
            <w:r>
              <w:rPr>
                <w:rFonts w:hint="eastAsia" w:asciiTheme="minorEastAsia" w:hAnsiTheme="minorEastAsia" w:cstheme="minorEastAsia"/>
                <w:color w:val="auto"/>
                <w:kern w:val="0"/>
                <w:szCs w:val="21"/>
                <w:highlight w:val="none"/>
                <w:u w:val="single"/>
                <w:lang w:val="en-US" w:eastAsia="zh-CN"/>
              </w:rPr>
              <w:t>10</w:t>
            </w:r>
            <w:r>
              <w:rPr>
                <w:rFonts w:hint="eastAsia" w:asciiTheme="minorEastAsia" w:hAnsiTheme="minorEastAsia" w:cstheme="minorEastAsia"/>
                <w:color w:val="auto"/>
                <w:kern w:val="0"/>
                <w:szCs w:val="21"/>
                <w:highlight w:val="none"/>
              </w:rPr>
              <w:t>个日历日内交货并安装调试完毕。</w:t>
            </w:r>
          </w:p>
          <w:p w14:paraId="23B2E301">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2.交货地点：</w:t>
            </w:r>
            <w:r>
              <w:rPr>
                <w:rFonts w:hint="eastAsia" w:asciiTheme="minorEastAsia" w:hAnsiTheme="minorEastAsia" w:cstheme="minorEastAsia"/>
                <w:color w:val="auto"/>
                <w:szCs w:val="21"/>
                <w:highlight w:val="none"/>
              </w:rPr>
              <w:t>广西南宁市采购人指定地点（广西水利电力职业技术学院</w:t>
            </w:r>
            <w:r>
              <w:rPr>
                <w:rFonts w:hint="eastAsia" w:asciiTheme="minorEastAsia" w:hAnsiTheme="minorEastAsia" w:cstheme="minorEastAsia"/>
                <w:color w:val="auto"/>
                <w:szCs w:val="21"/>
                <w:highlight w:val="none"/>
                <w:lang w:val="en-US" w:eastAsia="zh-CN"/>
              </w:rPr>
              <w:t>里建</w:t>
            </w:r>
            <w:r>
              <w:rPr>
                <w:rFonts w:hint="eastAsia" w:asciiTheme="minorEastAsia" w:hAnsiTheme="minorEastAsia" w:cstheme="minorEastAsia"/>
                <w:color w:val="auto"/>
                <w:szCs w:val="21"/>
                <w:highlight w:val="none"/>
              </w:rPr>
              <w:t>校区）</w:t>
            </w:r>
            <w:r>
              <w:rPr>
                <w:rStyle w:val="13"/>
                <w:rFonts w:hint="default" w:asciiTheme="minorEastAsia" w:hAnsiTheme="minorEastAsia" w:eastAsiaTheme="minorEastAsia" w:cstheme="minorEastAsia"/>
                <w:color w:val="auto"/>
                <w:sz w:val="21"/>
                <w:szCs w:val="21"/>
                <w:highlight w:val="none"/>
              </w:rPr>
              <w:t>。</w:t>
            </w:r>
          </w:p>
        </w:tc>
      </w:tr>
      <w:tr w14:paraId="495B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7B6579B9">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质保期</w:t>
            </w:r>
          </w:p>
        </w:tc>
        <w:tc>
          <w:tcPr>
            <w:tcW w:w="11366" w:type="dxa"/>
            <w:shd w:val="clear" w:color="auto" w:fill="auto"/>
            <w:vAlign w:val="center"/>
          </w:tcPr>
          <w:p w14:paraId="1931A974">
            <w:pPr>
              <w:widowControl/>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宋体" w:hAnsi="宋体" w:eastAsia="宋体" w:cs="宋体"/>
                <w:color w:val="auto"/>
                <w:sz w:val="21"/>
                <w:szCs w:val="21"/>
                <w:highlight w:val="none"/>
              </w:rPr>
              <w:t>按国家有关规定或厂家承诺实行“三包”，</w:t>
            </w:r>
            <w:r>
              <w:rPr>
                <w:rFonts w:hint="eastAsia" w:ascii="宋体" w:hAnsi="宋体" w:cs="宋体"/>
                <w:color w:val="auto"/>
                <w:kern w:val="0"/>
                <w:szCs w:val="21"/>
                <w:highlight w:val="none"/>
              </w:rPr>
              <w:t>质保期从验收合格之日起整机不少于</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rPr>
              <w:t>年（技术参数中有特别指明质保期的按参数要求，厂家质保期高于采购要求的按厂家质保）</w:t>
            </w:r>
            <w:r>
              <w:rPr>
                <w:rStyle w:val="13"/>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产品厂商具有专属服务团队，全面支持客户使用过程中遇到的各类问题</w:t>
            </w:r>
            <w:r>
              <w:rPr>
                <w:rFonts w:hint="eastAsia" w:ascii="宋体" w:hAnsi="宋体" w:cs="宋体"/>
                <w:color w:val="auto"/>
                <w:sz w:val="21"/>
                <w:szCs w:val="21"/>
                <w:highlight w:val="none"/>
                <w:lang w:eastAsia="zh-CN"/>
              </w:rPr>
              <w:t>，</w:t>
            </w:r>
            <w:r>
              <w:rPr>
                <w:rStyle w:val="13"/>
                <w:rFonts w:hint="default" w:ascii="宋体" w:hAnsi="宋体" w:eastAsia="宋体" w:cs="宋体"/>
                <w:color w:val="auto"/>
                <w:sz w:val="21"/>
                <w:szCs w:val="21"/>
                <w:highlight w:val="none"/>
              </w:rPr>
              <w:t>质保期内全免费上门维修、免费更换零部件，质保期过后提供终身技术支持和维护。</w:t>
            </w:r>
          </w:p>
        </w:tc>
      </w:tr>
      <w:tr w14:paraId="3F5E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462FA2A7">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产品质量与售后服务要求</w:t>
            </w:r>
          </w:p>
        </w:tc>
        <w:tc>
          <w:tcPr>
            <w:tcW w:w="11366" w:type="dxa"/>
            <w:shd w:val="clear" w:color="auto" w:fill="auto"/>
            <w:vAlign w:val="center"/>
          </w:tcPr>
          <w:p w14:paraId="28DEFC06">
            <w:pPr>
              <w:widowControl/>
              <w:snapToGrid w:val="0"/>
              <w:spacing w:line="400" w:lineRule="exact"/>
              <w:rPr>
                <w:rFonts w:hint="default" w:ascii="宋体" w:hAnsi="宋体"/>
                <w:color w:val="auto"/>
                <w:szCs w:val="21"/>
                <w:highlight w:val="none"/>
              </w:rPr>
            </w:pPr>
            <w:r>
              <w:rPr>
                <w:rStyle w:val="13"/>
                <w:rFonts w:hint="default"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b/>
                <w:bCs/>
                <w:color w:val="auto"/>
                <w:szCs w:val="21"/>
                <w:highlight w:val="none"/>
              </w:rPr>
              <w:t>供应商所投产品</w:t>
            </w:r>
            <w:r>
              <w:rPr>
                <w:rFonts w:hint="eastAsia" w:asciiTheme="minorEastAsia" w:hAnsiTheme="minorEastAsia" w:eastAsiaTheme="minorEastAsia" w:cstheme="minorEastAsia"/>
                <w:b/>
                <w:bCs/>
                <w:color w:val="auto"/>
                <w:szCs w:val="21"/>
                <w:highlight w:val="none"/>
                <w:lang w:val="en-US" w:eastAsia="zh-CN"/>
              </w:rPr>
              <w:t>必须为采购需求中所列出的</w:t>
            </w:r>
            <w:r>
              <w:rPr>
                <w:rFonts w:hint="eastAsia" w:ascii="宋体" w:hAnsi="宋体" w:cs="宋体"/>
                <w:b/>
                <w:bCs/>
                <w:color w:val="auto"/>
                <w:kern w:val="0"/>
                <w:szCs w:val="21"/>
                <w:highlight w:val="none"/>
              </w:rPr>
              <w:t>品牌型号</w:t>
            </w:r>
            <w:r>
              <w:rPr>
                <w:rFonts w:hint="eastAsia" w:ascii="宋体" w:hAnsi="宋体" w:cs="宋体"/>
                <w:color w:val="auto"/>
                <w:kern w:val="0"/>
                <w:szCs w:val="21"/>
                <w:highlight w:val="none"/>
                <w:lang w:eastAsia="zh-CN"/>
              </w:rPr>
              <w:t>，</w:t>
            </w:r>
            <w:r>
              <w:rPr>
                <w:rFonts w:hint="eastAsia" w:asciiTheme="minorEastAsia" w:hAnsiTheme="minorEastAsia" w:cstheme="minorEastAsia"/>
                <w:color w:val="auto"/>
                <w:szCs w:val="21"/>
                <w:highlight w:val="none"/>
              </w:rPr>
              <w:t>所投产品必须能实质性响应采购要求（所投产品应完全满足或优于采购参数要求）</w:t>
            </w:r>
            <w:r>
              <w:rPr>
                <w:rFonts w:hint="eastAsia" w:asciiTheme="minorEastAsia" w:hAnsiTheme="minorEastAsia" w:cstheme="minorEastAsia"/>
                <w:color w:val="auto"/>
                <w:szCs w:val="21"/>
                <w:highlight w:val="none"/>
                <w:lang w:eastAsia="zh-CN"/>
              </w:rPr>
              <w:t>，</w:t>
            </w:r>
            <w:r>
              <w:rPr>
                <w:rFonts w:hint="eastAsia" w:ascii="宋体" w:hAnsi="宋体"/>
                <w:color w:val="auto"/>
                <w:szCs w:val="21"/>
                <w:highlight w:val="none"/>
              </w:rPr>
              <w:t>供货时能按照采购需求的要求提供厂家的供货证明</w:t>
            </w:r>
            <w:r>
              <w:rPr>
                <w:rFonts w:hint="eastAsia" w:ascii="宋体" w:hAnsi="宋体"/>
                <w:color w:val="auto"/>
                <w:szCs w:val="21"/>
                <w:highlight w:val="none"/>
                <w:lang w:val="en-US" w:eastAsia="zh-CN"/>
              </w:rPr>
              <w:t>和</w:t>
            </w:r>
            <w:r>
              <w:rPr>
                <w:rFonts w:hint="eastAsia" w:ascii="宋体" w:hAnsi="宋体"/>
                <w:color w:val="auto"/>
                <w:szCs w:val="21"/>
                <w:highlight w:val="none"/>
              </w:rPr>
              <w:t>售后服务承诺书原件（加盖原厂印章），</w:t>
            </w:r>
            <w:r>
              <w:rPr>
                <w:rFonts w:hint="eastAsia" w:ascii="宋体" w:hAnsi="宋体"/>
                <w:color w:val="auto"/>
                <w:szCs w:val="21"/>
                <w:highlight w:val="none"/>
                <w:lang w:val="en-US" w:eastAsia="zh-CN"/>
              </w:rPr>
              <w:t>并</w:t>
            </w:r>
            <w:r>
              <w:rPr>
                <w:rFonts w:hint="eastAsia" w:ascii="宋体" w:hAnsi="宋体"/>
                <w:color w:val="auto"/>
                <w:szCs w:val="21"/>
                <w:highlight w:val="none"/>
              </w:rPr>
              <w:t>提供设备生产厂商400/800售后服务电话对以上服务内容进行严格查验，避免假冒伪劣产品。对不能满足参数要求虚假响应，或者签订合同后15个日历日内无法交付使用的，采购人可作废标处理，并依法向供应商追究违约责任。</w:t>
            </w:r>
          </w:p>
          <w:p w14:paraId="28478EB3">
            <w:pPr>
              <w:widowControl/>
              <w:snapToGrid w:val="0"/>
              <w:spacing w:line="400" w:lineRule="exact"/>
              <w:jc w:val="left"/>
              <w:textAlignment w:val="center"/>
              <w:rPr>
                <w:rFonts w:hint="eastAsia" w:eastAsia="宋体" w:asciiTheme="minorEastAsia" w:hAnsiTheme="minorEastAsia" w:cstheme="minorEastAsia"/>
                <w:color w:val="auto"/>
                <w:kern w:val="2"/>
                <w:sz w:val="21"/>
                <w:szCs w:val="21"/>
                <w:highlight w:val="none"/>
                <w:lang w:val="en-US" w:eastAsia="zh-CN" w:bidi="ar-SA"/>
              </w:rPr>
            </w:pPr>
            <w:r>
              <w:rPr>
                <w:rStyle w:val="13"/>
                <w:rFonts w:hint="eastAsia" w:asciiTheme="minorEastAsia" w:hAnsiTheme="minorEastAsia" w:eastAsiaTheme="minorEastAsia" w:cstheme="minorEastAsia"/>
                <w:color w:val="auto"/>
                <w:sz w:val="21"/>
                <w:szCs w:val="21"/>
                <w:highlight w:val="none"/>
                <w:lang w:val="en-US" w:eastAsia="zh-CN"/>
              </w:rPr>
              <w:t>2</w:t>
            </w:r>
            <w:r>
              <w:rPr>
                <w:rStyle w:val="13"/>
                <w:rFonts w:hint="default" w:asciiTheme="minorEastAsia" w:hAnsiTheme="minorEastAsia" w:eastAsiaTheme="minorEastAsia" w:cstheme="minorEastAsia"/>
                <w:color w:val="auto"/>
                <w:sz w:val="21"/>
                <w:szCs w:val="21"/>
                <w:highlight w:val="none"/>
              </w:rPr>
              <w:t>、故障响应时间：</w:t>
            </w:r>
            <w:r>
              <w:rPr>
                <w:rFonts w:hint="eastAsia" w:asciiTheme="minorEastAsia" w:hAnsiTheme="minorEastAsia" w:cstheme="minorEastAsia"/>
                <w:color w:val="auto"/>
                <w:kern w:val="0"/>
                <w:szCs w:val="21"/>
                <w:highlight w:val="none"/>
              </w:rPr>
              <w:t>成交供应商收到采购人的故障维修通知后</w:t>
            </w:r>
            <w:r>
              <w:rPr>
                <w:rFonts w:hint="eastAsia" w:ascii="宋体" w:hAnsi="宋体" w:cs="宋体"/>
                <w:color w:val="auto"/>
                <w:kern w:val="0"/>
                <w:szCs w:val="21"/>
                <w:highlight w:val="none"/>
              </w:rPr>
              <w:t>30分钟内</w:t>
            </w:r>
            <w:r>
              <w:rPr>
                <w:rFonts w:hint="eastAsia" w:ascii="宋体" w:hAnsi="宋体" w:cs="宋体"/>
                <w:color w:val="auto"/>
                <w:szCs w:val="21"/>
                <w:highlight w:val="none"/>
              </w:rPr>
              <w:t>电话服务应答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Theme="minorEastAsia" w:hAnsiTheme="minorEastAsia" w:cstheme="minorEastAsia"/>
                <w:color w:val="auto"/>
                <w:kern w:val="0"/>
                <w:szCs w:val="21"/>
                <w:highlight w:val="none"/>
              </w:rPr>
              <w:t>小时内到达现场进行维修，4小时内排除故障，</w:t>
            </w:r>
            <w:r>
              <w:rPr>
                <w:rFonts w:hint="eastAsia" w:ascii="宋体" w:hAnsi="宋体" w:cs="宋体"/>
                <w:color w:val="auto"/>
                <w:szCs w:val="21"/>
                <w:highlight w:val="none"/>
              </w:rPr>
              <w:t>如24小时内无法修复的，质保期内成交供应商应无条件更换新设备或提供代用设备，或采取使设备可正常运转的措施(必须响应)。</w:t>
            </w:r>
          </w:p>
        </w:tc>
      </w:tr>
      <w:tr w14:paraId="17A7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48B447A">
            <w:pPr>
              <w:spacing w:line="400" w:lineRule="exact"/>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szCs w:val="21"/>
                <w:highlight w:val="none"/>
              </w:rPr>
              <w:t>实施和安装要求</w:t>
            </w:r>
          </w:p>
        </w:tc>
        <w:tc>
          <w:tcPr>
            <w:tcW w:w="11366" w:type="dxa"/>
            <w:shd w:val="clear" w:color="auto" w:fill="auto"/>
            <w:vAlign w:val="center"/>
          </w:tcPr>
          <w:p w14:paraId="78906AD2">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本项目为交钥匙工程，成交后，供应商需应严格按竞标产品的安装规范要求进行安装调试，保证设备正常运行，质量合格。</w:t>
            </w:r>
          </w:p>
          <w:p w14:paraId="0C46A523">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（1）根据采购要求的工期提供项目实施方案及进度安排计划表；</w:t>
            </w:r>
          </w:p>
          <w:p w14:paraId="57C655F4">
            <w:pPr>
              <w:spacing w:line="400" w:lineRule="exact"/>
              <w:jc w:val="left"/>
              <w:rPr>
                <w:rFonts w:hint="eastAsia" w:asciiTheme="minorEastAsia" w:hAnsiTheme="minorEastAsia" w:cstheme="minorEastAsia"/>
                <w:color w:val="auto"/>
                <w:szCs w:val="21"/>
                <w:highlight w:val="none"/>
              </w:rPr>
            </w:pPr>
            <w:r>
              <w:rPr>
                <w:rFonts w:hint="eastAsia" w:asciiTheme="minorEastAsia" w:hAnsiTheme="minorEastAsia" w:cstheme="minorEastAsia"/>
                <w:bCs/>
                <w:color w:val="auto"/>
                <w:szCs w:val="21"/>
                <w:highlight w:val="none"/>
              </w:rPr>
              <w:t>（2）</w:t>
            </w:r>
            <w:r>
              <w:rPr>
                <w:rFonts w:hint="eastAsia" w:asciiTheme="minorEastAsia" w:hAnsiTheme="minorEastAsia" w:cstheme="minorEastAsia"/>
                <w:color w:val="auto"/>
                <w:szCs w:val="21"/>
                <w:highlight w:val="none"/>
              </w:rPr>
              <w:t>供应商必须服从采购单位现场负责人的指挥，按指定地点进行设备安装、调试，确保设备安装符合国家现行技术规范标准；</w:t>
            </w:r>
          </w:p>
          <w:p w14:paraId="317ACB0A">
            <w:pPr>
              <w:spacing w:line="400" w:lineRule="exact"/>
              <w:jc w:val="left"/>
              <w:rPr>
                <w:rFonts w:hint="eastAsia" w:asciiTheme="minorEastAsia" w:hAnsiTheme="minorEastAsia" w:cstheme="minorEastAsia"/>
                <w:color w:val="auto"/>
                <w:szCs w:val="21"/>
                <w:highlight w:val="none"/>
              </w:rPr>
            </w:pPr>
            <w:r>
              <w:rPr>
                <w:color w:val="auto"/>
                <w:szCs w:val="21"/>
                <w:highlight w:val="none"/>
              </w:rPr>
              <w:t>（3）</w:t>
            </w:r>
            <w:r>
              <w:rPr>
                <w:rFonts w:hint="eastAsia" w:asciiTheme="minorEastAsia" w:hAnsiTheme="minorEastAsia" w:cstheme="minorEastAsia"/>
                <w:color w:val="auto"/>
                <w:szCs w:val="21"/>
                <w:highlight w:val="none"/>
              </w:rPr>
              <w:t>安装过程中的所有安全保障由供应商自行负责；</w:t>
            </w:r>
          </w:p>
          <w:p w14:paraId="60050F36">
            <w:pPr>
              <w:spacing w:line="400" w:lineRule="exac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cstheme="minorEastAsia"/>
                <w:color w:val="auto"/>
                <w:kern w:val="0"/>
                <w:szCs w:val="21"/>
                <w:highlight w:val="none"/>
                <w:lang w:val="zh-CN"/>
              </w:rPr>
              <w:t>（</w:t>
            </w:r>
            <w:r>
              <w:rPr>
                <w:rFonts w:hint="eastAsia" w:asciiTheme="minorEastAsia" w:hAnsiTheme="minorEastAsia" w:cstheme="minorEastAsia"/>
                <w:color w:val="auto"/>
                <w:kern w:val="0"/>
                <w:szCs w:val="21"/>
                <w:highlight w:val="none"/>
              </w:rPr>
              <w:t>4</w:t>
            </w:r>
            <w:r>
              <w:rPr>
                <w:rFonts w:hint="eastAsia" w:asciiTheme="minorEastAsia" w:hAnsiTheme="minorEastAsia" w:cstheme="minorEastAsia"/>
                <w:color w:val="auto"/>
                <w:kern w:val="0"/>
                <w:szCs w:val="21"/>
                <w:highlight w:val="none"/>
                <w:lang w:val="zh-CN"/>
              </w:rPr>
              <w:t>）项目实施过程中产生的垃圾废料由供应商负责清理至校外。</w:t>
            </w:r>
          </w:p>
        </w:tc>
      </w:tr>
      <w:tr w14:paraId="5647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11420097">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付款方式</w:t>
            </w:r>
          </w:p>
        </w:tc>
        <w:tc>
          <w:tcPr>
            <w:tcW w:w="11366" w:type="dxa"/>
            <w:shd w:val="clear" w:color="auto" w:fill="auto"/>
            <w:vAlign w:val="center"/>
          </w:tcPr>
          <w:p w14:paraId="6FAD34BF">
            <w:pPr>
              <w:widowControl/>
              <w:snapToGrid w:val="0"/>
              <w:spacing w:line="400" w:lineRule="exact"/>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19227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vAlign w:val="center"/>
          </w:tcPr>
          <w:p w14:paraId="590BC47A">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Style w:val="13"/>
                <w:rFonts w:hint="default" w:asciiTheme="minorEastAsia" w:hAnsiTheme="minorEastAsia" w:eastAsiaTheme="minorEastAsia" w:cstheme="minorEastAsia"/>
                <w:color w:val="auto"/>
                <w:sz w:val="21"/>
                <w:szCs w:val="21"/>
                <w:highlight w:val="none"/>
              </w:rPr>
              <w:t>验收要求</w:t>
            </w:r>
          </w:p>
        </w:tc>
        <w:tc>
          <w:tcPr>
            <w:tcW w:w="11366" w:type="dxa"/>
            <w:shd w:val="clear" w:color="auto" w:fill="auto"/>
            <w:vAlign w:val="center"/>
          </w:tcPr>
          <w:p w14:paraId="6AA63232">
            <w:pPr>
              <w:widowControl/>
              <w:numPr>
                <w:ilvl w:val="0"/>
                <w:numId w:val="0"/>
              </w:numPr>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t>1、</w:t>
            </w:r>
            <w:r>
              <w:rPr>
                <w:rFonts w:hint="eastAsia" w:asciiTheme="minorEastAsia" w:hAnsiTheme="minorEastAsia" w:cstheme="minorEastAsia"/>
                <w:color w:val="auto"/>
                <w:kern w:val="0"/>
                <w:szCs w:val="21"/>
                <w:highlight w:val="none"/>
              </w:rPr>
              <w:t xml:space="preserve">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78E1DBFD">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593AFC25">
            <w:pPr>
              <w:widowControl/>
              <w:snapToGrid w:val="0"/>
              <w:spacing w:line="400" w:lineRule="exact"/>
              <w:ind w:firstLine="420" w:firstLineChars="200"/>
              <w:jc w:val="left"/>
              <w:textAlignment w:val="center"/>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40C227FE">
            <w:pPr>
              <w:widowControl/>
              <w:snapToGrid w:val="0"/>
              <w:spacing w:line="400" w:lineRule="exact"/>
              <w:ind w:firstLine="420" w:firstLineChars="200"/>
              <w:jc w:val="left"/>
              <w:textAlignment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cstheme="minorEastAsia"/>
                <w:color w:val="auto"/>
                <w:kern w:val="0"/>
                <w:szCs w:val="21"/>
                <w:highlight w:val="none"/>
              </w:rPr>
              <w:t>4、验收费用：验收所产生的劳务费、检验费及相关发生的全部费用均由成交人承担。</w:t>
            </w:r>
          </w:p>
        </w:tc>
      </w:tr>
      <w:tr w14:paraId="7A9D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14B92CA">
            <w:pPr>
              <w:widowControl/>
              <w:snapToGrid w:val="0"/>
              <w:spacing w:line="400" w:lineRule="exact"/>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0"/>
                <w:szCs w:val="21"/>
                <w:highlight w:val="none"/>
              </w:rPr>
              <w:t>其他要求</w:t>
            </w:r>
          </w:p>
        </w:tc>
        <w:tc>
          <w:tcPr>
            <w:tcW w:w="0" w:type="auto"/>
            <w:shd w:val="clear" w:color="auto" w:fill="auto"/>
            <w:vAlign w:val="center"/>
          </w:tcPr>
          <w:p w14:paraId="3FB584AF">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1、供应商必须实质性响应本项目标注“▲”的技术参数要求，不允许负偏离</w:t>
            </w:r>
            <w:r>
              <w:rPr>
                <w:rFonts w:hint="eastAsia" w:ascii="宋体" w:hAnsi="宋体" w:cs="宋体"/>
                <w:color w:val="auto"/>
                <w:kern w:val="0"/>
                <w:szCs w:val="21"/>
                <w:highlight w:val="none"/>
                <w:lang w:eastAsia="zh-CN"/>
              </w:rPr>
              <w:t>，</w:t>
            </w:r>
            <w:r>
              <w:rPr>
                <w:rFonts w:hint="eastAsia" w:ascii="宋体" w:hAnsi="宋体"/>
                <w:color w:val="auto"/>
                <w:highlight w:val="none"/>
                <w:shd w:val="clear"/>
                <w:lang w:eastAsia="zh-CN"/>
              </w:rPr>
              <w:t>对技术参数要求中</w:t>
            </w:r>
            <w:r>
              <w:rPr>
                <w:rFonts w:hint="eastAsia" w:ascii="宋体" w:hAnsi="宋体"/>
                <w:color w:val="auto"/>
                <w:highlight w:val="none"/>
                <w:shd w:val="clear"/>
                <w:lang w:val="en-US" w:eastAsia="zh-CN"/>
              </w:rPr>
              <w:t>非</w:t>
            </w:r>
            <w:r>
              <w:rPr>
                <w:rFonts w:hint="eastAsia" w:ascii="宋体" w:hAnsi="宋体"/>
                <w:color w:val="auto"/>
                <w:kern w:val="0"/>
                <w:szCs w:val="21"/>
                <w:highlight w:val="none"/>
              </w:rPr>
              <w:t>标注“</w:t>
            </w:r>
            <w:r>
              <w:rPr>
                <w:rFonts w:hint="eastAsia" w:ascii="宋体" w:hAnsi="宋体" w:eastAsia="宋体" w:cs="宋体"/>
                <w:color w:val="auto"/>
                <w:kern w:val="0"/>
                <w:szCs w:val="21"/>
                <w:highlight w:val="none"/>
              </w:rPr>
              <w:t>▲</w:t>
            </w:r>
            <w:r>
              <w:rPr>
                <w:rFonts w:hint="eastAsia" w:ascii="宋体" w:hAnsi="宋体"/>
                <w:color w:val="auto"/>
                <w:kern w:val="0"/>
                <w:szCs w:val="21"/>
                <w:highlight w:val="none"/>
              </w:rPr>
              <w:t>”的技术参数</w:t>
            </w:r>
            <w:r>
              <w:rPr>
                <w:rFonts w:hint="eastAsia" w:ascii="宋体" w:hAnsi="宋体"/>
                <w:color w:val="auto"/>
                <w:highlight w:val="none"/>
                <w:shd w:val="clear"/>
                <w:lang w:eastAsia="zh-CN"/>
              </w:rPr>
              <w:t>负偏离项数不超过</w:t>
            </w:r>
            <w:r>
              <w:rPr>
                <w:rFonts w:hint="eastAsia" w:ascii="宋体" w:hAnsi="宋体"/>
                <w:color w:val="auto"/>
                <w:highlight w:val="none"/>
                <w:shd w:val="clear"/>
                <w:lang w:val="en-US" w:eastAsia="zh-CN"/>
              </w:rPr>
              <w:t>2</w:t>
            </w:r>
            <w:r>
              <w:rPr>
                <w:rFonts w:hint="eastAsia" w:ascii="宋体" w:hAnsi="宋体"/>
                <w:color w:val="auto"/>
                <w:highlight w:val="none"/>
                <w:shd w:val="clear"/>
                <w:lang w:eastAsia="zh-CN"/>
              </w:rPr>
              <w:t>项，否则视为无效响应</w:t>
            </w:r>
            <w:r>
              <w:rPr>
                <w:rFonts w:hint="eastAsia" w:ascii="宋体" w:hAnsi="宋体"/>
                <w:bCs/>
                <w:snapToGrid w:val="0"/>
                <w:color w:val="auto"/>
                <w:kern w:val="0"/>
                <w:szCs w:val="21"/>
                <w:highlight w:val="none"/>
                <w:lang w:val="en-US" w:eastAsia="zh-CN"/>
              </w:rPr>
              <w:t>。</w:t>
            </w:r>
            <w:r>
              <w:rPr>
                <w:rFonts w:hint="eastAsia" w:ascii="宋体" w:hAnsi="宋体" w:eastAsia="宋体" w:cs="宋体"/>
                <w:color w:val="auto"/>
                <w:kern w:val="0"/>
                <w:szCs w:val="21"/>
                <w:highlight w:val="none"/>
              </w:rPr>
              <w:t>投标时，供应商所投产品须满足或优于技术参数配置要求【</w:t>
            </w:r>
            <w:r>
              <w:rPr>
                <w:rFonts w:hint="eastAsia" w:ascii="宋体" w:hAnsi="宋体" w:eastAsia="宋体"/>
                <w:color w:val="auto"/>
                <w:szCs w:val="21"/>
                <w:highlight w:val="none"/>
              </w:rPr>
              <w:t>需提供</w:t>
            </w:r>
            <w:r>
              <w:rPr>
                <w:rFonts w:hint="eastAsia" w:ascii="宋体" w:hAnsi="宋体"/>
                <w:color w:val="auto"/>
                <w:szCs w:val="21"/>
                <w:highlight w:val="none"/>
              </w:rPr>
              <w:t>《商务、技术响应、偏离情况说明表》（格式自拟）</w:t>
            </w:r>
            <w:r>
              <w:rPr>
                <w:rFonts w:hint="eastAsia" w:ascii="宋体" w:hAnsi="宋体" w:eastAsia="宋体" w:cs="宋体"/>
                <w:color w:val="auto"/>
                <w:kern w:val="0"/>
                <w:szCs w:val="21"/>
                <w:highlight w:val="none"/>
              </w:rPr>
              <w:t>及相关佐证材料，以上材料加盖供应商公章】， 否则视为无效响应。</w:t>
            </w:r>
          </w:p>
          <w:p w14:paraId="34551207">
            <w:pPr>
              <w:autoSpaceDE w:val="0"/>
              <w:autoSpaceDN w:val="0"/>
              <w:adjustRightInd w:val="0"/>
              <w:spacing w:line="400" w:lineRule="exact"/>
              <w:ind w:firstLine="420" w:firstLineChars="200"/>
              <w:rPr>
                <w:rFonts w:hint="eastAsia" w:eastAsia="宋体"/>
                <w:color w:val="auto"/>
                <w:szCs w:val="21"/>
                <w:highlight w:val="none"/>
                <w:lang w:val="en-US" w:eastAsia="zh-CN"/>
              </w:rPr>
            </w:pPr>
            <w:r>
              <w:rPr>
                <w:rFonts w:hint="eastAsia" w:ascii="宋体" w:hAnsi="宋体" w:eastAsia="宋体" w:cs="宋体"/>
                <w:color w:val="auto"/>
                <w:kern w:val="0"/>
                <w:szCs w:val="21"/>
                <w:highlight w:val="none"/>
              </w:rPr>
              <w:t>2、</w:t>
            </w:r>
            <w:r>
              <w:rPr>
                <w:rFonts w:hint="eastAsia"/>
                <w:color w:val="auto"/>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w:t>
            </w:r>
            <w:r>
              <w:rPr>
                <w:rFonts w:hint="eastAsia" w:ascii="宋体" w:hAnsi="宋体" w:eastAsia="宋体" w:cs="宋体"/>
                <w:color w:val="auto"/>
                <w:szCs w:val="21"/>
                <w:highlight w:val="none"/>
              </w:rPr>
              <w:t>本项目采购的产品如属于</w:t>
            </w:r>
            <w:r>
              <w:rPr>
                <w:rFonts w:hint="eastAsia"/>
                <w:color w:val="auto"/>
                <w:szCs w:val="21"/>
                <w:highlight w:val="none"/>
              </w:rPr>
              <w:t>节能产品政府采购品目清单内标注“</w:t>
            </w:r>
            <w:r>
              <w:rPr>
                <w:rFonts w:hint="eastAsia" w:ascii="宋体" w:hAnsi="宋体"/>
                <w:color w:val="auto"/>
                <w:kern w:val="0"/>
                <w:szCs w:val="21"/>
                <w:highlight w:val="none"/>
                <w:lang w:eastAsia="zh-CN"/>
              </w:rPr>
              <w:t>★</w:t>
            </w:r>
            <w:r>
              <w:rPr>
                <w:rFonts w:hint="eastAsia"/>
                <w:color w:val="auto"/>
                <w:szCs w:val="21"/>
                <w:highlight w:val="none"/>
              </w:rPr>
              <w:t>”的产品的，供应商的竞标货物必须使用政府强制采购的节能产品，</w:t>
            </w:r>
            <w:r>
              <w:rPr>
                <w:rFonts w:hint="eastAsia" w:ascii="宋体" w:hAnsi="宋体" w:eastAsia="宋体" w:cs="宋体"/>
                <w:color w:val="auto"/>
                <w:szCs w:val="21"/>
                <w:highlight w:val="none"/>
              </w:rPr>
              <w:t>竞标时须提供国家确定的认证机构出具的、处于有效期之内的有效的节能产品认证证书复印件并加盖供应商公章，</w:t>
            </w:r>
            <w:r>
              <w:rPr>
                <w:rFonts w:hint="eastAsia"/>
                <w:color w:val="auto"/>
                <w:szCs w:val="21"/>
                <w:highlight w:val="none"/>
              </w:rPr>
              <w:t>否则响应文件作无效竞标处理。</w:t>
            </w:r>
            <w:r>
              <w:rPr>
                <w:rFonts w:hint="eastAsia" w:ascii="宋体" w:hAnsi="宋体" w:cs="宋体"/>
                <w:color w:val="auto"/>
                <w:sz w:val="20"/>
                <w:szCs w:val="20"/>
                <w:highlight w:val="none"/>
              </w:rPr>
              <w:t xml:space="preserve"> </w:t>
            </w:r>
          </w:p>
          <w:p w14:paraId="5A6F3F79">
            <w:pPr>
              <w:autoSpaceDE w:val="0"/>
              <w:autoSpaceDN w:val="0"/>
              <w:adjustRightInd w:val="0"/>
              <w:spacing w:line="400" w:lineRule="exact"/>
              <w:ind w:firstLine="420" w:firstLineChars="200"/>
              <w:rPr>
                <w:rFonts w:hint="default"/>
                <w:color w:val="auto"/>
                <w:highlight w:val="none"/>
                <w:lang w:val="en-US" w:eastAsia="zh-CN"/>
              </w:rPr>
            </w:pPr>
            <w:r>
              <w:rPr>
                <w:rFonts w:hint="eastAsia" w:ascii="宋体" w:hAnsi="宋体" w:eastAsia="宋体" w:cs="宋体"/>
                <w:color w:val="auto"/>
                <w:kern w:val="0"/>
                <w:szCs w:val="21"/>
                <w:highlight w:val="none"/>
              </w:rPr>
              <w:t>3、供应商在参与竞标报价前需仔细阅读项目采购的技术及商务要求，评估自身履约能力，谢绝恶意低价、不按要求报价、中标后无故放弃、不按合同履行等违约行为。</w:t>
            </w:r>
            <w:r>
              <w:rPr>
                <w:rFonts w:hint="eastAsia" w:ascii="宋体" w:hAnsi="宋体" w:eastAsia="宋体" w:cs="宋体"/>
                <w:color w:val="auto"/>
                <w:szCs w:val="21"/>
                <w:highlight w:val="none"/>
              </w:rPr>
              <w:t>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tc>
      </w:tr>
    </w:tbl>
    <w:p w14:paraId="432D18E3">
      <w:pPr>
        <w:pStyle w:val="3"/>
        <w:rPr>
          <w:color w:val="auto"/>
        </w:rPr>
      </w:pPr>
    </w:p>
    <w:p w14:paraId="697A8787">
      <w:pPr>
        <w:rPr>
          <w:color w:val="auto"/>
        </w:rPr>
      </w:pPr>
    </w:p>
    <w:p w14:paraId="79917DAA">
      <w:pPr>
        <w:rPr>
          <w:color w:val="auto"/>
        </w:rPr>
      </w:pPr>
    </w:p>
    <w:sectPr>
      <w:headerReference r:id="rId3" w:type="default"/>
      <w:footerReference r:id="rId4"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7A43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522A8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522A8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80860">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xYzA3ODUyZDRiODcxMWQyYmI1ZmZhMWYwNzBkYjYifQ=="/>
  </w:docVars>
  <w:rsids>
    <w:rsidRoot w:val="170574C9"/>
    <w:rsid w:val="00001765"/>
    <w:rsid w:val="00300BB8"/>
    <w:rsid w:val="004A4FCA"/>
    <w:rsid w:val="005407A1"/>
    <w:rsid w:val="00586FEC"/>
    <w:rsid w:val="005A0FAF"/>
    <w:rsid w:val="007E2D34"/>
    <w:rsid w:val="007F6C6F"/>
    <w:rsid w:val="00890838"/>
    <w:rsid w:val="009017A1"/>
    <w:rsid w:val="00C5782E"/>
    <w:rsid w:val="00C601AE"/>
    <w:rsid w:val="00C60D60"/>
    <w:rsid w:val="00D010B9"/>
    <w:rsid w:val="00DB30E9"/>
    <w:rsid w:val="00FF7CE6"/>
    <w:rsid w:val="010551F6"/>
    <w:rsid w:val="010F4AB6"/>
    <w:rsid w:val="012313A8"/>
    <w:rsid w:val="02497534"/>
    <w:rsid w:val="02B00BF5"/>
    <w:rsid w:val="02D41B01"/>
    <w:rsid w:val="03D01339"/>
    <w:rsid w:val="040A6844"/>
    <w:rsid w:val="0442138C"/>
    <w:rsid w:val="04793A64"/>
    <w:rsid w:val="04DA0DBE"/>
    <w:rsid w:val="04FC088E"/>
    <w:rsid w:val="052E28C8"/>
    <w:rsid w:val="0636723D"/>
    <w:rsid w:val="069C7F67"/>
    <w:rsid w:val="06CF132A"/>
    <w:rsid w:val="06F3181D"/>
    <w:rsid w:val="06F57F75"/>
    <w:rsid w:val="071F7265"/>
    <w:rsid w:val="0811119F"/>
    <w:rsid w:val="08B1182C"/>
    <w:rsid w:val="09181FD0"/>
    <w:rsid w:val="09F75AC8"/>
    <w:rsid w:val="0A4A5BF8"/>
    <w:rsid w:val="0AB7508A"/>
    <w:rsid w:val="0AFA13CC"/>
    <w:rsid w:val="0AFF481A"/>
    <w:rsid w:val="0B870B9C"/>
    <w:rsid w:val="0BD22349"/>
    <w:rsid w:val="0BE36304"/>
    <w:rsid w:val="0BE856C8"/>
    <w:rsid w:val="0C5A3AFD"/>
    <w:rsid w:val="0CB06944"/>
    <w:rsid w:val="0D693500"/>
    <w:rsid w:val="0D7C0FEF"/>
    <w:rsid w:val="0D907DC5"/>
    <w:rsid w:val="0DF539E8"/>
    <w:rsid w:val="0E06452B"/>
    <w:rsid w:val="0E1409F6"/>
    <w:rsid w:val="0E572FD9"/>
    <w:rsid w:val="0EA77ABC"/>
    <w:rsid w:val="0EEC1973"/>
    <w:rsid w:val="0F13514E"/>
    <w:rsid w:val="0FB22AD5"/>
    <w:rsid w:val="0FF341F8"/>
    <w:rsid w:val="10516B48"/>
    <w:rsid w:val="10700716"/>
    <w:rsid w:val="10CB0144"/>
    <w:rsid w:val="11056D1C"/>
    <w:rsid w:val="11C12C43"/>
    <w:rsid w:val="11EE5A02"/>
    <w:rsid w:val="12006552"/>
    <w:rsid w:val="12043C94"/>
    <w:rsid w:val="124D44D7"/>
    <w:rsid w:val="126521DA"/>
    <w:rsid w:val="12E35D86"/>
    <w:rsid w:val="132572A1"/>
    <w:rsid w:val="13261758"/>
    <w:rsid w:val="13503262"/>
    <w:rsid w:val="137F069E"/>
    <w:rsid w:val="13B374C8"/>
    <w:rsid w:val="14CD18FF"/>
    <w:rsid w:val="152E3430"/>
    <w:rsid w:val="15565D98"/>
    <w:rsid w:val="15C55FA9"/>
    <w:rsid w:val="161672D6"/>
    <w:rsid w:val="16756D52"/>
    <w:rsid w:val="169F45B2"/>
    <w:rsid w:val="16EB1C4C"/>
    <w:rsid w:val="170574C9"/>
    <w:rsid w:val="173E0892"/>
    <w:rsid w:val="17AD77C6"/>
    <w:rsid w:val="180A2E6A"/>
    <w:rsid w:val="182757CA"/>
    <w:rsid w:val="18B0756E"/>
    <w:rsid w:val="197373DD"/>
    <w:rsid w:val="19AF7DF1"/>
    <w:rsid w:val="19E25E4D"/>
    <w:rsid w:val="19FB6C07"/>
    <w:rsid w:val="1B7A3E63"/>
    <w:rsid w:val="1BB71917"/>
    <w:rsid w:val="1BC34054"/>
    <w:rsid w:val="1BDC5123"/>
    <w:rsid w:val="1C695629"/>
    <w:rsid w:val="1CCE158A"/>
    <w:rsid w:val="1CF83EBA"/>
    <w:rsid w:val="1CFC0FD3"/>
    <w:rsid w:val="1E593087"/>
    <w:rsid w:val="1EA30F1D"/>
    <w:rsid w:val="1FD46187"/>
    <w:rsid w:val="20607D86"/>
    <w:rsid w:val="20AA346D"/>
    <w:rsid w:val="21CD5EBA"/>
    <w:rsid w:val="224B0307"/>
    <w:rsid w:val="22942393"/>
    <w:rsid w:val="22E53BE8"/>
    <w:rsid w:val="22E76CD5"/>
    <w:rsid w:val="23234DAD"/>
    <w:rsid w:val="23817B23"/>
    <w:rsid w:val="238A585A"/>
    <w:rsid w:val="238C0BD7"/>
    <w:rsid w:val="23A36435"/>
    <w:rsid w:val="23A61397"/>
    <w:rsid w:val="23FA65E1"/>
    <w:rsid w:val="241A61E3"/>
    <w:rsid w:val="24522960"/>
    <w:rsid w:val="247578BD"/>
    <w:rsid w:val="255F69BB"/>
    <w:rsid w:val="26A04291"/>
    <w:rsid w:val="26A34BB6"/>
    <w:rsid w:val="2753038A"/>
    <w:rsid w:val="27DD3CE9"/>
    <w:rsid w:val="28185DA2"/>
    <w:rsid w:val="289724F8"/>
    <w:rsid w:val="289B3D96"/>
    <w:rsid w:val="28AC09AB"/>
    <w:rsid w:val="28DC5DAD"/>
    <w:rsid w:val="299971E9"/>
    <w:rsid w:val="29DA6B40"/>
    <w:rsid w:val="29FB0EEE"/>
    <w:rsid w:val="2AD76BDC"/>
    <w:rsid w:val="2B3C33A4"/>
    <w:rsid w:val="2BA54F2C"/>
    <w:rsid w:val="2C5536B8"/>
    <w:rsid w:val="2C9A6113"/>
    <w:rsid w:val="2C9D3849"/>
    <w:rsid w:val="2CD07727"/>
    <w:rsid w:val="2D7C1CBC"/>
    <w:rsid w:val="2DC16AE6"/>
    <w:rsid w:val="2DD218DC"/>
    <w:rsid w:val="2EC675C3"/>
    <w:rsid w:val="2F522CD5"/>
    <w:rsid w:val="2F9514AB"/>
    <w:rsid w:val="302F0099"/>
    <w:rsid w:val="30B61FF7"/>
    <w:rsid w:val="30C36E11"/>
    <w:rsid w:val="31465D97"/>
    <w:rsid w:val="31992E3D"/>
    <w:rsid w:val="32247DFE"/>
    <w:rsid w:val="323A4620"/>
    <w:rsid w:val="32D14858"/>
    <w:rsid w:val="32E6640D"/>
    <w:rsid w:val="330313D6"/>
    <w:rsid w:val="33D360B3"/>
    <w:rsid w:val="34531AA2"/>
    <w:rsid w:val="34642367"/>
    <w:rsid w:val="35E16A2E"/>
    <w:rsid w:val="36362684"/>
    <w:rsid w:val="368F480F"/>
    <w:rsid w:val="36985DB9"/>
    <w:rsid w:val="36AD5148"/>
    <w:rsid w:val="371A4544"/>
    <w:rsid w:val="3757544A"/>
    <w:rsid w:val="37755E86"/>
    <w:rsid w:val="38D9696E"/>
    <w:rsid w:val="3905700A"/>
    <w:rsid w:val="390F2A93"/>
    <w:rsid w:val="397A79F8"/>
    <w:rsid w:val="39D07618"/>
    <w:rsid w:val="39DE2D7E"/>
    <w:rsid w:val="3A4C399D"/>
    <w:rsid w:val="3AAB781D"/>
    <w:rsid w:val="3AC23405"/>
    <w:rsid w:val="3AF81008"/>
    <w:rsid w:val="3B5E449F"/>
    <w:rsid w:val="3CBF4A61"/>
    <w:rsid w:val="3CC33275"/>
    <w:rsid w:val="3CCA034E"/>
    <w:rsid w:val="3DAE7C70"/>
    <w:rsid w:val="3DE713D4"/>
    <w:rsid w:val="3E442280"/>
    <w:rsid w:val="3E502AD5"/>
    <w:rsid w:val="3E595E19"/>
    <w:rsid w:val="3ED92ACB"/>
    <w:rsid w:val="40534AFF"/>
    <w:rsid w:val="406E72A4"/>
    <w:rsid w:val="40766A16"/>
    <w:rsid w:val="410172C5"/>
    <w:rsid w:val="41636FC4"/>
    <w:rsid w:val="41E11E03"/>
    <w:rsid w:val="41F617B3"/>
    <w:rsid w:val="4206295C"/>
    <w:rsid w:val="42154762"/>
    <w:rsid w:val="42CD46CB"/>
    <w:rsid w:val="4391369E"/>
    <w:rsid w:val="441676D3"/>
    <w:rsid w:val="441D39B7"/>
    <w:rsid w:val="44263A5A"/>
    <w:rsid w:val="449201B8"/>
    <w:rsid w:val="44966E6C"/>
    <w:rsid w:val="44994855"/>
    <w:rsid w:val="44E40606"/>
    <w:rsid w:val="45310E46"/>
    <w:rsid w:val="4581088E"/>
    <w:rsid w:val="45FC03BF"/>
    <w:rsid w:val="46B34549"/>
    <w:rsid w:val="4743767B"/>
    <w:rsid w:val="48502E97"/>
    <w:rsid w:val="48DA32E9"/>
    <w:rsid w:val="48E522B6"/>
    <w:rsid w:val="490A67FA"/>
    <w:rsid w:val="49EF33A1"/>
    <w:rsid w:val="49F7687F"/>
    <w:rsid w:val="4B02599F"/>
    <w:rsid w:val="4B8B2F80"/>
    <w:rsid w:val="4B9761E7"/>
    <w:rsid w:val="4BE17463"/>
    <w:rsid w:val="4BFC429C"/>
    <w:rsid w:val="4C2677C7"/>
    <w:rsid w:val="4CC96874"/>
    <w:rsid w:val="4D9549A9"/>
    <w:rsid w:val="4DD5541C"/>
    <w:rsid w:val="4E0451F9"/>
    <w:rsid w:val="4ECF7A46"/>
    <w:rsid w:val="503A73A6"/>
    <w:rsid w:val="507B5A4E"/>
    <w:rsid w:val="50A56427"/>
    <w:rsid w:val="51703763"/>
    <w:rsid w:val="51704C1D"/>
    <w:rsid w:val="51A837F2"/>
    <w:rsid w:val="51F96325"/>
    <w:rsid w:val="52F26AC7"/>
    <w:rsid w:val="54491472"/>
    <w:rsid w:val="5488491F"/>
    <w:rsid w:val="548F7351"/>
    <w:rsid w:val="55654C60"/>
    <w:rsid w:val="558F7E43"/>
    <w:rsid w:val="559B0682"/>
    <w:rsid w:val="56022098"/>
    <w:rsid w:val="562D75AF"/>
    <w:rsid w:val="56DF6C95"/>
    <w:rsid w:val="579161E1"/>
    <w:rsid w:val="5794182D"/>
    <w:rsid w:val="57DA2CC3"/>
    <w:rsid w:val="58551CB2"/>
    <w:rsid w:val="586A3939"/>
    <w:rsid w:val="592866D1"/>
    <w:rsid w:val="5A7445FC"/>
    <w:rsid w:val="5AEB507B"/>
    <w:rsid w:val="5B4B755F"/>
    <w:rsid w:val="5BAA01E7"/>
    <w:rsid w:val="5C007491"/>
    <w:rsid w:val="5C750008"/>
    <w:rsid w:val="5C9F6CAA"/>
    <w:rsid w:val="5D1C654D"/>
    <w:rsid w:val="5DA545D2"/>
    <w:rsid w:val="5DE74DAC"/>
    <w:rsid w:val="5E1D7B0C"/>
    <w:rsid w:val="5E2A2C3E"/>
    <w:rsid w:val="5F4065B6"/>
    <w:rsid w:val="5FC72F01"/>
    <w:rsid w:val="60341DFF"/>
    <w:rsid w:val="60530A95"/>
    <w:rsid w:val="606D34FE"/>
    <w:rsid w:val="608F1D38"/>
    <w:rsid w:val="60BF5B6D"/>
    <w:rsid w:val="610D4460"/>
    <w:rsid w:val="619265B1"/>
    <w:rsid w:val="61EF67EB"/>
    <w:rsid w:val="62F44F19"/>
    <w:rsid w:val="646B1B68"/>
    <w:rsid w:val="64B928D3"/>
    <w:rsid w:val="64F41B5D"/>
    <w:rsid w:val="65422E2C"/>
    <w:rsid w:val="65C52709"/>
    <w:rsid w:val="66A51398"/>
    <w:rsid w:val="670428C6"/>
    <w:rsid w:val="68030A35"/>
    <w:rsid w:val="68DA6E98"/>
    <w:rsid w:val="691722BE"/>
    <w:rsid w:val="6A5F5CCB"/>
    <w:rsid w:val="6AB73334"/>
    <w:rsid w:val="6ABB4025"/>
    <w:rsid w:val="6ADE12E5"/>
    <w:rsid w:val="6B4F33A4"/>
    <w:rsid w:val="6B981494"/>
    <w:rsid w:val="6BB87D88"/>
    <w:rsid w:val="6C0048D0"/>
    <w:rsid w:val="6C1256EA"/>
    <w:rsid w:val="6C461ECF"/>
    <w:rsid w:val="6D2A6A64"/>
    <w:rsid w:val="6D3314B3"/>
    <w:rsid w:val="6D9E4D5C"/>
    <w:rsid w:val="6DCF3167"/>
    <w:rsid w:val="6E232492"/>
    <w:rsid w:val="6E962CD2"/>
    <w:rsid w:val="6F265009"/>
    <w:rsid w:val="6F5D06C3"/>
    <w:rsid w:val="6F601648"/>
    <w:rsid w:val="6FD93890"/>
    <w:rsid w:val="6FE2671E"/>
    <w:rsid w:val="6FF00D41"/>
    <w:rsid w:val="6FF15BC1"/>
    <w:rsid w:val="70003AAC"/>
    <w:rsid w:val="71DF0FEF"/>
    <w:rsid w:val="72264492"/>
    <w:rsid w:val="728026E4"/>
    <w:rsid w:val="736E298E"/>
    <w:rsid w:val="73941822"/>
    <w:rsid w:val="73C31078"/>
    <w:rsid w:val="73CB3227"/>
    <w:rsid w:val="74162D65"/>
    <w:rsid w:val="74253E9F"/>
    <w:rsid w:val="745A4070"/>
    <w:rsid w:val="75542870"/>
    <w:rsid w:val="761D3536"/>
    <w:rsid w:val="763C15B6"/>
    <w:rsid w:val="772C42BF"/>
    <w:rsid w:val="774E334F"/>
    <w:rsid w:val="775D6EE5"/>
    <w:rsid w:val="79053EE1"/>
    <w:rsid w:val="7A2111EE"/>
    <w:rsid w:val="7A752BA1"/>
    <w:rsid w:val="7A786D50"/>
    <w:rsid w:val="7A960FFF"/>
    <w:rsid w:val="7AB81A37"/>
    <w:rsid w:val="7AD973D3"/>
    <w:rsid w:val="7B656EB9"/>
    <w:rsid w:val="7BB26285"/>
    <w:rsid w:val="7C1F52BA"/>
    <w:rsid w:val="7D0F532E"/>
    <w:rsid w:val="7D392764"/>
    <w:rsid w:val="7E4C610E"/>
    <w:rsid w:val="7E8578B0"/>
    <w:rsid w:val="7EA720E8"/>
    <w:rsid w:val="7F0C2FFD"/>
    <w:rsid w:val="7F847F04"/>
    <w:rsid w:val="7FAC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1"/>
    <w:basedOn w:val="1"/>
    <w:next w:val="1"/>
    <w:qFormat/>
    <w:uiPriority w:val="0"/>
    <w:pPr>
      <w:spacing w:line="400" w:lineRule="exact"/>
      <w:ind w:firstLine="420" w:firstLineChars="200"/>
    </w:pPr>
    <w:rPr>
      <w:rFonts w:ascii="宋体" w:hAnsi="Courier New"/>
      <w:b/>
      <w:szCs w:val="20"/>
    </w:rPr>
  </w:style>
  <w:style w:type="paragraph" w:styleId="8">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20"/>
      <w:szCs w:val="20"/>
      <w:u w:val="none"/>
    </w:rPr>
  </w:style>
  <w:style w:type="paragraph" w:customStyle="1" w:styleId="14">
    <w:name w:val="Table Paragraph"/>
    <w:basedOn w:val="1"/>
    <w:qFormat/>
    <w:uiPriority w:val="1"/>
    <w:rPr>
      <w:rFonts w:ascii="楷体" w:hAnsi="楷体" w:eastAsia="楷体" w:cs="楷体"/>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2638</Words>
  <Characters>3040</Characters>
  <Lines>116</Lines>
  <Paragraphs>32</Paragraphs>
  <TotalTime>10</TotalTime>
  <ScaleCrop>false</ScaleCrop>
  <LinksUpToDate>false</LinksUpToDate>
  <CharactersWithSpaces>3835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LY</cp:lastModifiedBy>
  <dcterms:modified xsi:type="dcterms:W3CDTF">2025-08-30T03:48:38Z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80F70A4EA4C6476F921404372B833C6C_13</vt:lpwstr>
  </property>
  <property fmtid="{D5CDD505-2E9C-101B-9397-08002B2CF9AE}" pid="4" name="KSOTemplateDocerSaveRecord">
    <vt:lpwstr>eyJoZGlkIjoiZDU5YWUzODFlOWYxNDY1OTNiMDFkZDg5YTk5ZGNkYjEiLCJ1c2VySWQiOiI1ODI0ODIzODAifQ==</vt:lpwstr>
  </property>
</Properties>
</file>