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eastAsia" w:ascii="宋体" w:hAnsi="宋体" w:eastAsia="宋体"/>
          <w:b/>
          <w:bCs/>
          <w:color w:val="auto"/>
          <w:kern w:val="0"/>
          <w:sz w:val="32"/>
          <w:szCs w:val="32"/>
          <w:lang w:val="en-US" w:eastAsia="zh-CN"/>
        </w:rPr>
      </w:pPr>
      <w:r>
        <w:rPr>
          <w:rFonts w:hint="eastAsia" w:ascii="宋体" w:hAnsi="宋体"/>
          <w:b/>
          <w:bCs/>
          <w:color w:val="auto"/>
          <w:kern w:val="0"/>
          <w:sz w:val="32"/>
          <w:szCs w:val="32"/>
        </w:rPr>
        <w:t>多语智慧教学翻译平台项目</w:t>
      </w:r>
      <w:r>
        <w:rPr>
          <w:rFonts w:hint="eastAsia" w:ascii="宋体" w:hAnsi="宋体"/>
          <w:b/>
          <w:bCs/>
          <w:color w:val="auto"/>
          <w:kern w:val="0"/>
          <w:sz w:val="32"/>
          <w:szCs w:val="32"/>
          <w:lang w:val="en-US" w:eastAsia="zh-CN"/>
        </w:rPr>
        <w:t>采购</w:t>
      </w:r>
      <w:r>
        <w:rPr>
          <w:rFonts w:hint="eastAsia" w:ascii="宋体" w:hAnsi="宋体"/>
          <w:b/>
          <w:bCs/>
          <w:color w:val="auto"/>
          <w:kern w:val="0"/>
          <w:sz w:val="32"/>
          <w:szCs w:val="32"/>
        </w:rPr>
        <w:t>清单</w:t>
      </w:r>
    </w:p>
    <w:tbl>
      <w:tblPr>
        <w:tblStyle w:val="9"/>
        <w:tblpPr w:leftFromText="180" w:rightFromText="180" w:vertAnchor="text" w:horzAnchor="page" w:tblpX="1082" w:tblpY="648"/>
        <w:tblOverlap w:val="never"/>
        <w:tblW w:w="4980" w:type="pct"/>
        <w:tblInd w:w="0" w:type="dxa"/>
        <w:tblLayout w:type="fixed"/>
        <w:tblCellMar>
          <w:top w:w="0" w:type="dxa"/>
          <w:left w:w="108" w:type="dxa"/>
          <w:bottom w:w="0" w:type="dxa"/>
          <w:right w:w="108" w:type="dxa"/>
        </w:tblCellMar>
      </w:tblPr>
      <w:tblGrid>
        <w:gridCol w:w="492"/>
        <w:gridCol w:w="805"/>
        <w:gridCol w:w="975"/>
        <w:gridCol w:w="10016"/>
        <w:gridCol w:w="597"/>
        <w:gridCol w:w="444"/>
        <w:gridCol w:w="782"/>
        <w:gridCol w:w="723"/>
      </w:tblGrid>
      <w:tr w14:paraId="6EB2E676">
        <w:tblPrEx>
          <w:tblCellMar>
            <w:top w:w="0" w:type="dxa"/>
            <w:left w:w="108" w:type="dxa"/>
            <w:bottom w:w="0" w:type="dxa"/>
            <w:right w:w="108" w:type="dxa"/>
          </w:tblCellMar>
        </w:tblPrEx>
        <w:trPr>
          <w:trHeight w:val="28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品牌</w:t>
            </w:r>
            <w:r>
              <w:rPr>
                <w:rFonts w:hint="eastAsia" w:ascii="宋体" w:hAnsi="宋体"/>
                <w:b/>
                <w:bCs/>
                <w:color w:val="auto"/>
                <w:kern w:val="0"/>
                <w:szCs w:val="21"/>
                <w:highlight w:val="none"/>
                <w:lang w:val="en-US" w:eastAsia="zh-CN" w:bidi="ar"/>
              </w:rPr>
              <w:t>及型号</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单价（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210FA137">
        <w:tblPrEx>
          <w:tblCellMar>
            <w:top w:w="0" w:type="dxa"/>
            <w:left w:w="108" w:type="dxa"/>
            <w:bottom w:w="0" w:type="dxa"/>
            <w:right w:w="108" w:type="dxa"/>
          </w:tblCellMar>
        </w:tblPrEx>
        <w:trPr>
          <w:trHeight w:val="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BBD">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997C">
            <w:pPr>
              <w:widowControl/>
              <w:jc w:val="center"/>
              <w:textAlignment w:val="center"/>
              <w:rPr>
                <w:rFonts w:hint="default" w:ascii="宋体" w:hAnsi="宋体"/>
                <w:color w:val="auto"/>
                <w:sz w:val="22"/>
                <w:highlight w:val="none"/>
                <w:lang w:val="en-US"/>
              </w:rPr>
            </w:pPr>
            <w:r>
              <w:rPr>
                <w:rFonts w:hint="eastAsia" w:ascii="宋体" w:hAnsi="宋体" w:eastAsia="宋体" w:cs="宋体"/>
                <w:color w:val="auto"/>
                <w:kern w:val="2"/>
                <w:sz w:val="24"/>
                <w:szCs w:val="24"/>
                <w:lang w:val="en-US" w:eastAsia="zh-CN" w:bidi="ar"/>
                <w14:ligatures w14:val="standardContextual"/>
              </w:rPr>
              <w:t>多语智慧教学翻译平台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DB3B">
            <w:pPr>
              <w:widowControl/>
              <w:jc w:val="center"/>
              <w:textAlignment w:val="center"/>
              <w:rPr>
                <w:rFonts w:hint="eastAsia" w:ascii="宋体" w:hAnsi="宋体" w:eastAsia="宋体"/>
                <w:color w:val="auto"/>
                <w:sz w:val="22"/>
                <w:highlight w:val="none"/>
                <w:lang w:val="en-US" w:eastAsia="zh-CN"/>
              </w:rPr>
            </w:pPr>
            <w:r>
              <w:rPr>
                <w:rFonts w:hint="eastAsia" w:ascii="宋体" w:hAnsi="宋体"/>
                <w:color w:val="auto"/>
                <w:sz w:val="22"/>
                <w:highlight w:val="none"/>
              </w:rPr>
              <w:t>科大讯飞</w:t>
            </w:r>
            <w:r>
              <w:rPr>
                <w:rFonts w:hint="eastAsia" w:ascii="宋体" w:hAnsi="宋体"/>
                <w:color w:val="auto"/>
                <w:sz w:val="22"/>
                <w:highlight w:val="none"/>
                <w:lang w:val="en-US" w:eastAsia="zh-CN"/>
              </w:rPr>
              <w:t xml:space="preserve"> </w:t>
            </w:r>
            <w:bookmarkStart w:id="0" w:name="_GoBack"/>
            <w:bookmarkEnd w:id="0"/>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09A4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 该平台支持多语种语音到文字的转换，支持汉语、英语、柬埔寨语语音转写，支持语音识别、语音端点检测、语音处理、语音内容实时展示。大会演讲安静环境场景下，标准中文普通话转写准确率≥98%；英文：通用场景下，清晰母语英语转写准确率≥95%；</w:t>
            </w:r>
          </w:p>
          <w:p w14:paraId="3151A64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 支持将源语言文本翻译为目标语言文本（中英互译，中译柬），支持英文语音单语种、中英语音混杂3种场景，其中英文语音混杂场景下无需切换引擎；</w:t>
            </w:r>
          </w:p>
          <w:p w14:paraId="49FFE23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 支持字幕条和全屏字幕2种展示形式，支持对转写和翻译结果字体、字号、行间距、字间距、背景、不透明度、字幕位置、出字效果等信息进行设置，字幕条位置可拖动；</w:t>
            </w:r>
          </w:p>
          <w:p w14:paraId="00CA466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 会议场景下实时语音转写速度≤200毫秒，当会议需要同传译员翻译时，产品接入多语种的同传译员的声音，并对同传译员的声音进行转写，实现现场声音转写和译员声音转写投屏。</w:t>
            </w:r>
          </w:p>
          <w:p w14:paraId="1C7EFF9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 支持中文翻译为英/柬语，英/柬语翻译为中文，支持翻译文本字幕流式展示。</w:t>
            </w:r>
          </w:p>
          <w:p w14:paraId="312AE48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 支持在编辑结果选中语句文本的同时音频也跳转到对应位置进行修改校正。</w:t>
            </w:r>
          </w:p>
          <w:p w14:paraId="76393D9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 支持在会议结束后生成包括会议音频、转写文本、多语种翻译文本的会议记录，支持查看、编辑、导出。</w:t>
            </w:r>
          </w:p>
          <w:p w14:paraId="798B684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 支持内录、麦克风、外接声卡方式获取声源，支持内录+外接设备（声卡/麦克风）混合收音。</w:t>
            </w:r>
          </w:p>
          <w:p w14:paraId="6931DBC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 支持提前录入专业术语或高频热词以提高相关词汇的会中识别效果，提供识别优化、翻译优化、强制替换、禁忌词屏蔽。支持关键词优化，语气词过滤、术语词替换。支持英文识别转写过程中将特定词汇进行屏蔽，屏蔽的形式可设置为“不显示”、“*”和“空格”。</w:t>
            </w:r>
          </w:p>
          <w:p w14:paraId="74A813E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 支持投屏字幕智能分段，可根据标点、文本、时间等多种维度设置分段逻辑，包括智能语义分段（支持中、英文）、支持设置说话停顿时间及识别字数自动分段、支持设置说话停顿时间及指定分段关键词自动分段、支持设置分段关键词自动分段。</w:t>
            </w:r>
          </w:p>
          <w:p w14:paraId="0D13068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根据语音特征自动获取并分析语音声纹信息，自动区分语音的说话人角色；可针对发言人名称进行修正；</w:t>
            </w:r>
          </w:p>
          <w:p w14:paraId="35213CD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支持会议创建、会议复制、会议管理，支持转写文本、翻译文本实时预览，会中可回看文本内容；支持对转写和翻译的结果进行再次编辑，包括切换翻译语言显示、文本替换，手动对内容增、删、改等，校正字幕实时更新；会中可进行清屏操作，完成对字幕中的文本进行即时清除。</w:t>
            </w:r>
          </w:p>
          <w:p w14:paraId="49C30A2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支持自动创建语音播报地址，支持以链接或二维码形式分享，通过手机扫码或输入网址方式，支持通过移动端或网页端收听翻译及现场会议原声，查看实时字幕原文和译文，支持设置合成播报速度。</w:t>
            </w:r>
          </w:p>
          <w:p w14:paraId="785B57C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14. 支持会议记录预览、按句回听、记录编辑、会议记录导出。支持导出会议音频、识别文本、翻译文本。支持对会议记录进行二次的高精转写、高精翻译；支持对会议记录的音频进行自动角色分离。</w:t>
            </w:r>
          </w:p>
          <w:p w14:paraId="0E30689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15. 支持创建登录账号和配置信息，用于系统登录。支持对账号进行增删改查、账号信息维护。对账号进行登录授权、信息授权、时效授权，配置相关账号权限。</w:t>
            </w:r>
          </w:p>
          <w:p w14:paraId="6DB8B25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16. 支持设置系统关键词库、翻译术语库、替换词库、敏感词库。</w:t>
            </w:r>
          </w:p>
          <w:p w14:paraId="25813BC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17. 支持设置系统语言，支持中文、英语、阿语、日语、韩语、中文繁体多种系统语言界面；</w:t>
            </w:r>
          </w:p>
          <w:p w14:paraId="1CBDECE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18. 一体机配置：CPU：I7-13700HX，2.1GHz；内存：64G ；硬盘：512G SSD+2T SSD；显卡：RTX A1000 6G GDDR6；屏幕：16.0寸2560*1600；操作系统： Win10专业版 22H2 64位；</w:t>
            </w:r>
          </w:p>
          <w:p w14:paraId="617AF26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19. 2路卡侬及大三芯复合音频输入；2路MIDI输出接口、1路USB Type-C输出；采样率44.1kHz/48kHz/88.2kHz/96KhZ/176.4kHz/192kHz;增益范围+6db~+60db；支持48V幻象电源；</w:t>
            </w:r>
          </w:p>
          <w:p w14:paraId="6DD0E230">
            <w:pPr>
              <w:widowControl/>
              <w:jc w:val="left"/>
              <w:textAlignment w:val="center"/>
              <w:rPr>
                <w:rFonts w:ascii="宋体" w:hAnsi="宋体"/>
                <w:color w:val="auto"/>
                <w:sz w:val="22"/>
                <w:highlight w:val="none"/>
              </w:rPr>
            </w:pPr>
            <w:r>
              <w:rPr>
                <w:rFonts w:hint="eastAsia" w:ascii="宋体" w:hAnsi="宋体"/>
                <w:color w:val="auto"/>
                <w:sz w:val="22"/>
                <w:highlight w:val="none"/>
              </w:rPr>
              <w:t>20. USB接口（线长3米），免驱动设计，支持win7/8/10操作系统，即插即用；全向收音，拾音距离1.5米及以上；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31BE">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4881">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7617">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34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3FD7">
            <w:pPr>
              <w:widowControl/>
              <w:jc w:val="center"/>
              <w:textAlignment w:val="center"/>
              <w:rPr>
                <w:rFonts w:hint="default" w:ascii="宋体" w:hAnsi="宋体"/>
                <w:color w:val="auto"/>
                <w:sz w:val="22"/>
                <w:highlight w:val="none"/>
                <w:lang w:val="en-US"/>
              </w:rPr>
            </w:pPr>
            <w:r>
              <w:rPr>
                <w:rFonts w:hint="eastAsia" w:ascii="宋体" w:hAnsi="宋体"/>
                <w:color w:val="auto"/>
                <w:kern w:val="0"/>
                <w:sz w:val="22"/>
                <w:highlight w:val="none"/>
                <w:lang w:val="en-US" w:eastAsia="zh-CN" w:bidi="ar"/>
              </w:rPr>
              <w:t>34</w:t>
            </w:r>
          </w:p>
        </w:tc>
      </w:tr>
      <w:tr w14:paraId="785DC736">
        <w:tblPrEx>
          <w:tblCellMar>
            <w:top w:w="0" w:type="dxa"/>
            <w:left w:w="108" w:type="dxa"/>
            <w:bottom w:w="0" w:type="dxa"/>
            <w:right w:w="108" w:type="dxa"/>
          </w:tblCellMar>
        </w:tblPrEx>
        <w:trPr>
          <w:trHeight w:val="600" w:hRule="atLeast"/>
        </w:trPr>
        <w:tc>
          <w:tcPr>
            <w:tcW w:w="4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23D23">
            <w:pPr>
              <w:widowControl/>
              <w:jc w:val="center"/>
              <w:textAlignment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4216">
            <w:pPr>
              <w:widowControl/>
              <w:jc w:val="center"/>
              <w:textAlignment w:val="center"/>
              <w:rPr>
                <w:rFonts w:hint="eastAsia" w:ascii="宋体" w:hAnsi="宋体"/>
                <w:color w:val="auto"/>
                <w:kern w:val="0"/>
                <w:sz w:val="22"/>
                <w:highlight w:val="none"/>
                <w:lang w:bidi="ar"/>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2077">
            <w:pPr>
              <w:widowControl/>
              <w:jc w:val="center"/>
              <w:textAlignment w:val="center"/>
              <w:rPr>
                <w:rFonts w:hint="eastAsia" w:ascii="宋体" w:hAnsi="宋体"/>
                <w:color w:val="auto"/>
                <w:kern w:val="0"/>
                <w:sz w:val="22"/>
                <w:highlight w:val="none"/>
                <w:lang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E1AB">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AB7C">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34</w:t>
            </w:r>
          </w:p>
        </w:tc>
      </w:tr>
    </w:tbl>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954"/>
        <w:gridCol w:w="12276"/>
      </w:tblGrid>
      <w:tr w14:paraId="5580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tcBorders>
              <w:tl2br w:val="nil"/>
              <w:tr2bl w:val="nil"/>
            </w:tcBorders>
            <w:vAlign w:val="center"/>
          </w:tcPr>
          <w:p w14:paraId="1028EEF7">
            <w:pPr>
              <w:pStyle w:val="4"/>
              <w:keepNext w:val="0"/>
              <w:keepLines w:val="0"/>
              <w:pageBreakBefore/>
              <w:widowControl w:val="0"/>
              <w:kinsoku/>
              <w:wordWrap/>
              <w:overflowPunct/>
              <w:topLinePunct w:val="0"/>
              <w:autoSpaceDE/>
              <w:autoSpaceDN/>
              <w:bidi w:val="0"/>
              <w:adjustRightInd/>
              <w:snapToGrid/>
              <w:spacing w:after="0" w:line="360" w:lineRule="exact"/>
              <w:textAlignment w:val="auto"/>
              <w:rPr>
                <w:rFonts w:ascii="宋体" w:hAnsi="宋体" w:eastAsia="宋体" w:cs="宋体"/>
                <w:bCs/>
                <w:color w:val="auto"/>
                <w:sz w:val="21"/>
                <w:szCs w:val="21"/>
                <w:highlight w:val="none"/>
              </w:rPr>
            </w:pPr>
            <w:r>
              <w:rPr>
                <w:rFonts w:hint="eastAsia" w:ascii="宋体" w:hAnsi="宋体" w:eastAsia="宋体"/>
                <w:bCs/>
                <w:snapToGrid w:val="0"/>
                <w:color w:val="auto"/>
                <w:kern w:val="0"/>
                <w:szCs w:val="21"/>
                <w:highlight w:val="none"/>
                <w:lang w:eastAsia="zh-CN"/>
              </w:rPr>
              <w:t>★</w:t>
            </w:r>
            <w:r>
              <w:rPr>
                <w:rFonts w:hint="eastAsia" w:ascii="宋体" w:hAnsi="宋体" w:eastAsia="宋体" w:cs="宋体"/>
                <w:b/>
                <w:color w:val="auto"/>
                <w:kern w:val="0"/>
                <w:sz w:val="21"/>
                <w:szCs w:val="21"/>
                <w:highlight w:val="none"/>
              </w:rPr>
              <w:t>二、商务服务要求</w:t>
            </w:r>
          </w:p>
        </w:tc>
      </w:tr>
      <w:tr w14:paraId="72FD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306576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656" w:type="pct"/>
            <w:tcBorders>
              <w:tl2br w:val="nil"/>
              <w:tr2bl w:val="nil"/>
            </w:tcBorders>
            <w:vAlign w:val="center"/>
          </w:tcPr>
          <w:p w14:paraId="7A39713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合同签订期</w:t>
            </w:r>
          </w:p>
        </w:tc>
        <w:tc>
          <w:tcPr>
            <w:tcW w:w="4119" w:type="pct"/>
            <w:tcBorders>
              <w:tl2br w:val="nil"/>
              <w:tr2bl w:val="nil"/>
            </w:tcBorders>
            <w:vAlign w:val="center"/>
          </w:tcPr>
          <w:p w14:paraId="420F69D5">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olor w:val="auto"/>
                <w:highlight w:val="none"/>
              </w:rPr>
              <w:t>自成交公告发出之日起</w:t>
            </w:r>
            <w:r>
              <w:rPr>
                <w:rFonts w:ascii="宋体" w:hAnsi="宋体"/>
                <w:color w:val="auto"/>
                <w:highlight w:val="none"/>
                <w:u w:val="single"/>
              </w:rPr>
              <w:t xml:space="preserve"> </w:t>
            </w:r>
            <w:r>
              <w:rPr>
                <w:rFonts w:hint="eastAsia" w:ascii="宋体" w:hAnsi="宋体"/>
                <w:color w:val="auto"/>
                <w:highlight w:val="none"/>
                <w:u w:val="single"/>
                <w:lang w:val="en-US" w:eastAsia="zh-CN"/>
              </w:rPr>
              <w:t>7</w:t>
            </w:r>
            <w:r>
              <w:rPr>
                <w:rFonts w:ascii="宋体" w:hAnsi="宋体"/>
                <w:color w:val="auto"/>
                <w:highlight w:val="none"/>
                <w:u w:val="single"/>
              </w:rPr>
              <w:t xml:space="preserve"> </w:t>
            </w:r>
            <w:r>
              <w:rPr>
                <w:rFonts w:hint="eastAsia" w:ascii="宋体" w:hAnsi="宋体"/>
                <w:color w:val="auto"/>
                <w:highlight w:val="none"/>
              </w:rPr>
              <w:t>个日历日内。</w:t>
            </w:r>
          </w:p>
        </w:tc>
      </w:tr>
      <w:tr w14:paraId="030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C6531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656" w:type="pct"/>
            <w:tcBorders>
              <w:tl2br w:val="nil"/>
              <w:tr2bl w:val="nil"/>
            </w:tcBorders>
            <w:vAlign w:val="center"/>
          </w:tcPr>
          <w:p w14:paraId="434CE8EB">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交货时间及地点</w:t>
            </w:r>
          </w:p>
        </w:tc>
        <w:tc>
          <w:tcPr>
            <w:tcW w:w="4119" w:type="pct"/>
            <w:tcBorders>
              <w:tl2br w:val="nil"/>
              <w:tr2bl w:val="nil"/>
            </w:tcBorders>
            <w:vAlign w:val="center"/>
          </w:tcPr>
          <w:p w14:paraId="00118C0A">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ascii="宋体" w:hAnsi="宋体"/>
                <w:color w:val="auto"/>
                <w:highlight w:val="none"/>
              </w:rPr>
              <w:t>1.</w:t>
            </w:r>
            <w:r>
              <w:rPr>
                <w:rFonts w:hint="eastAsia" w:ascii="宋体"/>
                <w:color w:val="auto"/>
                <w:szCs w:val="21"/>
                <w:highlight w:val="none"/>
              </w:rPr>
              <w:t xml:space="preserve"> 交货期：合同签订之</w:t>
            </w:r>
            <w:r>
              <w:rPr>
                <w:rFonts w:hint="eastAsia" w:ascii="宋体" w:hAnsi="宋体" w:eastAsia="宋体" w:cs="宋体"/>
                <w:b w:val="0"/>
                <w:bCs w:val="0"/>
                <w:color w:val="auto"/>
                <w:szCs w:val="21"/>
                <w:highlight w:val="none"/>
              </w:rPr>
              <w:t>日起</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个工作日内交货并安装调试</w:t>
            </w:r>
            <w:r>
              <w:rPr>
                <w:rFonts w:hint="eastAsia" w:ascii="宋体"/>
                <w:color w:val="auto"/>
                <w:szCs w:val="21"/>
                <w:highlight w:val="none"/>
              </w:rPr>
              <w:t>完毕。</w:t>
            </w:r>
          </w:p>
          <w:p w14:paraId="435113EB">
            <w:pPr>
              <w:keepNext w:val="0"/>
              <w:keepLines w:val="0"/>
              <w:pageBreakBefore w:val="0"/>
              <w:kinsoku/>
              <w:wordWrap/>
              <w:overflowPunct/>
              <w:topLinePunct w:val="0"/>
              <w:autoSpaceDE/>
              <w:autoSpaceDN/>
              <w:bidi w:val="0"/>
              <w:adjustRightInd/>
              <w:snapToGrid/>
              <w:spacing w:line="360" w:lineRule="exact"/>
              <w:rPr>
                <w:color w:val="auto"/>
              </w:rPr>
            </w:pPr>
            <w:r>
              <w:rPr>
                <w:rFonts w:ascii="宋体" w:hAnsi="宋体"/>
                <w:color w:val="auto"/>
                <w:highlight w:val="none"/>
              </w:rPr>
              <w:t xml:space="preserve">2. </w:t>
            </w:r>
            <w:r>
              <w:rPr>
                <w:rFonts w:hint="eastAsia" w:ascii="宋体" w:hAnsi="宋体"/>
                <w:color w:val="auto"/>
                <w:highlight w:val="none"/>
              </w:rPr>
              <w:t>交货地点：广西</w:t>
            </w:r>
            <w:r>
              <w:rPr>
                <w:rFonts w:ascii="宋体" w:hAnsi="宋体"/>
                <w:color w:val="auto"/>
                <w:highlight w:val="none"/>
                <w:u w:val="single"/>
              </w:rPr>
              <w:t xml:space="preserve"> </w:t>
            </w:r>
            <w:r>
              <w:rPr>
                <w:rFonts w:hint="eastAsia" w:ascii="宋体" w:hAnsi="宋体"/>
                <w:color w:val="auto"/>
                <w:highlight w:val="none"/>
                <w:u w:val="single"/>
              </w:rPr>
              <w:t>南宁市</w:t>
            </w:r>
            <w:r>
              <w:rPr>
                <w:rFonts w:ascii="宋体" w:hAnsi="宋体"/>
                <w:color w:val="auto"/>
                <w:highlight w:val="none"/>
                <w:u w:val="single"/>
              </w:rPr>
              <w:t xml:space="preserve"> </w:t>
            </w:r>
            <w:r>
              <w:rPr>
                <w:rFonts w:hint="eastAsia" w:ascii="宋体" w:hAnsi="宋体"/>
                <w:color w:val="auto"/>
                <w:highlight w:val="none"/>
              </w:rPr>
              <w:t>采购人指定地</w:t>
            </w:r>
            <w:r>
              <w:rPr>
                <w:rFonts w:hint="eastAsia" w:ascii="宋体" w:hAnsi="宋体"/>
                <w:color w:val="auto"/>
                <w:highlight w:val="none"/>
                <w:lang w:eastAsia="zh-CN"/>
              </w:rPr>
              <w:t>点</w:t>
            </w:r>
            <w:r>
              <w:rPr>
                <w:rFonts w:hint="eastAsia" w:ascii="宋体" w:hAnsi="宋体"/>
                <w:color w:val="auto"/>
                <w:highlight w:val="none"/>
              </w:rPr>
              <w:t>。</w:t>
            </w:r>
          </w:p>
        </w:tc>
      </w:tr>
      <w:tr w14:paraId="485E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04863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656" w:type="pct"/>
            <w:tcBorders>
              <w:tl2br w:val="nil"/>
              <w:tr2bl w:val="nil"/>
            </w:tcBorders>
            <w:vAlign w:val="center"/>
          </w:tcPr>
          <w:p w14:paraId="63370C5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质保期</w:t>
            </w:r>
          </w:p>
        </w:tc>
        <w:tc>
          <w:tcPr>
            <w:tcW w:w="4119" w:type="pct"/>
            <w:tcBorders>
              <w:tl2br w:val="nil"/>
              <w:tr2bl w:val="nil"/>
            </w:tcBorders>
            <w:shd w:val="clear" w:color="auto" w:fill="auto"/>
            <w:vAlign w:val="center"/>
          </w:tcPr>
          <w:p w14:paraId="450E78A7">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软件</w:t>
            </w:r>
            <w:r>
              <w:rPr>
                <w:rFonts w:hint="eastAsia" w:asciiTheme="minorEastAsia" w:hAnsiTheme="minorEastAsia" w:eastAsiaTheme="minorEastAsia" w:cstheme="minorEastAsia"/>
                <w:color w:val="auto"/>
                <w:sz w:val="21"/>
                <w:szCs w:val="21"/>
                <w:highlight w:val="none"/>
                <w:lang w:val="en-US" w:eastAsia="zh-CN"/>
              </w:rPr>
              <w:t>及资源</w:t>
            </w:r>
            <w:r>
              <w:rPr>
                <w:rFonts w:hint="eastAsia" w:asciiTheme="minorEastAsia" w:hAnsiTheme="minorEastAsia" w:eastAsiaTheme="minorEastAsia" w:cstheme="minorEastAsia"/>
                <w:color w:val="auto"/>
                <w:sz w:val="21"/>
                <w:szCs w:val="21"/>
                <w:highlight w:val="none"/>
                <w:lang w:eastAsia="zh-CN"/>
              </w:rPr>
              <w:t>供应商应提供永久使用授权，</w:t>
            </w:r>
            <w:r>
              <w:rPr>
                <w:rFonts w:hint="eastAsia" w:asciiTheme="minorEastAsia" w:hAnsiTheme="minorEastAsia" w:eastAsiaTheme="minorEastAsia" w:cstheme="minorEastAsia"/>
                <w:color w:val="auto"/>
                <w:sz w:val="21"/>
                <w:szCs w:val="21"/>
                <w:highlight w:val="none"/>
                <w:lang w:val="en-US" w:eastAsia="zh-CN"/>
              </w:rPr>
              <w:t>并提供</w:t>
            </w:r>
            <w:r>
              <w:rPr>
                <w:rFonts w:hint="eastAsia" w:asciiTheme="minorEastAsia" w:hAnsiTheme="minorEastAsia" w:eastAsiaTheme="minorEastAsia" w:cstheme="minorEastAsia"/>
                <w:color w:val="auto"/>
                <w:sz w:val="21"/>
                <w:szCs w:val="21"/>
                <w:highlight w:val="none"/>
              </w:rPr>
              <w:t>不少于</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的免费</w:t>
            </w:r>
            <w:r>
              <w:rPr>
                <w:rFonts w:hint="eastAsia" w:asciiTheme="minorEastAsia" w:hAnsiTheme="minorEastAsia" w:eastAsiaTheme="minorEastAsia" w:cstheme="minorEastAsia"/>
                <w:color w:val="auto"/>
                <w:sz w:val="21"/>
                <w:szCs w:val="21"/>
                <w:highlight w:val="none"/>
              </w:rPr>
              <w:t>质保</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w:t>
            </w:r>
            <w:r>
              <w:rPr>
                <w:rFonts w:hint="eastAsia" w:asciiTheme="minorEastAsia" w:hAnsiTheme="minorEastAsia" w:eastAsiaTheme="minorEastAsia" w:cstheme="minorEastAsia"/>
                <w:color w:val="auto"/>
                <w:sz w:val="21"/>
                <w:szCs w:val="21"/>
                <w:highlight w:val="none"/>
              </w:rPr>
              <w:t>验收合格之日起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w:t>
            </w:r>
            <w:r>
              <w:rPr>
                <w:rFonts w:hint="eastAsia" w:asciiTheme="minorEastAsia" w:hAnsiTheme="minorEastAsia" w:eastAsiaTheme="minorEastAsia" w:cstheme="minorEastAsia"/>
                <w:color w:val="auto"/>
                <w:sz w:val="21"/>
                <w:szCs w:val="21"/>
                <w:highlight w:val="none"/>
              </w:rPr>
              <w:t>技术参数中有特别指明质保期的按</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rPr>
              <w:t>参数要求）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shd w:val="clear"/>
                <w:lang w:eastAsia="zh-CN"/>
              </w:rPr>
              <w:t>质保期内</w:t>
            </w:r>
            <w:r>
              <w:rPr>
                <w:rFonts w:hint="eastAsia" w:asciiTheme="minorEastAsia" w:hAnsiTheme="minorEastAsia" w:eastAsiaTheme="minorEastAsia" w:cstheme="minorEastAsia"/>
                <w:color w:val="auto"/>
                <w:sz w:val="21"/>
                <w:szCs w:val="21"/>
                <w:highlight w:val="none"/>
                <w:shd w:val="clear"/>
                <w:lang w:val="en-US" w:eastAsia="zh-CN"/>
              </w:rPr>
              <w:t>同版本同模块免费升级</w:t>
            </w:r>
            <w:r>
              <w:rPr>
                <w:rFonts w:hint="eastAsia" w:asciiTheme="minorEastAsia" w:hAnsiTheme="minorEastAsia" w:cstheme="minorEastAsia"/>
                <w:color w:val="auto"/>
                <w:sz w:val="21"/>
                <w:szCs w:val="21"/>
                <w:highlight w:val="none"/>
                <w:shd w:val="clear"/>
                <w:lang w:val="en-US" w:eastAsia="zh-CN"/>
              </w:rPr>
              <w:t>、免费</w:t>
            </w:r>
            <w:r>
              <w:rPr>
                <w:rFonts w:hint="eastAsia" w:asciiTheme="minorEastAsia" w:hAnsiTheme="minorEastAsia" w:eastAsiaTheme="minorEastAsia" w:cstheme="minorEastAsia"/>
                <w:color w:val="auto"/>
                <w:sz w:val="21"/>
                <w:szCs w:val="21"/>
                <w:highlight w:val="none"/>
                <w:shd w:val="clear"/>
                <w:lang w:val="en-US" w:eastAsia="zh-CN"/>
              </w:rPr>
              <w:t>维护软件；质</w:t>
            </w:r>
            <w:r>
              <w:rPr>
                <w:rFonts w:hint="eastAsia" w:asciiTheme="minorEastAsia" w:hAnsiTheme="minorEastAsia" w:eastAsiaTheme="minorEastAsia" w:cstheme="minorEastAsia"/>
                <w:color w:val="auto"/>
                <w:sz w:val="21"/>
                <w:szCs w:val="21"/>
                <w:highlight w:val="none"/>
                <w:lang w:val="en-US" w:eastAsia="zh-CN"/>
              </w:rPr>
              <w:t>保期满提供终身技术支持服务。</w:t>
            </w:r>
          </w:p>
        </w:tc>
      </w:tr>
      <w:tr w14:paraId="101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097691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656" w:type="pct"/>
            <w:tcBorders>
              <w:tl2br w:val="nil"/>
              <w:tr2bl w:val="nil"/>
            </w:tcBorders>
            <w:vAlign w:val="center"/>
          </w:tcPr>
          <w:p w14:paraId="0AAF69E2">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产品质量保证及售后服务要求</w:t>
            </w:r>
          </w:p>
        </w:tc>
        <w:tc>
          <w:tcPr>
            <w:tcW w:w="4119" w:type="pct"/>
            <w:tcBorders>
              <w:tl2br w:val="nil"/>
              <w:tr2bl w:val="nil"/>
            </w:tcBorders>
            <w:shd w:val="clear" w:color="auto" w:fill="auto"/>
            <w:vAlign w:val="center"/>
          </w:tcPr>
          <w:p w14:paraId="21814431">
            <w:pPr>
              <w:widowControl/>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color w:val="auto"/>
                <w:szCs w:val="21"/>
                <w:highlight w:val="none"/>
              </w:rPr>
              <w:t>供应商所投产品必须能实质性响应采购要求（所投产品应完全满足或优于采购参数要求），供货时能按照采购需求的要求提供厂家</w:t>
            </w:r>
            <w:r>
              <w:rPr>
                <w:rFonts w:hint="eastAsia" w:ascii="宋体" w:hAnsi="宋体"/>
                <w:color w:val="auto"/>
                <w:szCs w:val="21"/>
                <w:highlight w:val="none"/>
                <w:lang w:val="en-US" w:eastAsia="zh-CN"/>
              </w:rPr>
              <w:t>授权</w:t>
            </w:r>
            <w:r>
              <w:rPr>
                <w:rFonts w:hint="eastAsia" w:ascii="宋体" w:hAnsi="宋体"/>
                <w:color w:val="auto"/>
                <w:szCs w:val="21"/>
                <w:highlight w:val="none"/>
              </w:rPr>
              <w:t>证明和售后服务承诺书原件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加盖厂家公章和供应商公章</w:t>
            </w:r>
            <w:r>
              <w:rPr>
                <w:rFonts w:hint="eastAsia" w:ascii="宋体" w:hAnsi="宋体"/>
                <w:color w:val="auto"/>
                <w:szCs w:val="21"/>
                <w:highlight w:val="none"/>
                <w:lang w:eastAsia="zh-CN"/>
              </w:rPr>
              <w:t>）</w:t>
            </w:r>
            <w:r>
              <w:rPr>
                <w:rFonts w:hint="eastAsia" w:ascii="宋体" w:hAnsi="宋体"/>
                <w:color w:val="auto"/>
                <w:szCs w:val="21"/>
                <w:highlight w:val="none"/>
              </w:rPr>
              <w:t>，避免假冒伪劣产品。</w:t>
            </w:r>
            <w:r>
              <w:rPr>
                <w:rFonts w:hint="eastAsia" w:asciiTheme="minorEastAsia" w:hAnsiTheme="minorEastAsia" w:cstheme="minorEastAsia"/>
                <w:color w:val="auto"/>
                <w:szCs w:val="21"/>
                <w:highlight w:val="none"/>
              </w:rPr>
              <w:t>对不能满足参数要求虚假响应，或者签订合同后15个日历日内无法交付使用的，采购人可作废标处理，并依法向供应商追究违约责任。</w:t>
            </w:r>
          </w:p>
          <w:p w14:paraId="5DC4EB86">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2、本次采购货物必须是供货商免费送货上门提供安装调试及操作培训，免费送货上门，交货地点为广西区内采购人指定地点，不接受物流快递发货以及电话指导安装。</w:t>
            </w:r>
          </w:p>
          <w:p w14:paraId="08072FBE">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、按国家“三包”政策或厂家承诺提供售后服务，服务内容包括但不限于：</w:t>
            </w:r>
          </w:p>
          <w:p w14:paraId="230BFF49">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咨询：系统服务期内，向用户提供各种与产品相关的免费技术咨询服务（包括热线服务），包括热线电话，电子邮件（7×24），传真等方式。</w:t>
            </w:r>
          </w:p>
          <w:p w14:paraId="01FED562">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（2）软件升级：在服务期内，免费提供版本升级、产品换代更新。服务期满后，提供对相关软件升级提醒服务，协助制订升级计划，提供关于新版本改进性能的培训，远程或现场指导软件升级。</w:t>
            </w:r>
          </w:p>
          <w:p w14:paraId="3745C923">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（3）远程支持——采用电话指导或远程登录、电子邮件等方式提供技术支持。</w:t>
            </w:r>
          </w:p>
          <w:p w14:paraId="4AACDE40">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（4）现场技术服务——当远程支持无法解决用户问题时，指派技术人员提供现场技术服务。</w:t>
            </w:r>
          </w:p>
          <w:p w14:paraId="3D09EB85">
            <w:pPr>
              <w:widowControl/>
              <w:snapToGrid w:val="0"/>
              <w:spacing w:line="400" w:lineRule="exact"/>
              <w:ind w:firstLine="420" w:firstLineChars="200"/>
              <w:rPr>
                <w:color w:val="auto"/>
              </w:rPr>
            </w:pPr>
            <w:r>
              <w:rPr>
                <w:rFonts w:hint="eastAsia" w:ascii="宋体" w:hAnsi="宋体" w:eastAsia="宋体" w:cs="宋体"/>
                <w:color w:val="auto"/>
                <w:szCs w:val="21"/>
                <w:highlight w:val="none"/>
                <w:lang w:val="en-US" w:eastAsia="zh-CN"/>
              </w:rPr>
              <w:t>（5）故障响应时间：成交供应商收到采购人的故障维修通知</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小时内到达现场进行维修维护，</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小时内排除故障，特殊故障第一时间以书面形式通知采购人并制定维修方案及确定故障排除的时间。</w:t>
            </w:r>
          </w:p>
        </w:tc>
      </w:tr>
      <w:tr w14:paraId="42D2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125A8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656" w:type="pct"/>
            <w:tcBorders>
              <w:tl2br w:val="nil"/>
              <w:tr2bl w:val="nil"/>
            </w:tcBorders>
            <w:vAlign w:val="center"/>
          </w:tcPr>
          <w:p w14:paraId="4CE2A56D">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付款方式</w:t>
            </w:r>
          </w:p>
        </w:tc>
        <w:tc>
          <w:tcPr>
            <w:tcW w:w="4119" w:type="pct"/>
            <w:tcBorders>
              <w:tl2br w:val="nil"/>
              <w:tr2bl w:val="nil"/>
            </w:tcBorders>
            <w:vAlign w:val="center"/>
          </w:tcPr>
          <w:p w14:paraId="3D608315">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全部</w:t>
            </w:r>
            <w:r>
              <w:rPr>
                <w:rFonts w:hint="eastAsia" w:ascii="宋体" w:hAnsi="宋体" w:cs="宋体"/>
                <w:color w:val="auto"/>
                <w:highlight w:val="none"/>
                <w:lang w:eastAsia="zh-CN"/>
              </w:rPr>
              <w:t>货物</w:t>
            </w:r>
            <w:r>
              <w:rPr>
                <w:rFonts w:hint="eastAsia" w:ascii="宋体" w:hAnsi="宋体" w:cs="宋体"/>
                <w:color w:val="auto"/>
                <w:highlight w:val="none"/>
              </w:rPr>
              <w:t>服务</w:t>
            </w:r>
            <w:r>
              <w:rPr>
                <w:rFonts w:hint="eastAsia" w:ascii="宋体" w:hAnsi="宋体" w:cs="宋体"/>
                <w:color w:val="auto"/>
                <w:highlight w:val="none"/>
                <w:lang w:eastAsia="zh-CN"/>
              </w:rPr>
              <w:t>交付并</w:t>
            </w:r>
            <w:r>
              <w:rPr>
                <w:rFonts w:hint="eastAsia" w:ascii="宋体" w:hAnsi="宋体" w:cs="宋体"/>
                <w:color w:val="auto"/>
                <w:highlight w:val="none"/>
              </w:rPr>
              <w:t>安装、调试完毕，经采购人最终验收合格后，甲方在10个工作日内一次性支付</w:t>
            </w:r>
            <w:r>
              <w:rPr>
                <w:rFonts w:hint="eastAsia" w:ascii="宋体" w:hAnsi="宋体" w:cs="宋体"/>
                <w:color w:val="auto"/>
                <w:highlight w:val="none"/>
                <w:lang w:eastAsia="zh-CN"/>
              </w:rPr>
              <w:t>全部合同货款</w:t>
            </w:r>
            <w:r>
              <w:rPr>
                <w:rFonts w:hint="eastAsia" w:ascii="宋体" w:hAnsi="宋体" w:cs="宋体"/>
                <w:color w:val="auto"/>
                <w:highlight w:val="none"/>
              </w:rPr>
              <w:t>给乙方。</w:t>
            </w:r>
          </w:p>
        </w:tc>
      </w:tr>
      <w:tr w14:paraId="4EB3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855F4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p>
        </w:tc>
        <w:tc>
          <w:tcPr>
            <w:tcW w:w="656" w:type="pct"/>
            <w:tcBorders>
              <w:tl2br w:val="nil"/>
              <w:tr2bl w:val="nil"/>
            </w:tcBorders>
            <w:vAlign w:val="center"/>
          </w:tcPr>
          <w:p w14:paraId="7698E87C">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实施和安装要求</w:t>
            </w:r>
          </w:p>
        </w:tc>
        <w:tc>
          <w:tcPr>
            <w:tcW w:w="4119" w:type="pct"/>
            <w:tcBorders>
              <w:tl2br w:val="nil"/>
              <w:tr2bl w:val="nil"/>
            </w:tcBorders>
            <w:vAlign w:val="center"/>
          </w:tcPr>
          <w:p w14:paraId="4DF42085">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1.合同生效后【</w:t>
            </w:r>
            <w:r>
              <w:rPr>
                <w:rFonts w:hint="eastAsia" w:ascii="宋体" w:hAnsi="宋体"/>
                <w:color w:val="auto"/>
                <w:highlight w:val="none"/>
                <w:lang w:val="en-US" w:eastAsia="zh-CN"/>
              </w:rPr>
              <w:t>10</w:t>
            </w:r>
            <w:r>
              <w:rPr>
                <w:rFonts w:hint="eastAsia" w:ascii="宋体" w:hAnsi="宋体"/>
                <w:color w:val="auto"/>
                <w:highlight w:val="none"/>
              </w:rPr>
              <w:t>】个工作日内，供应商应将产品交付至采购人指定地点，开通授权登录账号，提供现场安装调试服务、操作培训、技术指导等，并提交产品相关操作指南和使用说明书（如有）。</w:t>
            </w:r>
          </w:p>
          <w:p w14:paraId="2DCE1E5A">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2.根据采购要求提供项目安装调试服务，确保所提供的货物或服务满足采购人使用要求，质量合格；</w:t>
            </w:r>
          </w:p>
          <w:p w14:paraId="72FED688">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3．供应商必须服从甲方现场负责人的指挥，按指定地点进行安装调试，安装过程中的所有安全保障由供应商自行负责；</w:t>
            </w:r>
          </w:p>
          <w:p w14:paraId="0BB65372">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Cs/>
                <w:color w:val="auto"/>
                <w:szCs w:val="21"/>
                <w:highlight w:val="none"/>
              </w:rPr>
            </w:pPr>
            <w:r>
              <w:rPr>
                <w:rFonts w:hint="eastAsia" w:ascii="宋体" w:hAnsi="宋体"/>
                <w:color w:val="auto"/>
                <w:highlight w:val="none"/>
              </w:rPr>
              <w:t>4.严格按竞标产品的安装规范要求进行安装，确保安全。</w:t>
            </w:r>
          </w:p>
        </w:tc>
      </w:tr>
      <w:tr w14:paraId="088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535CD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7</w:t>
            </w:r>
          </w:p>
        </w:tc>
        <w:tc>
          <w:tcPr>
            <w:tcW w:w="656" w:type="pct"/>
            <w:tcBorders>
              <w:tl2br w:val="nil"/>
              <w:tr2bl w:val="nil"/>
            </w:tcBorders>
            <w:shd w:val="clear" w:color="auto" w:fill="auto"/>
            <w:vAlign w:val="center"/>
          </w:tcPr>
          <w:p w14:paraId="1EED4AA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olor w:val="auto"/>
                <w:highlight w:val="none"/>
              </w:rPr>
              <w:t>验收要求</w:t>
            </w:r>
          </w:p>
        </w:tc>
        <w:tc>
          <w:tcPr>
            <w:tcW w:w="4119" w:type="pct"/>
            <w:tcBorders>
              <w:tl2br w:val="nil"/>
              <w:tr2bl w:val="nil"/>
            </w:tcBorders>
            <w:shd w:val="clear" w:color="auto" w:fill="auto"/>
            <w:vAlign w:val="center"/>
          </w:tcPr>
          <w:p w14:paraId="231DF41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1.成交供应商按采购人指定的安装地点，</w:t>
            </w:r>
            <w:r>
              <w:rPr>
                <w:rFonts w:hint="eastAsia" w:ascii="宋体" w:hAnsi="宋体"/>
                <w:color w:val="auto"/>
                <w:highlight w:val="none"/>
                <w:lang w:eastAsia="zh-CN"/>
              </w:rPr>
              <w:t>在采购约定时间内</w:t>
            </w:r>
            <w:r>
              <w:rPr>
                <w:rFonts w:hint="eastAsia" w:ascii="宋体" w:hAnsi="宋体"/>
                <w:color w:val="auto"/>
                <w:highlight w:val="none"/>
              </w:rPr>
              <w:t>完成安装与调试、现场培训等。</w:t>
            </w:r>
          </w:p>
          <w:p w14:paraId="188374E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2.成交供应商提出书面验收申请，经采购人同意后共同组织验收，签写相应验收意见并签名确认。验收时，</w:t>
            </w:r>
            <w:r>
              <w:rPr>
                <w:rFonts w:hint="eastAsia" w:ascii="宋体" w:hAnsi="宋体"/>
                <w:color w:val="auto"/>
                <w:szCs w:val="21"/>
                <w:highlight w:val="none"/>
              </w:rPr>
              <w:t>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责任和费用，采购人保留进一步追究责任的权利。</w:t>
            </w:r>
            <w:r>
              <w:rPr>
                <w:rFonts w:hint="eastAsia" w:ascii="宋体" w:hAnsi="宋体"/>
                <w:color w:val="auto"/>
                <w:highlight w:val="none"/>
              </w:rPr>
              <w:t>如对验收存在异议的，可聘请第三方按合同约定组织验收。</w:t>
            </w:r>
          </w:p>
          <w:p w14:paraId="05E2703B">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3.项目验收合格，项目约定产品或服务才正式交接，交接完毕，才作为项目的最终验收。</w:t>
            </w:r>
          </w:p>
          <w:p w14:paraId="420635F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olor w:val="auto"/>
                <w:highlight w:val="none"/>
              </w:rPr>
              <w:t>4.验收费用：验收所产生的劳务费、检验费及相关发生的全部费用均由成交供应商承担。</w:t>
            </w:r>
          </w:p>
        </w:tc>
      </w:tr>
      <w:tr w14:paraId="5B1F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87C06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w:t>
            </w:r>
          </w:p>
        </w:tc>
        <w:tc>
          <w:tcPr>
            <w:tcW w:w="656" w:type="pct"/>
            <w:tcBorders>
              <w:tl2br w:val="nil"/>
              <w:tr2bl w:val="nil"/>
            </w:tcBorders>
            <w:vAlign w:val="center"/>
          </w:tcPr>
          <w:p w14:paraId="25BE8D8E">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其他要求</w:t>
            </w:r>
          </w:p>
        </w:tc>
        <w:tc>
          <w:tcPr>
            <w:tcW w:w="4119" w:type="pct"/>
            <w:tcBorders>
              <w:tl2br w:val="nil"/>
              <w:tr2bl w:val="nil"/>
            </w:tcBorders>
            <w:vAlign w:val="center"/>
          </w:tcPr>
          <w:p w14:paraId="526EDB6B">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shd w:val="clear"/>
              </w:rPr>
              <w:t>1、</w:t>
            </w:r>
            <w:r>
              <w:rPr>
                <w:rFonts w:hint="eastAsia" w:ascii="宋体" w:hAnsi="宋体"/>
                <w:color w:val="auto"/>
                <w:szCs w:val="21"/>
                <w:highlight w:val="none"/>
              </w:rPr>
              <w:t>供应商所投产品必须能实质性响应采购要求（所投产品应完全满足或优于采购参数要求）</w:t>
            </w:r>
            <w:r>
              <w:rPr>
                <w:rFonts w:hint="eastAsia" w:ascii="宋体" w:hAnsi="宋体"/>
                <w:color w:val="auto"/>
                <w:highlight w:val="none"/>
                <w:shd w:val="clear"/>
              </w:rPr>
              <w:t>，不允许负偏离</w:t>
            </w:r>
            <w:r>
              <w:rPr>
                <w:rFonts w:hint="eastAsia" w:ascii="宋体" w:hAnsi="宋体"/>
                <w:color w:val="auto"/>
                <w:highlight w:val="none"/>
                <w:shd w:val="clear"/>
                <w:lang w:eastAsia="zh-CN"/>
              </w:rPr>
              <w:t>，否则视为无效响应</w:t>
            </w:r>
            <w:r>
              <w:rPr>
                <w:rFonts w:hint="eastAsia" w:ascii="宋体" w:hAnsi="宋体"/>
                <w:bCs/>
                <w:snapToGrid w:val="0"/>
                <w:color w:val="auto"/>
                <w:kern w:val="0"/>
                <w:szCs w:val="21"/>
                <w:highlight w:val="none"/>
                <w:lang w:val="en-US" w:eastAsia="zh-CN"/>
              </w:rPr>
              <w:t>。</w:t>
            </w:r>
            <w:r>
              <w:rPr>
                <w:rFonts w:hint="eastAsia" w:ascii="宋体" w:hAnsi="宋体"/>
                <w:color w:val="auto"/>
                <w:highlight w:val="none"/>
              </w:rPr>
              <w:t>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007ADCC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olor w:val="auto"/>
                <w:highlight w:val="none"/>
              </w:rPr>
            </w:pPr>
            <w:r>
              <w:rPr>
                <w:rFonts w:hint="eastAsia" w:ascii="宋体" w:hAnsi="宋体"/>
                <w:color w:val="auto"/>
                <w:highlight w:val="none"/>
              </w:rPr>
              <w:t>2、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03241EA6">
      <w:pPr>
        <w:rPr>
          <w:color w:val="auto"/>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NmQwNDNmOWYwN2FlZDNhN2Y4NTA1YzNjNTc3NDkifQ=="/>
  </w:docVars>
  <w:rsids>
    <w:rsidRoot w:val="170574C9"/>
    <w:rsid w:val="00001765"/>
    <w:rsid w:val="004A4FCA"/>
    <w:rsid w:val="005407A1"/>
    <w:rsid w:val="00586FEC"/>
    <w:rsid w:val="005A0FAF"/>
    <w:rsid w:val="007E2D34"/>
    <w:rsid w:val="00890838"/>
    <w:rsid w:val="009017A1"/>
    <w:rsid w:val="00C52119"/>
    <w:rsid w:val="00C5782E"/>
    <w:rsid w:val="00C601AE"/>
    <w:rsid w:val="00C60D60"/>
    <w:rsid w:val="00D010B9"/>
    <w:rsid w:val="00DB30E9"/>
    <w:rsid w:val="00FF7CE6"/>
    <w:rsid w:val="02497534"/>
    <w:rsid w:val="02B00BF5"/>
    <w:rsid w:val="02D41B01"/>
    <w:rsid w:val="03461F69"/>
    <w:rsid w:val="03D01339"/>
    <w:rsid w:val="0442138C"/>
    <w:rsid w:val="04534861"/>
    <w:rsid w:val="04910CAA"/>
    <w:rsid w:val="04DA0DBE"/>
    <w:rsid w:val="04FC088E"/>
    <w:rsid w:val="052E28C8"/>
    <w:rsid w:val="069C7F67"/>
    <w:rsid w:val="06F57F75"/>
    <w:rsid w:val="071F7265"/>
    <w:rsid w:val="08D95292"/>
    <w:rsid w:val="09181FD0"/>
    <w:rsid w:val="098835AA"/>
    <w:rsid w:val="0A4A5BF8"/>
    <w:rsid w:val="0AB7508A"/>
    <w:rsid w:val="0AFF481A"/>
    <w:rsid w:val="0B870B9C"/>
    <w:rsid w:val="0BD22349"/>
    <w:rsid w:val="0BE36304"/>
    <w:rsid w:val="0BE856C8"/>
    <w:rsid w:val="0D693500"/>
    <w:rsid w:val="0D7C0FEF"/>
    <w:rsid w:val="0EEC1973"/>
    <w:rsid w:val="0F13514E"/>
    <w:rsid w:val="10516B48"/>
    <w:rsid w:val="10700716"/>
    <w:rsid w:val="10CB0144"/>
    <w:rsid w:val="11056D1C"/>
    <w:rsid w:val="11EE5A02"/>
    <w:rsid w:val="126521DA"/>
    <w:rsid w:val="12E35D86"/>
    <w:rsid w:val="14B0798A"/>
    <w:rsid w:val="14CD18FF"/>
    <w:rsid w:val="15C55FA9"/>
    <w:rsid w:val="161672D6"/>
    <w:rsid w:val="169F45B2"/>
    <w:rsid w:val="170574C9"/>
    <w:rsid w:val="173E0892"/>
    <w:rsid w:val="17AD77C6"/>
    <w:rsid w:val="17E416FE"/>
    <w:rsid w:val="180A2E6A"/>
    <w:rsid w:val="19E25E4D"/>
    <w:rsid w:val="19FB6C07"/>
    <w:rsid w:val="1B60540B"/>
    <w:rsid w:val="1BC34054"/>
    <w:rsid w:val="1CF83EBA"/>
    <w:rsid w:val="1CFC0FD3"/>
    <w:rsid w:val="1DFB4D61"/>
    <w:rsid w:val="20AA346D"/>
    <w:rsid w:val="224B0307"/>
    <w:rsid w:val="22E53BE8"/>
    <w:rsid w:val="238A585A"/>
    <w:rsid w:val="238C0BD7"/>
    <w:rsid w:val="23A61397"/>
    <w:rsid w:val="23FA65E1"/>
    <w:rsid w:val="241A61E3"/>
    <w:rsid w:val="247578BD"/>
    <w:rsid w:val="255F69BB"/>
    <w:rsid w:val="262A3872"/>
    <w:rsid w:val="26A34BB6"/>
    <w:rsid w:val="272F1D72"/>
    <w:rsid w:val="2753038A"/>
    <w:rsid w:val="289B3D96"/>
    <w:rsid w:val="29FB0EEE"/>
    <w:rsid w:val="2A66259C"/>
    <w:rsid w:val="2B3C33A4"/>
    <w:rsid w:val="2C5536B8"/>
    <w:rsid w:val="2C9A6113"/>
    <w:rsid w:val="2C9D3849"/>
    <w:rsid w:val="2CD07727"/>
    <w:rsid w:val="2E77225F"/>
    <w:rsid w:val="2EC675C3"/>
    <w:rsid w:val="2F9514AB"/>
    <w:rsid w:val="302F0099"/>
    <w:rsid w:val="30B61FF7"/>
    <w:rsid w:val="30C36E11"/>
    <w:rsid w:val="31465D97"/>
    <w:rsid w:val="31992E3D"/>
    <w:rsid w:val="32247DFE"/>
    <w:rsid w:val="323A4620"/>
    <w:rsid w:val="329473AE"/>
    <w:rsid w:val="32D14858"/>
    <w:rsid w:val="34531AA2"/>
    <w:rsid w:val="35E16A2E"/>
    <w:rsid w:val="36985DB9"/>
    <w:rsid w:val="36AD5148"/>
    <w:rsid w:val="37755E86"/>
    <w:rsid w:val="38D9696E"/>
    <w:rsid w:val="390F2A93"/>
    <w:rsid w:val="39762CBF"/>
    <w:rsid w:val="397A79F8"/>
    <w:rsid w:val="3AAB781D"/>
    <w:rsid w:val="3B5E449F"/>
    <w:rsid w:val="3CBF4A61"/>
    <w:rsid w:val="3CCA034E"/>
    <w:rsid w:val="3DAE7C70"/>
    <w:rsid w:val="3DE713D4"/>
    <w:rsid w:val="3ED92ACB"/>
    <w:rsid w:val="406E72A4"/>
    <w:rsid w:val="410172C5"/>
    <w:rsid w:val="41E11E03"/>
    <w:rsid w:val="41F617B3"/>
    <w:rsid w:val="4206295C"/>
    <w:rsid w:val="44163F0E"/>
    <w:rsid w:val="44994855"/>
    <w:rsid w:val="4581088E"/>
    <w:rsid w:val="45FC03BF"/>
    <w:rsid w:val="48DA32E9"/>
    <w:rsid w:val="48E522B6"/>
    <w:rsid w:val="490A67FA"/>
    <w:rsid w:val="49D01A86"/>
    <w:rsid w:val="49F7687F"/>
    <w:rsid w:val="4B02599F"/>
    <w:rsid w:val="4B8B2F80"/>
    <w:rsid w:val="4CC96874"/>
    <w:rsid w:val="4D9549A9"/>
    <w:rsid w:val="4DD5541C"/>
    <w:rsid w:val="4ECF7A46"/>
    <w:rsid w:val="503A73A6"/>
    <w:rsid w:val="51704C1D"/>
    <w:rsid w:val="51A837F2"/>
    <w:rsid w:val="52F26AC7"/>
    <w:rsid w:val="54491472"/>
    <w:rsid w:val="5488491F"/>
    <w:rsid w:val="548F7351"/>
    <w:rsid w:val="55654C60"/>
    <w:rsid w:val="558F7E43"/>
    <w:rsid w:val="559B0682"/>
    <w:rsid w:val="562D75AF"/>
    <w:rsid w:val="579161E1"/>
    <w:rsid w:val="5794182D"/>
    <w:rsid w:val="58422359"/>
    <w:rsid w:val="592866D1"/>
    <w:rsid w:val="5C750008"/>
    <w:rsid w:val="5C9F6CAA"/>
    <w:rsid w:val="5E1D7B0C"/>
    <w:rsid w:val="5F19108C"/>
    <w:rsid w:val="5F4065B6"/>
    <w:rsid w:val="5FC72F01"/>
    <w:rsid w:val="5FF520B9"/>
    <w:rsid w:val="60725F10"/>
    <w:rsid w:val="60BF5B6D"/>
    <w:rsid w:val="610D4460"/>
    <w:rsid w:val="619265B1"/>
    <w:rsid w:val="646B1B68"/>
    <w:rsid w:val="64B928D3"/>
    <w:rsid w:val="64F41B5D"/>
    <w:rsid w:val="66870535"/>
    <w:rsid w:val="66A51398"/>
    <w:rsid w:val="68030A35"/>
    <w:rsid w:val="691722BE"/>
    <w:rsid w:val="6ADE12E5"/>
    <w:rsid w:val="6B981494"/>
    <w:rsid w:val="6BB87D88"/>
    <w:rsid w:val="6C0048D0"/>
    <w:rsid w:val="6C1256EA"/>
    <w:rsid w:val="6C461ECF"/>
    <w:rsid w:val="6D2A6A64"/>
    <w:rsid w:val="6D3314B3"/>
    <w:rsid w:val="6E232492"/>
    <w:rsid w:val="6E962CD2"/>
    <w:rsid w:val="6F5D06C3"/>
    <w:rsid w:val="6F601648"/>
    <w:rsid w:val="6FE2671E"/>
    <w:rsid w:val="6FF00D41"/>
    <w:rsid w:val="71DF0FEF"/>
    <w:rsid w:val="728026E4"/>
    <w:rsid w:val="736E298E"/>
    <w:rsid w:val="73C31078"/>
    <w:rsid w:val="73CB3227"/>
    <w:rsid w:val="74162D65"/>
    <w:rsid w:val="74253E9F"/>
    <w:rsid w:val="75FE552D"/>
    <w:rsid w:val="761D3536"/>
    <w:rsid w:val="775D6EE5"/>
    <w:rsid w:val="799356BF"/>
    <w:rsid w:val="7A2111EE"/>
    <w:rsid w:val="7A752BA1"/>
    <w:rsid w:val="7A786D50"/>
    <w:rsid w:val="7AB81A37"/>
    <w:rsid w:val="7B656EB9"/>
    <w:rsid w:val="7BB26285"/>
    <w:rsid w:val="7D0F532E"/>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Normal Indent"/>
    <w:basedOn w:val="1"/>
    <w:next w:val="1"/>
    <w:qFormat/>
    <w:uiPriority w:val="0"/>
    <w:pPr>
      <w:ind w:firstLine="420"/>
    </w:pPr>
    <w:rPr>
      <w:szCs w:val="20"/>
    </w:rPr>
  </w:style>
  <w:style w:type="paragraph" w:styleId="4">
    <w:name w:val="Body Text"/>
    <w:basedOn w:val="1"/>
    <w:semiHidden/>
    <w:qFormat/>
    <w:uiPriority w:val="0"/>
    <w:rPr>
      <w:rFonts w:ascii="微软雅黑" w:hAnsi="微软雅黑" w:eastAsia="微软雅黑" w:cs="微软雅黑"/>
      <w:sz w:val="24"/>
      <w:szCs w:val="24"/>
      <w:lang w:eastAsia="en-US"/>
    </w:rPr>
  </w:style>
  <w:style w:type="paragraph" w:styleId="5">
    <w:name w:val="Body Text Indent"/>
    <w:basedOn w:val="1"/>
    <w:next w:val="1"/>
    <w:qFormat/>
    <w:uiPriority w:val="0"/>
    <w:pPr>
      <w:ind w:firstLine="830" w:firstLineChars="352"/>
    </w:pPr>
    <w:rPr>
      <w:rFonts w:asci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semiHidden/>
    <w:unhideWhenUsed/>
    <w:qFormat/>
    <w:uiPriority w:val="99"/>
    <w:rPr>
      <w:sz w:val="24"/>
    </w:rPr>
  </w:style>
  <w:style w:type="paragraph" w:styleId="8">
    <w:name w:val="Body Text First Indent 2"/>
    <w:basedOn w:val="5"/>
    <w:next w:val="1"/>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 w:type="paragraph" w:customStyle="1" w:styleId="15">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3153</Words>
  <Characters>3342</Characters>
  <Lines>116</Lines>
  <Paragraphs>32</Paragraphs>
  <TotalTime>1</TotalTime>
  <ScaleCrop>false</ScaleCrop>
  <LinksUpToDate>false</LinksUpToDate>
  <CharactersWithSpaces>3378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LY</cp:lastModifiedBy>
  <cp:lastPrinted>2025-04-24T01:58:00Z</cp:lastPrinted>
  <dcterms:modified xsi:type="dcterms:W3CDTF">2025-06-26T10:18:30Z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051FE5DF4A5846ECBFCD77C5679E6C60_13</vt:lpwstr>
  </property>
  <property fmtid="{D5CDD505-2E9C-101B-9397-08002B2CF9AE}" pid="4" name="KSOTemplateDocerSaveRecord">
    <vt:lpwstr>eyJoZGlkIjoiYTUzZDY3MzQ3M2UzMjY1NjBmYTJmNmI0N2ZjODk1Y2QiLCJ1c2VySWQiOiI1ODI0ODIzODAifQ==</vt:lpwstr>
  </property>
</Properties>
</file>