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eastAsia" w:ascii="宋体" w:hAnsi="宋体" w:eastAsia="宋体"/>
          <w:b/>
          <w:bCs/>
          <w:color w:val="auto"/>
          <w:kern w:val="0"/>
          <w:sz w:val="32"/>
          <w:szCs w:val="32"/>
          <w:lang w:val="en-US" w:eastAsia="zh-CN"/>
        </w:rPr>
      </w:pPr>
      <w:bookmarkStart w:id="0" w:name="_GoBack"/>
      <w:r>
        <w:rPr>
          <w:rFonts w:hint="eastAsia" w:ascii="宋体" w:hAnsi="宋体"/>
          <w:b/>
          <w:bCs/>
          <w:color w:val="auto"/>
          <w:kern w:val="0"/>
          <w:sz w:val="32"/>
          <w:szCs w:val="32"/>
        </w:rPr>
        <w:t>路桥建设与养护虚拟仿真软采购项目</w:t>
      </w:r>
      <w:r>
        <w:rPr>
          <w:rFonts w:hint="eastAsia" w:ascii="宋体" w:hAnsi="宋体"/>
          <w:b/>
          <w:bCs/>
          <w:color w:val="auto"/>
          <w:kern w:val="0"/>
          <w:sz w:val="32"/>
          <w:szCs w:val="32"/>
          <w:lang w:val="en-US" w:eastAsia="zh-CN"/>
        </w:rPr>
        <w:t>采购</w:t>
      </w:r>
      <w:r>
        <w:rPr>
          <w:rFonts w:hint="eastAsia" w:ascii="宋体" w:hAnsi="宋体"/>
          <w:b/>
          <w:bCs/>
          <w:color w:val="auto"/>
          <w:kern w:val="0"/>
          <w:sz w:val="32"/>
          <w:szCs w:val="32"/>
        </w:rPr>
        <w:t>清单</w:t>
      </w:r>
    </w:p>
    <w:tbl>
      <w:tblPr>
        <w:tblStyle w:val="9"/>
        <w:tblpPr w:leftFromText="180" w:rightFromText="180" w:vertAnchor="text" w:horzAnchor="page" w:tblpX="1082" w:tblpY="648"/>
        <w:tblOverlap w:val="never"/>
        <w:tblW w:w="4982" w:type="pct"/>
        <w:tblInd w:w="0" w:type="dxa"/>
        <w:tblLayout w:type="fixed"/>
        <w:tblCellMar>
          <w:top w:w="0" w:type="dxa"/>
          <w:left w:w="108" w:type="dxa"/>
          <w:bottom w:w="0" w:type="dxa"/>
          <w:right w:w="108" w:type="dxa"/>
        </w:tblCellMar>
      </w:tblPr>
      <w:tblGrid>
        <w:gridCol w:w="492"/>
        <w:gridCol w:w="637"/>
        <w:gridCol w:w="1001"/>
        <w:gridCol w:w="10164"/>
        <w:gridCol w:w="597"/>
        <w:gridCol w:w="444"/>
        <w:gridCol w:w="782"/>
        <w:gridCol w:w="723"/>
      </w:tblGrid>
      <w:tr w14:paraId="6EB2E676">
        <w:tblPrEx>
          <w:tblCellMar>
            <w:top w:w="0" w:type="dxa"/>
            <w:left w:w="108" w:type="dxa"/>
            <w:bottom w:w="0" w:type="dxa"/>
            <w:right w:w="108" w:type="dxa"/>
          </w:tblCellMar>
        </w:tblPrEx>
        <w:trPr>
          <w:trHeight w:val="28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77F4">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项号</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9E4C">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FF7">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参考品牌</w:t>
            </w:r>
            <w:r>
              <w:rPr>
                <w:rFonts w:hint="eastAsia" w:ascii="宋体" w:hAnsi="宋体"/>
                <w:b/>
                <w:bCs/>
                <w:color w:val="auto"/>
                <w:kern w:val="0"/>
                <w:szCs w:val="21"/>
                <w:highlight w:val="none"/>
                <w:lang w:val="en-US" w:eastAsia="zh-CN" w:bidi="ar"/>
              </w:rPr>
              <w:t>及型号</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471">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DF23">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数量</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A69">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单位</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D91">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单价（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总价（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r>
      <w:tr w14:paraId="210FA137">
        <w:tblPrEx>
          <w:tblCellMar>
            <w:top w:w="0" w:type="dxa"/>
            <w:left w:w="108" w:type="dxa"/>
            <w:bottom w:w="0" w:type="dxa"/>
            <w:right w:w="108" w:type="dxa"/>
          </w:tblCellMar>
        </w:tblPrEx>
        <w:trPr>
          <w:trHeight w:val="6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3BBD">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997C">
            <w:pPr>
              <w:widowControl/>
              <w:jc w:val="center"/>
              <w:textAlignment w:val="center"/>
              <w:rPr>
                <w:rFonts w:hint="default" w:ascii="宋体" w:hAnsi="宋体"/>
                <w:color w:val="auto"/>
                <w:sz w:val="22"/>
                <w:highlight w:val="none"/>
                <w:lang w:val="en-US"/>
              </w:rPr>
            </w:pPr>
            <w:r>
              <w:rPr>
                <w:rFonts w:hint="eastAsia" w:ascii="宋体" w:hAnsi="宋体" w:eastAsia="宋体" w:cs="宋体"/>
                <w:color w:val="auto"/>
                <w:kern w:val="2"/>
                <w:sz w:val="24"/>
                <w:szCs w:val="24"/>
                <w:lang w:val="en-US" w:eastAsia="zh-CN" w:bidi="ar"/>
                <w14:ligatures w14:val="standardContextual"/>
              </w:rPr>
              <w:t>路桥建设与养护虚拟仿真软</w:t>
            </w:r>
            <w:r>
              <w:rPr>
                <w:rFonts w:hint="eastAsia" w:ascii="宋体" w:hAnsi="宋体" w:cs="宋体"/>
                <w:color w:val="auto"/>
                <w:kern w:val="2"/>
                <w:sz w:val="24"/>
                <w:szCs w:val="24"/>
                <w:lang w:val="en-US" w:eastAsia="zh-CN" w:bidi="ar"/>
                <w14:ligatures w14:val="standardContextual"/>
              </w:rPr>
              <w:t>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E225B">
            <w:pPr>
              <w:widowControl/>
              <w:jc w:val="center"/>
              <w:textAlignment w:val="center"/>
              <w:rPr>
                <w:rFonts w:hint="eastAsia" w:ascii="宋体" w:hAnsi="宋体"/>
                <w:color w:val="auto"/>
                <w:sz w:val="22"/>
                <w:highlight w:val="none"/>
              </w:rPr>
            </w:pPr>
            <w:r>
              <w:rPr>
                <w:rFonts w:hint="eastAsia" w:ascii="宋体" w:hAnsi="宋体"/>
                <w:color w:val="auto"/>
                <w:sz w:val="22"/>
                <w:highlight w:val="none"/>
              </w:rPr>
              <w:t>同豪桥梁设计BIM软件</w:t>
            </w:r>
          </w:p>
          <w:p w14:paraId="5782DB3B">
            <w:pPr>
              <w:widowControl/>
              <w:jc w:val="center"/>
              <w:textAlignment w:val="center"/>
              <w:rPr>
                <w:rFonts w:ascii="宋体" w:hAnsi="宋体"/>
                <w:color w:val="auto"/>
                <w:sz w:val="22"/>
                <w:highlight w:val="none"/>
              </w:rPr>
            </w:pPr>
            <w:r>
              <w:rPr>
                <w:rFonts w:hint="eastAsia" w:ascii="宋体" w:hAnsi="宋体"/>
                <w:color w:val="auto"/>
                <w:sz w:val="22"/>
                <w:highlight w:val="none"/>
              </w:rPr>
              <w:t>V2024</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4D62">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1、采用自主研发的GIS+BIM设计平台，技术自主可控。</w:t>
            </w:r>
          </w:p>
          <w:p w14:paraId="5543BADB">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2、支持导入GIS高程模型、影像资料、倾斜摄影资料。</w:t>
            </w:r>
          </w:p>
          <w:p w14:paraId="753FFA7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3、支持导入DWG格式的地形图文件，并支持淡显。</w:t>
            </w:r>
          </w:p>
          <w:p w14:paraId="741C18B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4、支持导入纬地、EICAD、公路BIM格式的路线数据文件。</w:t>
            </w:r>
          </w:p>
          <w:p w14:paraId="52458F7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5、支持图形化查看道路信息，如填土高度、路面高程、平曲线半径、道路净空等。</w:t>
            </w:r>
          </w:p>
          <w:p w14:paraId="0FFA059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6、支持输入环境类别、地震烈度等环境参数。</w:t>
            </w:r>
          </w:p>
          <w:p w14:paraId="39F97C0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7、支持导入或手动输入河流资料，支持添加航道净空。</w:t>
            </w:r>
          </w:p>
          <w:p w14:paraId="6C1D34A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8、支持导入理正岩土及钻孔资料，并支持导入DWG格式的地质纵断资料。</w:t>
            </w:r>
          </w:p>
          <w:p w14:paraId="0102ED4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9、支持导入常见格式的外部三维模型。</w:t>
            </w:r>
          </w:p>
          <w:p w14:paraId="3469DE3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10、支持梁桥、拱桥、斜拉桥、悬索桥、组合体系桥等各种类型桥梁型式。</w:t>
            </w:r>
          </w:p>
          <w:p w14:paraId="0A9C6D9B">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11、上部结构模型支持小箱梁、T梁、矮T梁、空心板、悬浇箱梁、现浇箱梁、钢箱梁、钢混组合梁等。</w:t>
            </w:r>
          </w:p>
          <w:p w14:paraId="5D55A3C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12、桥墩支持柱式墩、实心墩、空心墩、花瓶墩等；桥台支持桩柱台、肋板台、板凳台、重力台、薄壁台、座板台等。</w:t>
            </w:r>
          </w:p>
          <w:p w14:paraId="7E9E728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13、附属结构支持铺装、护栏、伸缩缝、锥坡、人行道、防落网、声屏障、分隔带等。</w:t>
            </w:r>
          </w:p>
          <w:p w14:paraId="3B92A124">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14、支持在三维场景中采用图形化交互的方式进行方案设计。</w:t>
            </w:r>
          </w:p>
          <w:p w14:paraId="4BFB37B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15、支持根据填高自动布孔、跨径比例布孔、相对参考线布孔等多种布孔方式，可快速完成桥梁布孔设计。</w:t>
            </w:r>
          </w:p>
          <w:p w14:paraId="3793AD4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16、支持采用尺寸驱动的方式进行结构的构造设计。</w:t>
            </w:r>
          </w:p>
          <w:p w14:paraId="2713E7AE">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17、支持图形化梁板布置，可自由设计梁板平面布置。</w:t>
            </w:r>
          </w:p>
          <w:p w14:paraId="4139402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18、支持图形化修改现浇梁平面布置，能实现横梁拖动加长。</w:t>
            </w:r>
          </w:p>
          <w:p w14:paraId="35F7534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19、支持自由修改桥塔、拱肋等特殊构件的造型。</w:t>
            </w:r>
          </w:p>
          <w:p w14:paraId="6E0DBF3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20、支持快速布置斜拉索、吊杆、腹杆等特殊结构。</w:t>
            </w:r>
          </w:p>
          <w:p w14:paraId="6E189F8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21、支持三维桥型图，可在三维场景中标注出桥梁的总体尺寸和构件主要尺寸。</w:t>
            </w:r>
          </w:p>
          <w:p w14:paraId="7D8CAE0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22、支持即时建模，桥梁设计的过程就是建模的过程。</w:t>
            </w:r>
          </w:p>
          <w:p w14:paraId="548CFBA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23、支持上、下部结构联动设计。</w:t>
            </w:r>
          </w:p>
          <w:p w14:paraId="49A97801">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24、支持智能经验库，将构件的设计经验、设计方法和结构参数融合，可根据跨径、墩高、桥宽等设计条件自动设计结构尺寸，库文件可积累重复利用。</w:t>
            </w:r>
          </w:p>
          <w:p w14:paraId="65F19609">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25、支持桥梁智能设计，可根据设计条件智能进行桥位设计、分孔分联以及结构选型等，快速得到桥梁方案。</w:t>
            </w:r>
          </w:p>
          <w:p w14:paraId="0A46BF8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26、支持数百座桥梁同时建模。</w:t>
            </w:r>
          </w:p>
          <w:p w14:paraId="775C947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27、支持路线长度上百公里。</w:t>
            </w:r>
          </w:p>
          <w:p w14:paraId="23B549E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28、支持查询任意两点距离、平面净距、竖向距离等。</w:t>
            </w:r>
          </w:p>
          <w:p w14:paraId="41021F6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29、支持批量查看桥梁设计结果，如预制梁片数、柱径、柱高、桩长等。</w:t>
            </w:r>
          </w:p>
          <w:p w14:paraId="7060A8E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30、支持输出下部结构混凝土数量。</w:t>
            </w:r>
          </w:p>
          <w:p w14:paraId="4444E8B6">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31、预制结构及相应的下部支持总图、构造图、钢束图、钢筋图。</w:t>
            </w:r>
          </w:p>
          <w:p w14:paraId="772883E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32、悬浇箱梁和现浇箱梁支持总图和构造图，并可生成方案设计师文件。</w:t>
            </w:r>
          </w:p>
          <w:p w14:paraId="20B9037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33、拱桥、斜拉桥、悬索桥支持简易总图。</w:t>
            </w:r>
          </w:p>
          <w:p w14:paraId="3D717D0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34、支持一键出图，快速成册。</w:t>
            </w:r>
          </w:p>
          <w:p w14:paraId="3497E73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35、支持自定义制图标准和出图风格。</w:t>
            </w:r>
          </w:p>
          <w:p w14:paraId="2F48B133">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36、支持桥梁模型导出为IFC、DGN、FBX、3DS、OSG等常用格式。</w:t>
            </w:r>
          </w:p>
          <w:p w14:paraId="36FA83B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37、支持模型分级导出，可根据显示要求导出不同精度的模型。</w:t>
            </w:r>
          </w:p>
          <w:p w14:paraId="689C29D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38、支持导出构件组织结构，构件可划分到部位及施工段级别。</w:t>
            </w:r>
          </w:p>
          <w:p w14:paraId="6EBEDAF7">
            <w:pPr>
              <w:widowControl/>
              <w:jc w:val="left"/>
              <w:textAlignment w:val="center"/>
              <w:rPr>
                <w:rFonts w:hint="eastAsia" w:ascii="宋体" w:hAnsi="宋体"/>
                <w:color w:val="auto"/>
                <w:sz w:val="22"/>
                <w:highlight w:val="none"/>
              </w:rPr>
            </w:pPr>
            <w:r>
              <w:rPr>
                <w:rFonts w:hint="eastAsia" w:ascii="微软雅黑" w:hAnsi="微软雅黑" w:eastAsia="微软雅黑" w:cs="微软雅黑"/>
                <w:color w:val="auto"/>
                <w:sz w:val="22"/>
                <w:highlight w:val="none"/>
              </w:rPr>
              <w:t>★</w:t>
            </w:r>
            <w:r>
              <w:rPr>
                <w:rFonts w:hint="eastAsia" w:ascii="宋体" w:hAnsi="宋体"/>
                <w:color w:val="auto"/>
                <w:sz w:val="22"/>
                <w:highlight w:val="none"/>
              </w:rPr>
              <w:t>39、支持自定义编码规则，按要求导出模型编码。</w:t>
            </w:r>
          </w:p>
          <w:p w14:paraId="6DD0E230">
            <w:pPr>
              <w:widowControl/>
              <w:jc w:val="left"/>
              <w:textAlignment w:val="center"/>
              <w:rPr>
                <w:rFonts w:ascii="宋体" w:hAnsi="宋体"/>
                <w:color w:val="auto"/>
                <w:sz w:val="22"/>
                <w:highlight w:val="none"/>
              </w:rPr>
            </w:pPr>
            <w:r>
              <w:rPr>
                <w:rFonts w:hint="eastAsia" w:ascii="宋体" w:hAnsi="宋体"/>
                <w:color w:val="auto"/>
                <w:sz w:val="22"/>
                <w:highlight w:val="none"/>
              </w:rPr>
              <w:t>40、支持导出模型附带桥梁信息，使导出的模型更有价值。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31BE">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60</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4881">
            <w:pPr>
              <w:widowControl/>
              <w:jc w:val="center"/>
              <w:textAlignment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节点</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7617">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0.58</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3FD7">
            <w:pPr>
              <w:widowControl/>
              <w:jc w:val="center"/>
              <w:textAlignment w:val="center"/>
              <w:rPr>
                <w:rFonts w:hint="default" w:ascii="宋体" w:hAnsi="宋体"/>
                <w:color w:val="auto"/>
                <w:sz w:val="22"/>
                <w:highlight w:val="none"/>
                <w:lang w:val="en-US"/>
              </w:rPr>
            </w:pPr>
            <w:r>
              <w:rPr>
                <w:rFonts w:hint="eastAsia" w:ascii="宋体" w:hAnsi="宋体"/>
                <w:color w:val="auto"/>
                <w:kern w:val="0"/>
                <w:sz w:val="22"/>
                <w:highlight w:val="none"/>
                <w:lang w:val="en-US" w:eastAsia="zh-CN" w:bidi="ar"/>
              </w:rPr>
              <w:t>34.8</w:t>
            </w:r>
          </w:p>
        </w:tc>
      </w:tr>
      <w:tr w14:paraId="785DC736">
        <w:tblPrEx>
          <w:tblCellMar>
            <w:top w:w="0" w:type="dxa"/>
            <w:left w:w="108" w:type="dxa"/>
            <w:bottom w:w="0" w:type="dxa"/>
            <w:right w:w="108" w:type="dxa"/>
          </w:tblCellMar>
        </w:tblPrEx>
        <w:trPr>
          <w:trHeight w:val="600" w:hRule="atLeast"/>
        </w:trPr>
        <w:tc>
          <w:tcPr>
            <w:tcW w:w="4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23D23">
            <w:pPr>
              <w:widowControl/>
              <w:jc w:val="center"/>
              <w:textAlignment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合计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4216">
            <w:pPr>
              <w:widowControl/>
              <w:jc w:val="center"/>
              <w:textAlignment w:val="center"/>
              <w:rPr>
                <w:rFonts w:hint="eastAsia" w:ascii="宋体" w:hAnsi="宋体"/>
                <w:color w:val="auto"/>
                <w:kern w:val="0"/>
                <w:sz w:val="22"/>
                <w:highlight w:val="none"/>
                <w:lang w:bidi="ar"/>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2077">
            <w:pPr>
              <w:widowControl/>
              <w:jc w:val="center"/>
              <w:textAlignment w:val="center"/>
              <w:rPr>
                <w:rFonts w:hint="eastAsia" w:ascii="宋体" w:hAnsi="宋体"/>
                <w:color w:val="auto"/>
                <w:kern w:val="0"/>
                <w:sz w:val="22"/>
                <w:highlight w:val="none"/>
                <w:lang w:bidi="ar"/>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E1AB">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0.58</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AB7C">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34.8</w:t>
            </w:r>
          </w:p>
        </w:tc>
      </w:tr>
    </w:tbl>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954"/>
        <w:gridCol w:w="12276"/>
      </w:tblGrid>
      <w:tr w14:paraId="5580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tcBorders>
              <w:tl2br w:val="nil"/>
              <w:tr2bl w:val="nil"/>
            </w:tcBorders>
            <w:vAlign w:val="center"/>
          </w:tcPr>
          <w:p w14:paraId="1028EEF7">
            <w:pPr>
              <w:pStyle w:val="4"/>
              <w:keepNext w:val="0"/>
              <w:keepLines w:val="0"/>
              <w:pageBreakBefore/>
              <w:widowControl w:val="0"/>
              <w:kinsoku/>
              <w:wordWrap/>
              <w:overflowPunct/>
              <w:topLinePunct w:val="0"/>
              <w:autoSpaceDE/>
              <w:autoSpaceDN/>
              <w:bidi w:val="0"/>
              <w:adjustRightInd/>
              <w:snapToGrid/>
              <w:spacing w:after="0" w:line="360" w:lineRule="exact"/>
              <w:textAlignment w:val="auto"/>
              <w:rPr>
                <w:rFonts w:ascii="宋体" w:hAnsi="宋体" w:eastAsia="宋体" w:cs="宋体"/>
                <w:bCs/>
                <w:color w:val="auto"/>
                <w:sz w:val="21"/>
                <w:szCs w:val="21"/>
                <w:highlight w:val="none"/>
              </w:rPr>
            </w:pPr>
            <w:r>
              <w:rPr>
                <w:rFonts w:hint="eastAsia" w:ascii="宋体" w:hAnsi="宋体" w:eastAsia="宋体"/>
                <w:bCs/>
                <w:snapToGrid w:val="0"/>
                <w:color w:val="auto"/>
                <w:kern w:val="0"/>
                <w:szCs w:val="21"/>
                <w:highlight w:val="none"/>
                <w:lang w:eastAsia="zh-CN"/>
              </w:rPr>
              <w:t>★</w:t>
            </w:r>
            <w:r>
              <w:rPr>
                <w:rFonts w:hint="eastAsia" w:ascii="宋体" w:hAnsi="宋体" w:eastAsia="宋体" w:cs="宋体"/>
                <w:b/>
                <w:color w:val="auto"/>
                <w:kern w:val="0"/>
                <w:sz w:val="21"/>
                <w:szCs w:val="21"/>
                <w:highlight w:val="none"/>
              </w:rPr>
              <w:t>二、商务服务要求</w:t>
            </w:r>
          </w:p>
        </w:tc>
      </w:tr>
      <w:tr w14:paraId="72FD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306576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656" w:type="pct"/>
            <w:tcBorders>
              <w:tl2br w:val="nil"/>
              <w:tr2bl w:val="nil"/>
            </w:tcBorders>
            <w:vAlign w:val="center"/>
          </w:tcPr>
          <w:p w14:paraId="7A397138">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合同签订期</w:t>
            </w:r>
          </w:p>
        </w:tc>
        <w:tc>
          <w:tcPr>
            <w:tcW w:w="4119" w:type="pct"/>
            <w:tcBorders>
              <w:tl2br w:val="nil"/>
              <w:tr2bl w:val="nil"/>
            </w:tcBorders>
            <w:vAlign w:val="center"/>
          </w:tcPr>
          <w:p w14:paraId="420F69D5">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olor w:val="auto"/>
                <w:highlight w:val="none"/>
              </w:rPr>
              <w:t>自成交公告发出之日起</w:t>
            </w:r>
            <w:r>
              <w:rPr>
                <w:rFonts w:ascii="宋体" w:hAnsi="宋体"/>
                <w:color w:val="auto"/>
                <w:highlight w:val="none"/>
                <w:u w:val="single"/>
              </w:rPr>
              <w:t xml:space="preserve"> </w:t>
            </w:r>
            <w:r>
              <w:rPr>
                <w:rFonts w:hint="eastAsia" w:ascii="宋体" w:hAnsi="宋体"/>
                <w:color w:val="auto"/>
                <w:highlight w:val="none"/>
                <w:u w:val="single"/>
                <w:lang w:val="en-US" w:eastAsia="zh-CN"/>
              </w:rPr>
              <w:t>7</w:t>
            </w:r>
            <w:r>
              <w:rPr>
                <w:rFonts w:ascii="宋体" w:hAnsi="宋体"/>
                <w:color w:val="auto"/>
                <w:highlight w:val="none"/>
                <w:u w:val="single"/>
              </w:rPr>
              <w:t xml:space="preserve"> </w:t>
            </w:r>
            <w:r>
              <w:rPr>
                <w:rFonts w:hint="eastAsia" w:ascii="宋体" w:hAnsi="宋体"/>
                <w:color w:val="auto"/>
                <w:highlight w:val="none"/>
              </w:rPr>
              <w:t>个日历日内。</w:t>
            </w:r>
          </w:p>
        </w:tc>
      </w:tr>
      <w:tr w14:paraId="0303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C6531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656" w:type="pct"/>
            <w:tcBorders>
              <w:tl2br w:val="nil"/>
              <w:tr2bl w:val="nil"/>
            </w:tcBorders>
            <w:vAlign w:val="center"/>
          </w:tcPr>
          <w:p w14:paraId="434CE8EB">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交货时间及地点</w:t>
            </w:r>
          </w:p>
        </w:tc>
        <w:tc>
          <w:tcPr>
            <w:tcW w:w="4119" w:type="pct"/>
            <w:tcBorders>
              <w:tl2br w:val="nil"/>
              <w:tr2bl w:val="nil"/>
            </w:tcBorders>
            <w:vAlign w:val="center"/>
          </w:tcPr>
          <w:p w14:paraId="00118C0A">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ascii="宋体" w:hAnsi="宋体"/>
                <w:color w:val="auto"/>
                <w:highlight w:val="none"/>
              </w:rPr>
              <w:t>1.</w:t>
            </w:r>
            <w:r>
              <w:rPr>
                <w:rFonts w:hint="eastAsia" w:ascii="宋体"/>
                <w:color w:val="auto"/>
                <w:szCs w:val="21"/>
                <w:highlight w:val="none"/>
              </w:rPr>
              <w:t xml:space="preserve"> 交货期：合同签订之</w:t>
            </w:r>
            <w:r>
              <w:rPr>
                <w:rFonts w:hint="eastAsia" w:ascii="宋体" w:hAnsi="宋体" w:eastAsia="宋体" w:cs="宋体"/>
                <w:b w:val="0"/>
                <w:bCs w:val="0"/>
                <w:color w:val="auto"/>
                <w:szCs w:val="21"/>
                <w:highlight w:val="none"/>
              </w:rPr>
              <w:t>日起</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个工作日</w:t>
            </w:r>
            <w:r>
              <w:rPr>
                <w:rFonts w:hint="eastAsia" w:ascii="宋体" w:hAnsi="宋体" w:eastAsia="宋体" w:cs="宋体"/>
                <w:b w:val="0"/>
                <w:bCs w:val="0"/>
                <w:color w:val="auto"/>
                <w:szCs w:val="21"/>
                <w:highlight w:val="none"/>
              </w:rPr>
              <w:t>内交货并安装调试</w:t>
            </w:r>
            <w:r>
              <w:rPr>
                <w:rFonts w:hint="eastAsia" w:ascii="宋体"/>
                <w:color w:val="auto"/>
                <w:szCs w:val="21"/>
                <w:highlight w:val="none"/>
              </w:rPr>
              <w:t>完毕。</w:t>
            </w:r>
          </w:p>
          <w:p w14:paraId="435113EB">
            <w:pPr>
              <w:keepNext w:val="0"/>
              <w:keepLines w:val="0"/>
              <w:pageBreakBefore w:val="0"/>
              <w:kinsoku/>
              <w:wordWrap/>
              <w:overflowPunct/>
              <w:topLinePunct w:val="0"/>
              <w:autoSpaceDE/>
              <w:autoSpaceDN/>
              <w:bidi w:val="0"/>
              <w:adjustRightInd/>
              <w:snapToGrid/>
              <w:spacing w:line="360" w:lineRule="exact"/>
              <w:rPr>
                <w:color w:val="auto"/>
              </w:rPr>
            </w:pPr>
            <w:r>
              <w:rPr>
                <w:rFonts w:ascii="宋体" w:hAnsi="宋体"/>
                <w:color w:val="auto"/>
                <w:highlight w:val="none"/>
              </w:rPr>
              <w:t xml:space="preserve">2. </w:t>
            </w:r>
            <w:r>
              <w:rPr>
                <w:rFonts w:hint="eastAsia" w:ascii="宋体" w:hAnsi="宋体"/>
                <w:color w:val="auto"/>
                <w:highlight w:val="none"/>
              </w:rPr>
              <w:t>交货地点：广西</w:t>
            </w:r>
            <w:r>
              <w:rPr>
                <w:rFonts w:ascii="宋体" w:hAnsi="宋体"/>
                <w:color w:val="auto"/>
                <w:highlight w:val="none"/>
                <w:u w:val="single"/>
              </w:rPr>
              <w:t xml:space="preserve"> </w:t>
            </w:r>
            <w:r>
              <w:rPr>
                <w:rFonts w:hint="eastAsia" w:ascii="宋体" w:hAnsi="宋体"/>
                <w:color w:val="auto"/>
                <w:highlight w:val="none"/>
                <w:u w:val="single"/>
              </w:rPr>
              <w:t>南宁市</w:t>
            </w:r>
            <w:r>
              <w:rPr>
                <w:rFonts w:ascii="宋体" w:hAnsi="宋体"/>
                <w:color w:val="auto"/>
                <w:highlight w:val="none"/>
                <w:u w:val="single"/>
              </w:rPr>
              <w:t xml:space="preserve"> </w:t>
            </w:r>
            <w:r>
              <w:rPr>
                <w:rFonts w:hint="eastAsia" w:ascii="宋体" w:hAnsi="宋体"/>
                <w:color w:val="auto"/>
                <w:highlight w:val="none"/>
              </w:rPr>
              <w:t>采购人指定地</w:t>
            </w:r>
            <w:r>
              <w:rPr>
                <w:rFonts w:hint="eastAsia" w:ascii="宋体" w:hAnsi="宋体"/>
                <w:color w:val="auto"/>
                <w:highlight w:val="none"/>
                <w:lang w:eastAsia="zh-CN"/>
              </w:rPr>
              <w:t>点</w:t>
            </w:r>
            <w:r>
              <w:rPr>
                <w:rFonts w:hint="eastAsia" w:ascii="宋体" w:hAnsi="宋体"/>
                <w:color w:val="auto"/>
                <w:highlight w:val="none"/>
              </w:rPr>
              <w:t>。</w:t>
            </w:r>
          </w:p>
        </w:tc>
      </w:tr>
      <w:tr w14:paraId="485E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04863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656" w:type="pct"/>
            <w:tcBorders>
              <w:tl2br w:val="nil"/>
              <w:tr2bl w:val="nil"/>
            </w:tcBorders>
            <w:vAlign w:val="center"/>
          </w:tcPr>
          <w:p w14:paraId="63370C58">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质保期</w:t>
            </w:r>
          </w:p>
        </w:tc>
        <w:tc>
          <w:tcPr>
            <w:tcW w:w="4119" w:type="pct"/>
            <w:tcBorders>
              <w:tl2br w:val="nil"/>
              <w:tr2bl w:val="nil"/>
            </w:tcBorders>
            <w:shd w:val="clear" w:color="auto" w:fill="auto"/>
            <w:vAlign w:val="center"/>
          </w:tcPr>
          <w:p w14:paraId="450E78A7">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软件</w:t>
            </w:r>
            <w:r>
              <w:rPr>
                <w:rFonts w:hint="eastAsia" w:asciiTheme="minorEastAsia" w:hAnsiTheme="minorEastAsia" w:eastAsiaTheme="minorEastAsia" w:cstheme="minorEastAsia"/>
                <w:color w:val="auto"/>
                <w:sz w:val="21"/>
                <w:szCs w:val="21"/>
                <w:highlight w:val="none"/>
                <w:lang w:val="en-US" w:eastAsia="zh-CN"/>
              </w:rPr>
              <w:t>及资源</w:t>
            </w:r>
            <w:r>
              <w:rPr>
                <w:rFonts w:hint="eastAsia" w:asciiTheme="minorEastAsia" w:hAnsiTheme="minorEastAsia" w:eastAsiaTheme="minorEastAsia" w:cstheme="minorEastAsia"/>
                <w:color w:val="auto"/>
                <w:sz w:val="21"/>
                <w:szCs w:val="21"/>
                <w:highlight w:val="none"/>
                <w:lang w:eastAsia="zh-CN"/>
              </w:rPr>
              <w:t>供应商应提供永久使用授权，</w:t>
            </w:r>
            <w:r>
              <w:rPr>
                <w:rFonts w:hint="eastAsia" w:asciiTheme="minorEastAsia" w:hAnsiTheme="minorEastAsia" w:eastAsiaTheme="minorEastAsia" w:cstheme="minorEastAsia"/>
                <w:color w:val="auto"/>
                <w:sz w:val="21"/>
                <w:szCs w:val="21"/>
                <w:highlight w:val="none"/>
                <w:lang w:val="en-US" w:eastAsia="zh-CN"/>
              </w:rPr>
              <w:t>并提供</w:t>
            </w:r>
            <w:r>
              <w:rPr>
                <w:rFonts w:hint="eastAsia" w:asciiTheme="minorEastAsia" w:hAnsiTheme="minorEastAsia" w:eastAsiaTheme="minorEastAsia" w:cstheme="minorEastAsia"/>
                <w:color w:val="auto"/>
                <w:sz w:val="21"/>
                <w:szCs w:val="21"/>
                <w:highlight w:val="none"/>
              </w:rPr>
              <w:t>不少于</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的免费</w:t>
            </w:r>
            <w:r>
              <w:rPr>
                <w:rFonts w:hint="eastAsia" w:asciiTheme="minorEastAsia" w:hAnsiTheme="minorEastAsia" w:eastAsiaTheme="minorEastAsia" w:cstheme="minorEastAsia"/>
                <w:color w:val="auto"/>
                <w:sz w:val="21"/>
                <w:szCs w:val="21"/>
                <w:highlight w:val="none"/>
              </w:rPr>
              <w:t>质保</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自</w:t>
            </w:r>
            <w:r>
              <w:rPr>
                <w:rFonts w:hint="eastAsia" w:asciiTheme="minorEastAsia" w:hAnsiTheme="minorEastAsia" w:eastAsiaTheme="minorEastAsia" w:cstheme="minorEastAsia"/>
                <w:color w:val="auto"/>
                <w:sz w:val="21"/>
                <w:szCs w:val="21"/>
                <w:highlight w:val="none"/>
              </w:rPr>
              <w:t>验收合格之日起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如</w:t>
            </w:r>
            <w:r>
              <w:rPr>
                <w:rFonts w:hint="eastAsia" w:asciiTheme="minorEastAsia" w:hAnsiTheme="minorEastAsia" w:eastAsiaTheme="minorEastAsia" w:cstheme="minorEastAsia"/>
                <w:color w:val="auto"/>
                <w:sz w:val="21"/>
                <w:szCs w:val="21"/>
                <w:highlight w:val="none"/>
              </w:rPr>
              <w:t>技术参数中有特别指明质保期的按</w:t>
            </w:r>
            <w:r>
              <w:rPr>
                <w:rFonts w:hint="eastAsia" w:asciiTheme="minorEastAsia" w:hAnsiTheme="minorEastAsia" w:eastAsiaTheme="minorEastAsia" w:cstheme="minorEastAsia"/>
                <w:color w:val="auto"/>
                <w:sz w:val="21"/>
                <w:szCs w:val="21"/>
                <w:highlight w:val="none"/>
                <w:lang w:val="en-US" w:eastAsia="zh-CN"/>
              </w:rPr>
              <w:t>技术</w:t>
            </w:r>
            <w:r>
              <w:rPr>
                <w:rFonts w:hint="eastAsia" w:asciiTheme="minorEastAsia" w:hAnsiTheme="minorEastAsia" w:eastAsiaTheme="minorEastAsia" w:cstheme="minorEastAsia"/>
                <w:color w:val="auto"/>
                <w:sz w:val="21"/>
                <w:szCs w:val="21"/>
                <w:highlight w:val="none"/>
              </w:rPr>
              <w:t>参数要求）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shd w:val="clear"/>
                <w:lang w:eastAsia="zh-CN"/>
              </w:rPr>
              <w:t>质保期内</w:t>
            </w:r>
            <w:r>
              <w:rPr>
                <w:rFonts w:hint="eastAsia" w:asciiTheme="minorEastAsia" w:hAnsiTheme="minorEastAsia" w:eastAsiaTheme="minorEastAsia" w:cstheme="minorEastAsia"/>
                <w:color w:val="auto"/>
                <w:sz w:val="21"/>
                <w:szCs w:val="21"/>
                <w:highlight w:val="none"/>
                <w:shd w:val="clear"/>
                <w:lang w:val="en-US" w:eastAsia="zh-CN"/>
              </w:rPr>
              <w:t>同版本同模块免费升级</w:t>
            </w:r>
            <w:r>
              <w:rPr>
                <w:rFonts w:hint="eastAsia" w:asciiTheme="minorEastAsia" w:hAnsiTheme="minorEastAsia" w:cstheme="minorEastAsia"/>
                <w:color w:val="auto"/>
                <w:sz w:val="21"/>
                <w:szCs w:val="21"/>
                <w:highlight w:val="none"/>
                <w:shd w:val="clear"/>
                <w:lang w:val="en-US" w:eastAsia="zh-CN"/>
              </w:rPr>
              <w:t>、免费</w:t>
            </w:r>
            <w:r>
              <w:rPr>
                <w:rFonts w:hint="eastAsia" w:asciiTheme="minorEastAsia" w:hAnsiTheme="minorEastAsia" w:eastAsiaTheme="minorEastAsia" w:cstheme="minorEastAsia"/>
                <w:color w:val="auto"/>
                <w:sz w:val="21"/>
                <w:szCs w:val="21"/>
                <w:highlight w:val="none"/>
                <w:shd w:val="clear"/>
                <w:lang w:val="en-US" w:eastAsia="zh-CN"/>
              </w:rPr>
              <w:t>维护软件；质</w:t>
            </w:r>
            <w:r>
              <w:rPr>
                <w:rFonts w:hint="eastAsia" w:asciiTheme="minorEastAsia" w:hAnsiTheme="minorEastAsia" w:eastAsiaTheme="minorEastAsia" w:cstheme="minorEastAsia"/>
                <w:color w:val="auto"/>
                <w:sz w:val="21"/>
                <w:szCs w:val="21"/>
                <w:highlight w:val="none"/>
                <w:lang w:val="en-US" w:eastAsia="zh-CN"/>
              </w:rPr>
              <w:t>保期满提供终身技术支持服务。</w:t>
            </w:r>
          </w:p>
        </w:tc>
      </w:tr>
      <w:tr w14:paraId="101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097691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656" w:type="pct"/>
            <w:tcBorders>
              <w:tl2br w:val="nil"/>
              <w:tr2bl w:val="nil"/>
            </w:tcBorders>
            <w:vAlign w:val="center"/>
          </w:tcPr>
          <w:p w14:paraId="0AAF69E2">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产品质量保证及售后服务要求</w:t>
            </w:r>
          </w:p>
        </w:tc>
        <w:tc>
          <w:tcPr>
            <w:tcW w:w="4119" w:type="pct"/>
            <w:tcBorders>
              <w:tl2br w:val="nil"/>
              <w:tr2bl w:val="nil"/>
            </w:tcBorders>
            <w:shd w:val="clear" w:color="auto" w:fill="auto"/>
            <w:vAlign w:val="center"/>
          </w:tcPr>
          <w:p w14:paraId="21814431">
            <w:pPr>
              <w:widowControl/>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color w:val="auto"/>
                <w:szCs w:val="21"/>
                <w:highlight w:val="none"/>
              </w:rPr>
              <w:t>供应商所投产品必须能实质性响应采购要求（所投产品应完全满足或优于采购参数要求），供货时能按照采购需求的要求提供厂家</w:t>
            </w:r>
            <w:r>
              <w:rPr>
                <w:rFonts w:hint="eastAsia" w:ascii="宋体" w:hAnsi="宋体"/>
                <w:color w:val="auto"/>
                <w:szCs w:val="21"/>
                <w:highlight w:val="none"/>
                <w:lang w:val="en-US" w:eastAsia="zh-CN"/>
              </w:rPr>
              <w:t>授权</w:t>
            </w:r>
            <w:r>
              <w:rPr>
                <w:rFonts w:hint="eastAsia" w:ascii="宋体" w:hAnsi="宋体"/>
                <w:color w:val="auto"/>
                <w:szCs w:val="21"/>
                <w:highlight w:val="none"/>
              </w:rPr>
              <w:t>证明和售后服务承诺书原件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加盖厂家公章和供应商公章</w:t>
            </w:r>
            <w:r>
              <w:rPr>
                <w:rFonts w:hint="eastAsia" w:ascii="宋体" w:hAnsi="宋体"/>
                <w:color w:val="auto"/>
                <w:szCs w:val="21"/>
                <w:highlight w:val="none"/>
                <w:lang w:eastAsia="zh-CN"/>
              </w:rPr>
              <w:t>）</w:t>
            </w:r>
            <w:r>
              <w:rPr>
                <w:rFonts w:hint="eastAsia" w:ascii="宋体" w:hAnsi="宋体"/>
                <w:color w:val="auto"/>
                <w:szCs w:val="21"/>
                <w:highlight w:val="none"/>
              </w:rPr>
              <w:t>，避免假冒伪劣产品。</w:t>
            </w:r>
            <w:r>
              <w:rPr>
                <w:rFonts w:hint="eastAsia" w:asciiTheme="minorEastAsia" w:hAnsiTheme="minorEastAsia" w:cstheme="minorEastAsia"/>
                <w:color w:val="auto"/>
                <w:szCs w:val="21"/>
                <w:highlight w:val="none"/>
              </w:rPr>
              <w:t>对不能满足参数要求虚假响应，或者签订合同后15个日历日内无法交付使用的，采购人可作废标处理，并依法向供应商追究违约责任。</w:t>
            </w:r>
          </w:p>
          <w:p w14:paraId="5DC4EB86">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2、本次采购货物必须是供货商免费送货上门提供安装调试及操作培训，免费送货上门，交货地点为广西区内采购人指定地点，不接受物流快递发货以及电话指导安装。</w:t>
            </w:r>
          </w:p>
          <w:p w14:paraId="08072FBE">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、按国家“三包”政策或厂家承诺提供售后服务，服务内容包括但不限于：</w:t>
            </w:r>
          </w:p>
          <w:p w14:paraId="230BFF49">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咨询：系统服务期内，向用户提供各种与产品相关的免费技术咨询服务（包括热线服务），包括热线电话，电子邮件（7×24），传真等方式。</w:t>
            </w:r>
          </w:p>
          <w:p w14:paraId="01FED562">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（2）软件升级：在服务期内，免费提供版本升级、产品换代更新。服务期满后，提供对相关软件升级提醒服务，协助制订升级计划，提供关于新版本改进性能的培训，远程或现场指导软件升级。</w:t>
            </w:r>
          </w:p>
          <w:p w14:paraId="3745C923">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（3）远程支持——采用电话指导或远程登录、电子邮件等方式提供技术支持。</w:t>
            </w:r>
          </w:p>
          <w:p w14:paraId="4AACDE40">
            <w:pPr>
              <w:widowControl/>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（4）现场技术服务——当远程支持无法解决用户问题时，指派技术人员提供现场技术服务。</w:t>
            </w:r>
          </w:p>
          <w:p w14:paraId="3D09EB85">
            <w:pPr>
              <w:widowControl/>
              <w:snapToGrid w:val="0"/>
              <w:spacing w:line="400" w:lineRule="exact"/>
              <w:ind w:firstLine="420" w:firstLineChars="200"/>
              <w:rPr>
                <w:color w:val="auto"/>
              </w:rPr>
            </w:pPr>
            <w:r>
              <w:rPr>
                <w:rFonts w:hint="eastAsia" w:ascii="宋体" w:hAnsi="宋体" w:eastAsia="宋体" w:cs="宋体"/>
                <w:color w:val="auto"/>
                <w:szCs w:val="21"/>
                <w:highlight w:val="none"/>
                <w:lang w:val="en-US" w:eastAsia="zh-CN"/>
              </w:rPr>
              <w:t>（5）故障响应时间：成交供应商收到采购人的故障维修通知2小时内到达现场进行维修维护，4小时内排除故障，特殊故障第一时间以书面形式通知采购人并制定维修方案及确定故障排除的时间。</w:t>
            </w:r>
          </w:p>
        </w:tc>
      </w:tr>
      <w:tr w14:paraId="42D2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125A8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p>
        </w:tc>
        <w:tc>
          <w:tcPr>
            <w:tcW w:w="656" w:type="pct"/>
            <w:tcBorders>
              <w:tl2br w:val="nil"/>
              <w:tr2bl w:val="nil"/>
            </w:tcBorders>
            <w:vAlign w:val="center"/>
          </w:tcPr>
          <w:p w14:paraId="4CE2A56D">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付款方式</w:t>
            </w:r>
          </w:p>
        </w:tc>
        <w:tc>
          <w:tcPr>
            <w:tcW w:w="4119" w:type="pct"/>
            <w:tcBorders>
              <w:tl2br w:val="nil"/>
              <w:tr2bl w:val="nil"/>
            </w:tcBorders>
            <w:vAlign w:val="center"/>
          </w:tcPr>
          <w:p w14:paraId="3D608315">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全部</w:t>
            </w:r>
            <w:r>
              <w:rPr>
                <w:rFonts w:hint="eastAsia" w:ascii="宋体" w:hAnsi="宋体" w:cs="宋体"/>
                <w:color w:val="auto"/>
                <w:highlight w:val="none"/>
                <w:lang w:eastAsia="zh-CN"/>
              </w:rPr>
              <w:t>货物</w:t>
            </w:r>
            <w:r>
              <w:rPr>
                <w:rFonts w:hint="eastAsia" w:ascii="宋体" w:hAnsi="宋体" w:cs="宋体"/>
                <w:color w:val="auto"/>
                <w:highlight w:val="none"/>
              </w:rPr>
              <w:t>服务</w:t>
            </w:r>
            <w:r>
              <w:rPr>
                <w:rFonts w:hint="eastAsia" w:ascii="宋体" w:hAnsi="宋体" w:cs="宋体"/>
                <w:color w:val="auto"/>
                <w:highlight w:val="none"/>
                <w:lang w:eastAsia="zh-CN"/>
              </w:rPr>
              <w:t>交付并</w:t>
            </w:r>
            <w:r>
              <w:rPr>
                <w:rFonts w:hint="eastAsia" w:ascii="宋体" w:hAnsi="宋体" w:cs="宋体"/>
                <w:color w:val="auto"/>
                <w:highlight w:val="none"/>
              </w:rPr>
              <w:t>安装、调试完毕，经采购人最终验收合格后，甲方在10个工作日内一次性支付</w:t>
            </w:r>
            <w:r>
              <w:rPr>
                <w:rFonts w:hint="eastAsia" w:ascii="宋体" w:hAnsi="宋体" w:cs="宋体"/>
                <w:color w:val="auto"/>
                <w:highlight w:val="none"/>
                <w:lang w:eastAsia="zh-CN"/>
              </w:rPr>
              <w:t>全部合同货款</w:t>
            </w:r>
            <w:r>
              <w:rPr>
                <w:rFonts w:hint="eastAsia" w:ascii="宋体" w:hAnsi="宋体" w:cs="宋体"/>
                <w:color w:val="auto"/>
                <w:highlight w:val="none"/>
              </w:rPr>
              <w:t>给乙方。</w:t>
            </w:r>
          </w:p>
        </w:tc>
      </w:tr>
      <w:tr w14:paraId="4EB3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855F4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w:t>
            </w:r>
          </w:p>
        </w:tc>
        <w:tc>
          <w:tcPr>
            <w:tcW w:w="656" w:type="pct"/>
            <w:tcBorders>
              <w:tl2br w:val="nil"/>
              <w:tr2bl w:val="nil"/>
            </w:tcBorders>
            <w:vAlign w:val="center"/>
          </w:tcPr>
          <w:p w14:paraId="7698E87C">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实施和安装要求</w:t>
            </w:r>
          </w:p>
        </w:tc>
        <w:tc>
          <w:tcPr>
            <w:tcW w:w="4119" w:type="pct"/>
            <w:tcBorders>
              <w:tl2br w:val="nil"/>
              <w:tr2bl w:val="nil"/>
            </w:tcBorders>
            <w:vAlign w:val="center"/>
          </w:tcPr>
          <w:p w14:paraId="4DF42085">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1.合同生效后【</w:t>
            </w:r>
            <w:r>
              <w:rPr>
                <w:rFonts w:hint="eastAsia" w:ascii="宋体" w:hAnsi="宋体"/>
                <w:color w:val="auto"/>
                <w:highlight w:val="none"/>
                <w:lang w:val="en-US" w:eastAsia="zh-CN"/>
              </w:rPr>
              <w:t>10</w:t>
            </w:r>
            <w:r>
              <w:rPr>
                <w:rFonts w:hint="eastAsia" w:ascii="宋体" w:hAnsi="宋体"/>
                <w:color w:val="auto"/>
                <w:highlight w:val="none"/>
              </w:rPr>
              <w:t>】个工作日内，供应商应将产品交付至采购人指定地点，开通授权登录账号，提供现场安装调试服务、操作培训、技术指导等，并提交产品相关操作指南和使用说明书（如有）。</w:t>
            </w:r>
          </w:p>
          <w:p w14:paraId="2DCE1E5A">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2.根据采购要求提供项目安装调试服务，确保所提供的货物或服务满足采购人使用要求，质量合格；</w:t>
            </w:r>
          </w:p>
          <w:p w14:paraId="72FED688">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3．供应商必须服从甲方现场负责人的指挥，按指定地点进行安装调试，安装过程中的所有安全保障由供应商自行负责；</w:t>
            </w:r>
          </w:p>
          <w:p w14:paraId="0BB65372">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Cs/>
                <w:color w:val="auto"/>
                <w:szCs w:val="21"/>
                <w:highlight w:val="none"/>
              </w:rPr>
            </w:pPr>
            <w:r>
              <w:rPr>
                <w:rFonts w:hint="eastAsia" w:ascii="宋体" w:hAnsi="宋体"/>
                <w:color w:val="auto"/>
                <w:highlight w:val="none"/>
              </w:rPr>
              <w:t>4.严格按竞标产品的安装规范要求进行安装，确保安全。</w:t>
            </w:r>
          </w:p>
        </w:tc>
      </w:tr>
      <w:tr w14:paraId="0881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535CD4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7</w:t>
            </w:r>
          </w:p>
        </w:tc>
        <w:tc>
          <w:tcPr>
            <w:tcW w:w="656" w:type="pct"/>
            <w:tcBorders>
              <w:tl2br w:val="nil"/>
              <w:tr2bl w:val="nil"/>
            </w:tcBorders>
            <w:shd w:val="clear" w:color="auto" w:fill="auto"/>
            <w:vAlign w:val="center"/>
          </w:tcPr>
          <w:p w14:paraId="1EED4AA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olor w:val="auto"/>
                <w:highlight w:val="none"/>
              </w:rPr>
              <w:t>验收要求</w:t>
            </w:r>
          </w:p>
        </w:tc>
        <w:tc>
          <w:tcPr>
            <w:tcW w:w="4119" w:type="pct"/>
            <w:tcBorders>
              <w:tl2br w:val="nil"/>
              <w:tr2bl w:val="nil"/>
            </w:tcBorders>
            <w:shd w:val="clear" w:color="auto" w:fill="auto"/>
            <w:vAlign w:val="center"/>
          </w:tcPr>
          <w:p w14:paraId="231DF410">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1.成交供应商按采购人指定的安装地点，</w:t>
            </w:r>
            <w:r>
              <w:rPr>
                <w:rFonts w:hint="eastAsia" w:ascii="宋体" w:hAnsi="宋体"/>
                <w:color w:val="auto"/>
                <w:highlight w:val="none"/>
                <w:lang w:eastAsia="zh-CN"/>
              </w:rPr>
              <w:t>在采购约定时间内</w:t>
            </w:r>
            <w:r>
              <w:rPr>
                <w:rFonts w:hint="eastAsia" w:ascii="宋体" w:hAnsi="宋体"/>
                <w:color w:val="auto"/>
                <w:highlight w:val="none"/>
              </w:rPr>
              <w:t>完成安装与调试、现场培训等。</w:t>
            </w:r>
          </w:p>
          <w:p w14:paraId="188374E0">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2.成交供应商提出书面验收申请，经采购人同意后共同组织验收，签写相应验收意见并签名确认。验收时，</w:t>
            </w:r>
            <w:r>
              <w:rPr>
                <w:rFonts w:hint="eastAsia" w:ascii="宋体" w:hAnsi="宋体"/>
                <w:color w:val="auto"/>
                <w:szCs w:val="21"/>
                <w:highlight w:val="none"/>
              </w:rPr>
              <w:t>由采购单位对照采购文件的功能目标及技术指标全面核对检验，对所有要求出具的证明文件的原件进行核查（如有），如不符合采购文件的技术需求及要求以及提供虚假承诺的，按相关规定做退货处理及违约处理，成交供应商承担所有责任和费用，采购人保留进一步追究责任的权利。</w:t>
            </w:r>
            <w:r>
              <w:rPr>
                <w:rFonts w:hint="eastAsia" w:ascii="宋体" w:hAnsi="宋体"/>
                <w:color w:val="auto"/>
                <w:highlight w:val="none"/>
              </w:rPr>
              <w:t>如对验收存在异议的，可聘请第三方按合同约定组织验收。</w:t>
            </w:r>
          </w:p>
          <w:p w14:paraId="05E2703B">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3.项目验收合格，项目约定产品或服务才正式交接，交接完毕，才作为项目的最终验收。</w:t>
            </w:r>
          </w:p>
          <w:p w14:paraId="420635F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olor w:val="auto"/>
                <w:highlight w:val="none"/>
              </w:rPr>
              <w:t>4.验收费用：验收所产生的劳务费、检验费及相关发生的全部费用均由成交供应商承担。</w:t>
            </w:r>
          </w:p>
        </w:tc>
      </w:tr>
      <w:tr w14:paraId="5B1F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87C06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w:t>
            </w:r>
          </w:p>
        </w:tc>
        <w:tc>
          <w:tcPr>
            <w:tcW w:w="656" w:type="pct"/>
            <w:tcBorders>
              <w:tl2br w:val="nil"/>
              <w:tr2bl w:val="nil"/>
            </w:tcBorders>
            <w:vAlign w:val="center"/>
          </w:tcPr>
          <w:p w14:paraId="25BE8D8E">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其他要求</w:t>
            </w:r>
          </w:p>
        </w:tc>
        <w:tc>
          <w:tcPr>
            <w:tcW w:w="4119" w:type="pct"/>
            <w:tcBorders>
              <w:tl2br w:val="nil"/>
              <w:tr2bl w:val="nil"/>
            </w:tcBorders>
            <w:vAlign w:val="center"/>
          </w:tcPr>
          <w:p w14:paraId="526EDB6B">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shd w:val="clear"/>
              </w:rPr>
              <w:t>1、</w:t>
            </w:r>
            <w:r>
              <w:rPr>
                <w:rFonts w:hint="eastAsia" w:ascii="宋体" w:hAnsi="宋体"/>
                <w:color w:val="auto"/>
                <w:szCs w:val="21"/>
                <w:highlight w:val="none"/>
              </w:rPr>
              <w:t>供应商所投产品必须能实质性响应采购要求（所投产品应完全满足或优于采购参数要求）</w:t>
            </w:r>
            <w:r>
              <w:rPr>
                <w:rFonts w:hint="eastAsia" w:ascii="宋体" w:hAnsi="宋体"/>
                <w:color w:val="auto"/>
                <w:highlight w:val="none"/>
                <w:shd w:val="clear"/>
              </w:rPr>
              <w:t>，不允许负偏离</w:t>
            </w:r>
            <w:r>
              <w:rPr>
                <w:rFonts w:hint="eastAsia" w:ascii="宋体" w:hAnsi="宋体"/>
                <w:color w:val="auto"/>
                <w:highlight w:val="none"/>
                <w:shd w:val="clear"/>
                <w:lang w:eastAsia="zh-CN"/>
              </w:rPr>
              <w:t>，否则视为无效响应</w:t>
            </w:r>
            <w:r>
              <w:rPr>
                <w:rFonts w:hint="eastAsia" w:ascii="宋体" w:hAnsi="宋体"/>
                <w:bCs/>
                <w:snapToGrid w:val="0"/>
                <w:color w:val="auto"/>
                <w:kern w:val="0"/>
                <w:szCs w:val="21"/>
                <w:highlight w:val="none"/>
                <w:lang w:val="en-US" w:eastAsia="zh-CN"/>
              </w:rPr>
              <w:t>。</w:t>
            </w:r>
            <w:r>
              <w:rPr>
                <w:rFonts w:hint="eastAsia" w:ascii="宋体" w:hAnsi="宋体"/>
                <w:color w:val="auto"/>
                <w:highlight w:val="none"/>
              </w:rPr>
              <w:t>投标时，供应商所投产品必须满足或优于技术参数配置要求（需上传《商务、技术响应、偏离情况说明表》，格式自拟</w:t>
            </w:r>
            <w:r>
              <w:rPr>
                <w:rFonts w:hint="eastAsia" w:ascii="宋体" w:hAnsi="宋体"/>
                <w:color w:val="auto"/>
                <w:highlight w:val="none"/>
                <w:lang w:eastAsia="zh-CN"/>
              </w:rPr>
              <w:t>，</w:t>
            </w:r>
            <w:r>
              <w:rPr>
                <w:rFonts w:hint="eastAsia" w:ascii="宋体" w:hAnsi="宋体"/>
                <w:color w:val="auto"/>
                <w:highlight w:val="none"/>
                <w:lang w:val="en-US" w:eastAsia="zh-CN"/>
              </w:rPr>
              <w:t>并加盖供应商公章</w:t>
            </w:r>
            <w:r>
              <w:rPr>
                <w:rFonts w:hint="eastAsia" w:ascii="宋体" w:hAnsi="宋体"/>
                <w:color w:val="auto"/>
                <w:highlight w:val="none"/>
              </w:rPr>
              <w:t>），否则视为无效响应。</w:t>
            </w:r>
          </w:p>
          <w:p w14:paraId="007ADCC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olor w:val="auto"/>
                <w:highlight w:val="none"/>
              </w:rPr>
            </w:pPr>
            <w:r>
              <w:rPr>
                <w:rFonts w:hint="eastAsia" w:ascii="宋体" w:hAnsi="宋体"/>
                <w:color w:val="auto"/>
                <w:highlight w:val="none"/>
              </w:rPr>
              <w:t>2、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p>
        </w:tc>
      </w:tr>
    </w:tbl>
    <w:p w14:paraId="03241EA6">
      <w:pPr>
        <w:rPr>
          <w:color w:val="auto"/>
        </w:rPr>
      </w:pPr>
    </w:p>
    <w:bookmarkEnd w:id="0"/>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NmQwNDNmOWYwN2FlZDNhN2Y4NTA1YzNjNTc3NDkifQ=="/>
  </w:docVars>
  <w:rsids>
    <w:rsidRoot w:val="170574C9"/>
    <w:rsid w:val="00001765"/>
    <w:rsid w:val="004A4FCA"/>
    <w:rsid w:val="005407A1"/>
    <w:rsid w:val="00586FEC"/>
    <w:rsid w:val="005A0FAF"/>
    <w:rsid w:val="007E2D34"/>
    <w:rsid w:val="00890838"/>
    <w:rsid w:val="009017A1"/>
    <w:rsid w:val="00C52119"/>
    <w:rsid w:val="00C5782E"/>
    <w:rsid w:val="00C601AE"/>
    <w:rsid w:val="00C60D60"/>
    <w:rsid w:val="00D010B9"/>
    <w:rsid w:val="00DB30E9"/>
    <w:rsid w:val="00FF7CE6"/>
    <w:rsid w:val="02497534"/>
    <w:rsid w:val="02B00BF5"/>
    <w:rsid w:val="02D41B01"/>
    <w:rsid w:val="03461F69"/>
    <w:rsid w:val="03D01339"/>
    <w:rsid w:val="0442138C"/>
    <w:rsid w:val="04534861"/>
    <w:rsid w:val="04910CAA"/>
    <w:rsid w:val="04DA0DBE"/>
    <w:rsid w:val="04FC088E"/>
    <w:rsid w:val="052E28C8"/>
    <w:rsid w:val="069C7F67"/>
    <w:rsid w:val="06F57F75"/>
    <w:rsid w:val="071F7265"/>
    <w:rsid w:val="08D95292"/>
    <w:rsid w:val="09181FD0"/>
    <w:rsid w:val="098835AA"/>
    <w:rsid w:val="0A4A5BF8"/>
    <w:rsid w:val="0AB7508A"/>
    <w:rsid w:val="0AFF481A"/>
    <w:rsid w:val="0B870B9C"/>
    <w:rsid w:val="0BD22349"/>
    <w:rsid w:val="0BE36304"/>
    <w:rsid w:val="0BE856C8"/>
    <w:rsid w:val="0D693500"/>
    <w:rsid w:val="0D7C0FEF"/>
    <w:rsid w:val="0EEC1973"/>
    <w:rsid w:val="0F13514E"/>
    <w:rsid w:val="10516B48"/>
    <w:rsid w:val="10700716"/>
    <w:rsid w:val="10CB0144"/>
    <w:rsid w:val="11056D1C"/>
    <w:rsid w:val="11EE5A02"/>
    <w:rsid w:val="126521DA"/>
    <w:rsid w:val="12E35D86"/>
    <w:rsid w:val="14B0798A"/>
    <w:rsid w:val="14CD18FF"/>
    <w:rsid w:val="15C55FA9"/>
    <w:rsid w:val="161672D6"/>
    <w:rsid w:val="169F45B2"/>
    <w:rsid w:val="170574C9"/>
    <w:rsid w:val="173E0892"/>
    <w:rsid w:val="17AD77C6"/>
    <w:rsid w:val="17E416FE"/>
    <w:rsid w:val="180A2E6A"/>
    <w:rsid w:val="19E25E4D"/>
    <w:rsid w:val="19FB6C07"/>
    <w:rsid w:val="1B60540B"/>
    <w:rsid w:val="1BC34054"/>
    <w:rsid w:val="1CF83EBA"/>
    <w:rsid w:val="1CFC0FD3"/>
    <w:rsid w:val="1DFB4D61"/>
    <w:rsid w:val="20AA346D"/>
    <w:rsid w:val="224B0307"/>
    <w:rsid w:val="22E53BE8"/>
    <w:rsid w:val="238A585A"/>
    <w:rsid w:val="238C0BD7"/>
    <w:rsid w:val="23A61397"/>
    <w:rsid w:val="23FA65E1"/>
    <w:rsid w:val="241A61E3"/>
    <w:rsid w:val="247578BD"/>
    <w:rsid w:val="255F69BB"/>
    <w:rsid w:val="262A3872"/>
    <w:rsid w:val="26A34BB6"/>
    <w:rsid w:val="272F1D72"/>
    <w:rsid w:val="2753038A"/>
    <w:rsid w:val="289B3D96"/>
    <w:rsid w:val="29FB0EEE"/>
    <w:rsid w:val="2B3C33A4"/>
    <w:rsid w:val="2C5536B8"/>
    <w:rsid w:val="2C9A6113"/>
    <w:rsid w:val="2C9D3849"/>
    <w:rsid w:val="2CD07727"/>
    <w:rsid w:val="2E77225F"/>
    <w:rsid w:val="2EC675C3"/>
    <w:rsid w:val="2F9514AB"/>
    <w:rsid w:val="302F0099"/>
    <w:rsid w:val="30B61FF7"/>
    <w:rsid w:val="30C36E11"/>
    <w:rsid w:val="31465D97"/>
    <w:rsid w:val="31992E3D"/>
    <w:rsid w:val="32247DFE"/>
    <w:rsid w:val="323A4620"/>
    <w:rsid w:val="329473AE"/>
    <w:rsid w:val="32D14858"/>
    <w:rsid w:val="34531AA2"/>
    <w:rsid w:val="35E16A2E"/>
    <w:rsid w:val="36985DB9"/>
    <w:rsid w:val="36AD5148"/>
    <w:rsid w:val="37755E86"/>
    <w:rsid w:val="38D9696E"/>
    <w:rsid w:val="390F2A93"/>
    <w:rsid w:val="39762CBF"/>
    <w:rsid w:val="397A79F8"/>
    <w:rsid w:val="3AAB781D"/>
    <w:rsid w:val="3B5E449F"/>
    <w:rsid w:val="3CBF4A61"/>
    <w:rsid w:val="3CCA034E"/>
    <w:rsid w:val="3DAE7C70"/>
    <w:rsid w:val="3DE713D4"/>
    <w:rsid w:val="3ED92ACB"/>
    <w:rsid w:val="406E72A4"/>
    <w:rsid w:val="410172C5"/>
    <w:rsid w:val="41E11E03"/>
    <w:rsid w:val="41F617B3"/>
    <w:rsid w:val="4206295C"/>
    <w:rsid w:val="44163F0E"/>
    <w:rsid w:val="44994855"/>
    <w:rsid w:val="4581088E"/>
    <w:rsid w:val="45FC03BF"/>
    <w:rsid w:val="48DA32E9"/>
    <w:rsid w:val="48E522B6"/>
    <w:rsid w:val="490A67FA"/>
    <w:rsid w:val="49D01A86"/>
    <w:rsid w:val="49F7687F"/>
    <w:rsid w:val="4B02599F"/>
    <w:rsid w:val="4B8B2F80"/>
    <w:rsid w:val="4CC96874"/>
    <w:rsid w:val="4D9549A9"/>
    <w:rsid w:val="4DD5541C"/>
    <w:rsid w:val="4ECF7A46"/>
    <w:rsid w:val="503A73A6"/>
    <w:rsid w:val="51704C1D"/>
    <w:rsid w:val="51A837F2"/>
    <w:rsid w:val="52F26AC7"/>
    <w:rsid w:val="54491472"/>
    <w:rsid w:val="5488491F"/>
    <w:rsid w:val="548F7351"/>
    <w:rsid w:val="55654C60"/>
    <w:rsid w:val="558F7E43"/>
    <w:rsid w:val="559B0682"/>
    <w:rsid w:val="562D75AF"/>
    <w:rsid w:val="579161E1"/>
    <w:rsid w:val="5794182D"/>
    <w:rsid w:val="58422359"/>
    <w:rsid w:val="592866D1"/>
    <w:rsid w:val="5C750008"/>
    <w:rsid w:val="5C9F6CAA"/>
    <w:rsid w:val="5E1D7B0C"/>
    <w:rsid w:val="5F4065B6"/>
    <w:rsid w:val="5FC72F01"/>
    <w:rsid w:val="5FF520B9"/>
    <w:rsid w:val="60725F10"/>
    <w:rsid w:val="60BF5B6D"/>
    <w:rsid w:val="610D4460"/>
    <w:rsid w:val="619265B1"/>
    <w:rsid w:val="646B1B68"/>
    <w:rsid w:val="64B928D3"/>
    <w:rsid w:val="64F41B5D"/>
    <w:rsid w:val="66870535"/>
    <w:rsid w:val="66A51398"/>
    <w:rsid w:val="68030A35"/>
    <w:rsid w:val="691722BE"/>
    <w:rsid w:val="6ADE12E5"/>
    <w:rsid w:val="6B981494"/>
    <w:rsid w:val="6BB87D88"/>
    <w:rsid w:val="6C0048D0"/>
    <w:rsid w:val="6C1256EA"/>
    <w:rsid w:val="6C461ECF"/>
    <w:rsid w:val="6D2A6A64"/>
    <w:rsid w:val="6D3314B3"/>
    <w:rsid w:val="6E232492"/>
    <w:rsid w:val="6E962CD2"/>
    <w:rsid w:val="6F5D06C3"/>
    <w:rsid w:val="6F601648"/>
    <w:rsid w:val="6FE2671E"/>
    <w:rsid w:val="6FF00D41"/>
    <w:rsid w:val="71DF0FEF"/>
    <w:rsid w:val="728026E4"/>
    <w:rsid w:val="736E298E"/>
    <w:rsid w:val="73C31078"/>
    <w:rsid w:val="73CB3227"/>
    <w:rsid w:val="74162D65"/>
    <w:rsid w:val="74253E9F"/>
    <w:rsid w:val="75FE552D"/>
    <w:rsid w:val="761D3536"/>
    <w:rsid w:val="775D6EE5"/>
    <w:rsid w:val="799356BF"/>
    <w:rsid w:val="7A2111EE"/>
    <w:rsid w:val="7A752BA1"/>
    <w:rsid w:val="7A786D50"/>
    <w:rsid w:val="7AB81A37"/>
    <w:rsid w:val="7B656EB9"/>
    <w:rsid w:val="7BB26285"/>
    <w:rsid w:val="7D0F532E"/>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Normal Indent"/>
    <w:basedOn w:val="1"/>
    <w:next w:val="1"/>
    <w:qFormat/>
    <w:uiPriority w:val="0"/>
    <w:pPr>
      <w:ind w:firstLine="420"/>
    </w:pPr>
    <w:rPr>
      <w:szCs w:val="20"/>
    </w:rPr>
  </w:style>
  <w:style w:type="paragraph" w:styleId="4">
    <w:name w:val="Body Text"/>
    <w:basedOn w:val="1"/>
    <w:semiHidden/>
    <w:qFormat/>
    <w:uiPriority w:val="0"/>
    <w:rPr>
      <w:rFonts w:ascii="微软雅黑" w:hAnsi="微软雅黑" w:eastAsia="微软雅黑" w:cs="微软雅黑"/>
      <w:sz w:val="24"/>
      <w:szCs w:val="24"/>
      <w:lang w:eastAsia="en-US"/>
    </w:rPr>
  </w:style>
  <w:style w:type="paragraph" w:styleId="5">
    <w:name w:val="Body Text Indent"/>
    <w:basedOn w:val="1"/>
    <w:next w:val="1"/>
    <w:qFormat/>
    <w:uiPriority w:val="0"/>
    <w:pPr>
      <w:ind w:firstLine="830" w:firstLineChars="352"/>
    </w:pPr>
    <w:rPr>
      <w:rFonts w:ascii="仿宋_GB2312" w:eastAsia="仿宋_GB2312" w:cs="仿宋_GB2312"/>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semiHidden/>
    <w:unhideWhenUsed/>
    <w:qFormat/>
    <w:uiPriority w:val="99"/>
    <w:rPr>
      <w:sz w:val="24"/>
    </w:rPr>
  </w:style>
  <w:style w:type="paragraph" w:styleId="8">
    <w:name w:val="Body Text First Indent 2"/>
    <w:basedOn w:val="5"/>
    <w:next w:val="1"/>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 w:type="paragraph" w:customStyle="1" w:styleId="15">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2942</Words>
  <Characters>3034</Characters>
  <Lines>116</Lines>
  <Paragraphs>32</Paragraphs>
  <TotalTime>11</TotalTime>
  <ScaleCrop>false</ScaleCrop>
  <LinksUpToDate>false</LinksUpToDate>
  <CharactersWithSpaces>3041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cp:lastPrinted>2025-04-24T01:58:00Z</cp:lastPrinted>
  <dcterms:modified xsi:type="dcterms:W3CDTF">2025-05-14T06:46:24Z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051FE5DF4A5846ECBFCD77C5679E6C60_13</vt:lpwstr>
  </property>
  <property fmtid="{D5CDD505-2E9C-101B-9397-08002B2CF9AE}" pid="4" name="KSOTemplateDocerSaveRecord">
    <vt:lpwstr>eyJoZGlkIjoiYTUzZDY3MzQ3M2UzMjY1NjBmYTJmNmI0N2ZjODk1Y2QiLCJ1c2VySWQiOiI1ODI0ODIzODAifQ==</vt:lpwstr>
  </property>
</Properties>
</file>