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A47B8">
      <w:pPr>
        <w:jc w:val="center"/>
        <w:rPr>
          <w:rFonts w:hint="eastAsia" w:ascii="宋体" w:hAnsi="宋体" w:eastAsia="宋体"/>
          <w:b/>
          <w:bCs/>
          <w:color w:val="auto"/>
          <w:kern w:val="0"/>
          <w:sz w:val="32"/>
          <w:szCs w:val="32"/>
          <w:highlight w:val="none"/>
          <w:lang w:val="en-US" w:eastAsia="zh-CN"/>
        </w:rPr>
      </w:pPr>
      <w:r>
        <w:rPr>
          <w:rFonts w:hint="eastAsia" w:ascii="宋体" w:hAnsi="宋体"/>
          <w:b/>
          <w:bCs/>
          <w:color w:val="auto"/>
          <w:kern w:val="0"/>
          <w:sz w:val="32"/>
          <w:szCs w:val="32"/>
          <w:highlight w:val="none"/>
          <w:lang w:val="en-US" w:eastAsia="zh-CN"/>
        </w:rPr>
        <w:t>采购</w:t>
      </w:r>
      <w:r>
        <w:rPr>
          <w:rFonts w:hint="eastAsia" w:ascii="宋体" w:hAnsi="宋体"/>
          <w:b/>
          <w:bCs/>
          <w:color w:val="auto"/>
          <w:kern w:val="0"/>
          <w:sz w:val="32"/>
          <w:szCs w:val="32"/>
          <w:highlight w:val="none"/>
        </w:rPr>
        <w:t>1#教研综合楼电梯</w:t>
      </w:r>
      <w:r>
        <w:rPr>
          <w:rFonts w:hint="eastAsia" w:ascii="宋体" w:hAnsi="宋体"/>
          <w:b/>
          <w:bCs/>
          <w:color w:val="auto"/>
          <w:kern w:val="0"/>
          <w:sz w:val="32"/>
          <w:szCs w:val="32"/>
          <w:highlight w:val="none"/>
          <w:lang w:val="en-US" w:eastAsia="zh-CN"/>
        </w:rPr>
        <w:t>设备</w:t>
      </w:r>
      <w:r>
        <w:rPr>
          <w:rFonts w:hint="eastAsia" w:ascii="宋体" w:hAnsi="宋体"/>
          <w:b/>
          <w:bCs/>
          <w:color w:val="auto"/>
          <w:kern w:val="0"/>
          <w:sz w:val="32"/>
          <w:szCs w:val="32"/>
          <w:highlight w:val="none"/>
        </w:rPr>
        <w:t>项目</w:t>
      </w:r>
      <w:r>
        <w:rPr>
          <w:rFonts w:hint="eastAsia" w:ascii="宋体" w:hAnsi="宋体"/>
          <w:b/>
          <w:bCs/>
          <w:color w:val="auto"/>
          <w:kern w:val="0"/>
          <w:sz w:val="32"/>
          <w:szCs w:val="32"/>
          <w:highlight w:val="none"/>
          <w:lang w:val="en-US" w:eastAsia="zh-CN"/>
        </w:rPr>
        <w:t>采购</w:t>
      </w:r>
      <w:r>
        <w:rPr>
          <w:rFonts w:hint="eastAsia" w:ascii="宋体" w:hAnsi="宋体"/>
          <w:b/>
          <w:bCs/>
          <w:color w:val="auto"/>
          <w:kern w:val="0"/>
          <w:sz w:val="32"/>
          <w:szCs w:val="32"/>
          <w:highlight w:val="none"/>
        </w:rPr>
        <w:t>清单</w:t>
      </w:r>
    </w:p>
    <w:tbl>
      <w:tblPr>
        <w:tblStyle w:val="8"/>
        <w:tblpPr w:leftFromText="180" w:rightFromText="180" w:vertAnchor="text" w:horzAnchor="page" w:tblpX="1082" w:tblpY="648"/>
        <w:tblOverlap w:val="never"/>
        <w:tblW w:w="4760" w:type="pct"/>
        <w:tblInd w:w="0" w:type="dxa"/>
        <w:tblLayout w:type="fixed"/>
        <w:tblCellMar>
          <w:top w:w="0" w:type="dxa"/>
          <w:left w:w="108" w:type="dxa"/>
          <w:bottom w:w="0" w:type="dxa"/>
          <w:right w:w="108" w:type="dxa"/>
        </w:tblCellMar>
      </w:tblPr>
      <w:tblGrid>
        <w:gridCol w:w="492"/>
        <w:gridCol w:w="637"/>
        <w:gridCol w:w="853"/>
        <w:gridCol w:w="10306"/>
        <w:gridCol w:w="597"/>
        <w:gridCol w:w="571"/>
        <w:gridCol w:w="723"/>
      </w:tblGrid>
      <w:tr w14:paraId="0AE745B3">
        <w:tblPrEx>
          <w:tblCellMar>
            <w:top w:w="0" w:type="dxa"/>
            <w:left w:w="108" w:type="dxa"/>
            <w:bottom w:w="0" w:type="dxa"/>
            <w:right w:w="108" w:type="dxa"/>
          </w:tblCellMar>
        </w:tblPrEx>
        <w:trPr>
          <w:trHeight w:val="288"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43986">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项号</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9CF2C">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货物名称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35A30">
            <w:pPr>
              <w:widowControl/>
              <w:jc w:val="center"/>
              <w:textAlignment w:val="center"/>
              <w:rPr>
                <w:rFonts w:hint="default" w:ascii="宋体" w:hAnsi="宋体" w:eastAsia="宋体"/>
                <w:b/>
                <w:bCs/>
                <w:color w:val="auto"/>
                <w:szCs w:val="21"/>
                <w:highlight w:val="none"/>
                <w:lang w:val="en-US" w:eastAsia="zh-CN"/>
              </w:rPr>
            </w:pPr>
            <w:r>
              <w:rPr>
                <w:rFonts w:hint="eastAsia" w:ascii="宋体" w:hAnsi="宋体"/>
                <w:b/>
                <w:bCs/>
                <w:color w:val="auto"/>
                <w:kern w:val="0"/>
                <w:szCs w:val="21"/>
                <w:highlight w:val="none"/>
                <w:lang w:bidi="ar"/>
              </w:rPr>
              <w:t>参考品牌</w:t>
            </w:r>
            <w:r>
              <w:rPr>
                <w:rFonts w:hint="eastAsia" w:ascii="宋体" w:hAnsi="宋体"/>
                <w:b/>
                <w:bCs/>
                <w:color w:val="auto"/>
                <w:kern w:val="0"/>
                <w:szCs w:val="21"/>
                <w:highlight w:val="none"/>
                <w:lang w:val="en-US" w:eastAsia="zh-CN" w:bidi="ar"/>
              </w:rPr>
              <w:t>及型号</w:t>
            </w:r>
          </w:p>
        </w:tc>
        <w:tc>
          <w:tcPr>
            <w:tcW w:w="3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81B77">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主要技术参数及性能（配置）要求</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AF98F">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数量</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BC266">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单位</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2A54F">
            <w:pPr>
              <w:widowControl/>
              <w:jc w:val="center"/>
              <w:textAlignment w:val="center"/>
              <w:rPr>
                <w:rFonts w:ascii="宋体" w:hAnsi="宋体"/>
                <w:color w:val="auto"/>
                <w:szCs w:val="21"/>
                <w:highlight w:val="none"/>
              </w:rPr>
            </w:pPr>
            <w:r>
              <w:rPr>
                <w:rFonts w:hint="eastAsia" w:ascii="宋体" w:hAnsi="宋体"/>
                <w:color w:val="auto"/>
                <w:kern w:val="0"/>
                <w:szCs w:val="21"/>
                <w:highlight w:val="none"/>
                <w:lang w:bidi="ar"/>
              </w:rPr>
              <w:t>总价（</w:t>
            </w:r>
            <w:r>
              <w:rPr>
                <w:rFonts w:hint="eastAsia" w:ascii="宋体" w:hAnsi="宋体"/>
                <w:color w:val="auto"/>
                <w:kern w:val="0"/>
                <w:szCs w:val="21"/>
                <w:highlight w:val="none"/>
                <w:lang w:val="en-US" w:eastAsia="zh-CN" w:bidi="ar"/>
              </w:rPr>
              <w:t>万</w:t>
            </w:r>
            <w:r>
              <w:rPr>
                <w:rFonts w:hint="eastAsia" w:ascii="宋体" w:hAnsi="宋体"/>
                <w:color w:val="auto"/>
                <w:kern w:val="0"/>
                <w:szCs w:val="21"/>
                <w:highlight w:val="none"/>
                <w:lang w:bidi="ar"/>
              </w:rPr>
              <w:t>元）</w:t>
            </w:r>
          </w:p>
        </w:tc>
      </w:tr>
      <w:tr w14:paraId="0FC0F921">
        <w:tblPrEx>
          <w:tblCellMar>
            <w:top w:w="0" w:type="dxa"/>
            <w:left w:w="108" w:type="dxa"/>
            <w:bottom w:w="0" w:type="dxa"/>
            <w:right w:w="108" w:type="dxa"/>
          </w:tblCellMar>
        </w:tblPrEx>
        <w:trPr>
          <w:trHeight w:val="600" w:hRule="atLeast"/>
        </w:trPr>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8FE5F">
            <w:pPr>
              <w:widowControl/>
              <w:jc w:val="center"/>
              <w:textAlignment w:val="center"/>
              <w:rPr>
                <w:rFonts w:hint="eastAsia" w:ascii="宋体" w:hAnsi="宋体" w:eastAsia="宋体"/>
                <w:color w:val="auto"/>
                <w:sz w:val="22"/>
                <w:highlight w:val="none"/>
                <w:lang w:eastAsia="zh-CN"/>
              </w:rPr>
            </w:pPr>
            <w:r>
              <w:rPr>
                <w:rFonts w:hint="eastAsia" w:ascii="宋体" w:hAnsi="宋体"/>
                <w:color w:val="auto"/>
                <w:kern w:val="0"/>
                <w:sz w:val="22"/>
                <w:highlight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A9430">
            <w:pPr>
              <w:widowControl/>
              <w:jc w:val="center"/>
              <w:textAlignment w:val="center"/>
              <w:rPr>
                <w:rFonts w:hAnsi="宋体"/>
                <w:color w:val="auto"/>
                <w:szCs w:val="21"/>
                <w:highlight w:val="none"/>
              </w:rPr>
            </w:pPr>
            <w:r>
              <w:rPr>
                <w:rFonts w:hint="eastAsia" w:hAnsi="宋体"/>
                <w:color w:val="auto"/>
                <w:szCs w:val="21"/>
                <w:highlight w:val="none"/>
              </w:rPr>
              <w:t>乘客</w:t>
            </w:r>
          </w:p>
          <w:p w14:paraId="5249D57F">
            <w:pPr>
              <w:widowControl/>
              <w:jc w:val="center"/>
              <w:textAlignment w:val="center"/>
              <w:rPr>
                <w:rFonts w:ascii="宋体" w:hAnsi="宋体"/>
                <w:color w:val="auto"/>
                <w:sz w:val="22"/>
                <w:highlight w:val="none"/>
              </w:rPr>
            </w:pPr>
            <w:r>
              <w:rPr>
                <w:rFonts w:hint="eastAsia" w:hAnsi="宋体"/>
                <w:color w:val="auto"/>
                <w:szCs w:val="21"/>
                <w:highlight w:val="none"/>
              </w:rPr>
              <w:t>电梯</w:t>
            </w:r>
            <w:r>
              <w:rPr>
                <w:rFonts w:hAnsi="宋体"/>
                <w:color w:val="auto"/>
                <w:szCs w:val="21"/>
                <w:highlight w:val="none"/>
              </w:rPr>
              <w:t>(</w:t>
            </w:r>
            <w:r>
              <w:rPr>
                <w:rFonts w:hint="eastAsia" w:hAnsi="宋体"/>
                <w:color w:val="auto"/>
                <w:szCs w:val="21"/>
                <w:highlight w:val="none"/>
              </w:rPr>
              <w:t>有机房</w:t>
            </w:r>
            <w:r>
              <w:rPr>
                <w:rFonts w:hAnsi="宋体"/>
                <w:color w:val="auto"/>
                <w:szCs w:val="21"/>
                <w:highlight w:val="none"/>
              </w:rPr>
              <w:t>)</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646CF">
            <w:pPr>
              <w:widowControl/>
              <w:jc w:val="center"/>
              <w:textAlignment w:val="center"/>
              <w:rPr>
                <w:rFonts w:ascii="宋体" w:hAnsi="宋体"/>
                <w:color w:val="auto"/>
                <w:sz w:val="22"/>
                <w:highlight w:val="none"/>
              </w:rPr>
            </w:pPr>
            <w:r>
              <w:rPr>
                <w:rFonts w:hint="eastAsia" w:ascii="宋体" w:hAnsi="宋体"/>
                <w:color w:val="auto"/>
                <w:sz w:val="22"/>
                <w:highlight w:val="none"/>
              </w:rPr>
              <w:t>上海三菱LEHY-IIIS</w:t>
            </w:r>
          </w:p>
        </w:tc>
        <w:tc>
          <w:tcPr>
            <w:tcW w:w="3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655AA">
            <w:pPr>
              <w:pStyle w:val="14"/>
              <w:widowControl/>
              <w:numPr>
                <w:ilvl w:val="0"/>
                <w:numId w:val="0"/>
              </w:numPr>
              <w:ind w:left="450" w:leftChars="0" w:hanging="450" w:firstLineChars="0"/>
              <w:jc w:val="left"/>
              <w:textAlignment w:val="center"/>
              <w:rPr>
                <w:rFonts w:hAnsi="宋体" w:cs="宋体"/>
                <w:b/>
                <w:bCs/>
                <w:color w:val="auto"/>
                <w:szCs w:val="21"/>
                <w:highlight w:val="none"/>
              </w:rPr>
            </w:pPr>
            <w:r>
              <w:rPr>
                <w:rFonts w:hint="default" w:ascii="Calibri" w:hAnsi="宋体" w:cs="宋体"/>
                <w:b/>
                <w:bCs/>
                <w:color w:val="auto"/>
                <w:kern w:val="2"/>
                <w:sz w:val="21"/>
                <w:szCs w:val="21"/>
                <w:highlight w:val="none"/>
                <w:lang w:val="en-US" w:eastAsia="zh-CN" w:bidi="ar-SA"/>
              </w:rPr>
              <w:t>一、</w:t>
            </w:r>
            <w:r>
              <w:rPr>
                <w:rFonts w:hint="eastAsia" w:hAnsi="宋体" w:cs="宋体"/>
                <w:b/>
                <w:bCs/>
                <w:color w:val="auto"/>
                <w:szCs w:val="21"/>
                <w:highlight w:val="none"/>
              </w:rPr>
              <w:t>基本要求</w:t>
            </w:r>
          </w:p>
          <w:p w14:paraId="6F5DA8B1">
            <w:pPr>
              <w:pStyle w:val="6"/>
              <w:ind w:firstLine="210"/>
              <w:rPr>
                <w:color w:val="auto"/>
                <w:highlight w:val="none"/>
              </w:rPr>
            </w:pPr>
            <w:r>
              <w:rPr>
                <w:rFonts w:hint="eastAsia"/>
                <w:color w:val="auto"/>
                <w:highlight w:val="none"/>
              </w:rPr>
              <w:t>梯号：KT1~KT3</w:t>
            </w:r>
          </w:p>
          <w:p w14:paraId="463EC25E">
            <w:pPr>
              <w:widowControl/>
              <w:jc w:val="left"/>
              <w:textAlignment w:val="center"/>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、额定载重量：≥1</w:t>
            </w:r>
            <w:r>
              <w:rPr>
                <w:rFonts w:hAnsi="宋体"/>
                <w:color w:val="auto"/>
                <w:szCs w:val="21"/>
                <w:highlight w:val="none"/>
              </w:rPr>
              <w:t>60</w:t>
            </w:r>
            <w:r>
              <w:rPr>
                <w:rFonts w:hint="eastAsia" w:hAnsi="宋体"/>
                <w:color w:val="auto"/>
                <w:szCs w:val="21"/>
                <w:highlight w:val="none"/>
              </w:rPr>
              <w:t>0</w:t>
            </w:r>
            <w:r>
              <w:rPr>
                <w:rFonts w:hAnsi="宋体"/>
                <w:color w:val="auto"/>
                <w:szCs w:val="21"/>
                <w:highlight w:val="none"/>
              </w:rPr>
              <w:t>KG</w:t>
            </w:r>
            <w:r>
              <w:rPr>
                <w:rFonts w:hint="eastAsia" w:hAnsi="宋体"/>
                <w:color w:val="auto"/>
                <w:szCs w:val="21"/>
                <w:highlight w:val="none"/>
              </w:rPr>
              <w:t>；</w:t>
            </w:r>
          </w:p>
          <w:p w14:paraId="7F9B98BF">
            <w:pPr>
              <w:widowControl/>
              <w:jc w:val="left"/>
              <w:textAlignment w:val="center"/>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、额定速度：≥</w:t>
            </w:r>
            <w:r>
              <w:rPr>
                <w:rFonts w:hAnsi="宋体"/>
                <w:color w:val="auto"/>
                <w:szCs w:val="21"/>
                <w:highlight w:val="none"/>
              </w:rPr>
              <w:t>1.0</w:t>
            </w:r>
            <w:r>
              <w:rPr>
                <w:rFonts w:hint="eastAsia" w:hAnsi="宋体"/>
                <w:color w:val="auto"/>
                <w:szCs w:val="21"/>
                <w:highlight w:val="none"/>
              </w:rPr>
              <w:t>米／秒；</w:t>
            </w:r>
          </w:p>
          <w:p w14:paraId="31858054">
            <w:pPr>
              <w:widowControl/>
              <w:jc w:val="left"/>
              <w:textAlignment w:val="center"/>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、层／站／门：7层7站7门</w:t>
            </w:r>
            <w:r>
              <w:rPr>
                <w:rFonts w:hint="eastAsia" w:hAnsi="宋体" w:cs="宋体"/>
                <w:b/>
                <w:bCs/>
                <w:color w:val="auto"/>
                <w:szCs w:val="21"/>
                <w:highlight w:val="none"/>
              </w:rPr>
              <w:t>（含地下室）</w:t>
            </w:r>
            <w:r>
              <w:rPr>
                <w:rFonts w:hint="eastAsia" w:hAnsi="宋体"/>
                <w:color w:val="auto"/>
                <w:szCs w:val="21"/>
                <w:highlight w:val="none"/>
              </w:rPr>
              <w:t>；</w:t>
            </w:r>
          </w:p>
          <w:p w14:paraId="62D88392">
            <w:pPr>
              <w:widowControl/>
              <w:jc w:val="left"/>
              <w:textAlignment w:val="center"/>
              <w:rPr>
                <w:rFonts w:hAnsi="宋体"/>
                <w:color w:val="auto"/>
                <w:szCs w:val="21"/>
                <w:highlight w:val="none"/>
              </w:rPr>
            </w:pPr>
            <w:r>
              <w:rPr>
                <w:rFonts w:hAnsi="宋体"/>
                <w:color w:val="auto"/>
                <w:szCs w:val="21"/>
                <w:highlight w:val="none"/>
              </w:rPr>
              <w:t>4</w:t>
            </w:r>
            <w:r>
              <w:rPr>
                <w:rFonts w:hint="eastAsia" w:hAnsi="宋体"/>
                <w:color w:val="auto"/>
                <w:szCs w:val="21"/>
                <w:highlight w:val="none"/>
              </w:rPr>
              <w:t>、井道净空尺寸（宽</w:t>
            </w:r>
            <w:r>
              <w:rPr>
                <w:rFonts w:hAnsi="宋体"/>
                <w:color w:val="auto"/>
                <w:szCs w:val="21"/>
                <w:highlight w:val="none"/>
              </w:rPr>
              <w:t>×</w:t>
            </w:r>
            <w:r>
              <w:rPr>
                <w:rFonts w:hint="eastAsia" w:hAnsi="宋体"/>
                <w:color w:val="auto"/>
                <w:szCs w:val="21"/>
                <w:highlight w:val="none"/>
              </w:rPr>
              <w:t>深）：2500mm×2</w:t>
            </w:r>
            <w:r>
              <w:rPr>
                <w:rFonts w:hAnsi="宋体"/>
                <w:color w:val="auto"/>
                <w:szCs w:val="21"/>
                <w:highlight w:val="none"/>
              </w:rPr>
              <w:t>4</w:t>
            </w:r>
            <w:r>
              <w:rPr>
                <w:rFonts w:hint="eastAsia" w:hAnsi="宋体"/>
                <w:color w:val="auto"/>
                <w:szCs w:val="21"/>
                <w:highlight w:val="none"/>
              </w:rPr>
              <w:t>00mm；</w:t>
            </w:r>
          </w:p>
          <w:p w14:paraId="1A9D6F2C">
            <w:pPr>
              <w:widowControl/>
              <w:jc w:val="left"/>
              <w:textAlignment w:val="center"/>
              <w:rPr>
                <w:rFonts w:hAnsi="宋体"/>
                <w:color w:val="auto"/>
                <w:szCs w:val="21"/>
                <w:highlight w:val="none"/>
              </w:rPr>
            </w:pPr>
            <w:r>
              <w:rPr>
                <w:rFonts w:hAnsi="宋体"/>
                <w:color w:val="auto"/>
                <w:szCs w:val="21"/>
                <w:highlight w:val="none"/>
              </w:rPr>
              <w:t>5</w:t>
            </w:r>
            <w:r>
              <w:rPr>
                <w:rFonts w:hint="eastAsia" w:hAnsi="宋体"/>
                <w:color w:val="auto"/>
                <w:szCs w:val="21"/>
                <w:highlight w:val="none"/>
              </w:rPr>
              <w:t>、顶层净高：</w:t>
            </w:r>
            <w:r>
              <w:rPr>
                <w:rFonts w:hAnsi="宋体"/>
                <w:color w:val="auto"/>
                <w:szCs w:val="21"/>
                <w:highlight w:val="none"/>
              </w:rPr>
              <w:t>50</w:t>
            </w:r>
            <w:r>
              <w:rPr>
                <w:rFonts w:hint="eastAsia" w:hAnsi="宋体"/>
                <w:color w:val="auto"/>
                <w:szCs w:val="21"/>
                <w:highlight w:val="none"/>
              </w:rPr>
              <w:t>00</w:t>
            </w:r>
            <w:r>
              <w:rPr>
                <w:rFonts w:hAnsi="宋体"/>
                <w:color w:val="auto"/>
                <w:szCs w:val="21"/>
                <w:highlight w:val="none"/>
              </w:rPr>
              <w:t>mm</w:t>
            </w:r>
            <w:r>
              <w:rPr>
                <w:rFonts w:hint="eastAsia" w:hAnsi="宋体"/>
                <w:color w:val="auto"/>
                <w:szCs w:val="21"/>
                <w:highlight w:val="none"/>
              </w:rPr>
              <w:t>；</w:t>
            </w:r>
          </w:p>
          <w:p w14:paraId="172A429C">
            <w:pPr>
              <w:widowControl/>
              <w:jc w:val="left"/>
              <w:textAlignment w:val="center"/>
              <w:rPr>
                <w:rFonts w:hAnsi="宋体"/>
                <w:color w:val="auto"/>
                <w:szCs w:val="21"/>
                <w:highlight w:val="none"/>
              </w:rPr>
            </w:pPr>
            <w:r>
              <w:rPr>
                <w:rFonts w:hAnsi="宋体"/>
                <w:color w:val="auto"/>
                <w:szCs w:val="21"/>
                <w:highlight w:val="none"/>
              </w:rPr>
              <w:t>6</w:t>
            </w:r>
            <w:r>
              <w:rPr>
                <w:rFonts w:hint="eastAsia" w:hAnsi="宋体"/>
                <w:color w:val="auto"/>
                <w:szCs w:val="21"/>
                <w:highlight w:val="none"/>
              </w:rPr>
              <w:t>、提升高度：24.150m；</w:t>
            </w:r>
          </w:p>
          <w:p w14:paraId="2F45C2F9">
            <w:pPr>
              <w:widowControl/>
              <w:jc w:val="left"/>
              <w:textAlignment w:val="center"/>
              <w:rPr>
                <w:rFonts w:hAnsi="宋体"/>
                <w:color w:val="auto"/>
                <w:szCs w:val="21"/>
                <w:highlight w:val="none"/>
              </w:rPr>
            </w:pPr>
            <w:r>
              <w:rPr>
                <w:rFonts w:hAnsi="宋体"/>
                <w:color w:val="auto"/>
                <w:szCs w:val="21"/>
                <w:highlight w:val="none"/>
              </w:rPr>
              <w:t>7</w:t>
            </w:r>
            <w:r>
              <w:rPr>
                <w:rFonts w:hint="eastAsia" w:hAnsi="宋体"/>
                <w:color w:val="auto"/>
                <w:szCs w:val="21"/>
                <w:highlight w:val="none"/>
              </w:rPr>
              <w:t>、底坑净深：</w:t>
            </w:r>
            <w:r>
              <w:rPr>
                <w:rFonts w:hAnsi="宋体"/>
                <w:color w:val="auto"/>
                <w:szCs w:val="21"/>
                <w:highlight w:val="none"/>
              </w:rPr>
              <w:t>1800mm</w:t>
            </w:r>
            <w:r>
              <w:rPr>
                <w:rFonts w:hint="eastAsia" w:hAnsi="宋体"/>
                <w:color w:val="auto"/>
                <w:szCs w:val="21"/>
                <w:highlight w:val="none"/>
              </w:rPr>
              <w:t>；</w:t>
            </w:r>
          </w:p>
          <w:p w14:paraId="6C11E39B">
            <w:pPr>
              <w:widowControl/>
              <w:jc w:val="left"/>
              <w:textAlignment w:val="center"/>
              <w:rPr>
                <w:rFonts w:hAnsi="宋体"/>
                <w:color w:val="auto"/>
                <w:szCs w:val="21"/>
                <w:highlight w:val="none"/>
              </w:rPr>
            </w:pPr>
            <w:r>
              <w:rPr>
                <w:rFonts w:hAnsi="宋体"/>
                <w:color w:val="auto"/>
                <w:szCs w:val="21"/>
                <w:highlight w:val="none"/>
              </w:rPr>
              <w:t>8</w:t>
            </w:r>
            <w:r>
              <w:rPr>
                <w:rFonts w:hint="eastAsia" w:hAnsi="宋体"/>
                <w:color w:val="auto"/>
                <w:szCs w:val="21"/>
                <w:highlight w:val="none"/>
              </w:rPr>
              <w:t>、土建门</w:t>
            </w:r>
            <w:r>
              <w:rPr>
                <w:rFonts w:hAnsi="宋体"/>
                <w:color w:val="auto"/>
                <w:szCs w:val="21"/>
                <w:highlight w:val="none"/>
              </w:rPr>
              <w:t>洞</w:t>
            </w:r>
            <w:r>
              <w:rPr>
                <w:rFonts w:hint="eastAsia" w:hAnsi="宋体"/>
                <w:color w:val="auto"/>
                <w:szCs w:val="21"/>
                <w:highlight w:val="none"/>
              </w:rPr>
              <w:t>尺寸（宽</w:t>
            </w:r>
            <w:r>
              <w:rPr>
                <w:rFonts w:hAnsi="宋体"/>
                <w:color w:val="auto"/>
                <w:szCs w:val="21"/>
                <w:highlight w:val="none"/>
              </w:rPr>
              <w:t>×</w:t>
            </w:r>
            <w:r>
              <w:rPr>
                <w:rFonts w:hint="eastAsia" w:hAnsi="宋体"/>
                <w:color w:val="auto"/>
                <w:szCs w:val="21"/>
                <w:highlight w:val="none"/>
              </w:rPr>
              <w:t>高）：1300</w:t>
            </w:r>
            <w:r>
              <w:rPr>
                <w:rFonts w:hAnsi="宋体"/>
                <w:color w:val="auto"/>
                <w:szCs w:val="21"/>
                <w:highlight w:val="none"/>
              </w:rPr>
              <w:t>mm×2250mm</w:t>
            </w:r>
            <w:r>
              <w:rPr>
                <w:rFonts w:hint="eastAsia" w:hAnsi="宋体"/>
                <w:color w:val="auto"/>
                <w:szCs w:val="21"/>
                <w:highlight w:val="none"/>
              </w:rPr>
              <w:t>；</w:t>
            </w:r>
          </w:p>
          <w:p w14:paraId="340EBA3A">
            <w:pPr>
              <w:widowControl/>
              <w:jc w:val="left"/>
              <w:textAlignment w:val="center"/>
              <w:rPr>
                <w:rFonts w:hAnsi="宋体"/>
                <w:color w:val="auto"/>
                <w:szCs w:val="21"/>
                <w:highlight w:val="none"/>
              </w:rPr>
            </w:pPr>
            <w:r>
              <w:rPr>
                <w:rFonts w:hAnsi="宋体"/>
                <w:color w:val="auto"/>
                <w:szCs w:val="21"/>
                <w:highlight w:val="none"/>
              </w:rPr>
              <w:t>9</w:t>
            </w:r>
            <w:r>
              <w:rPr>
                <w:rFonts w:hint="eastAsia" w:hAnsi="宋体"/>
                <w:color w:val="auto"/>
                <w:szCs w:val="21"/>
                <w:highlight w:val="none"/>
              </w:rPr>
              <w:t>、电梯</w:t>
            </w:r>
            <w:r>
              <w:rPr>
                <w:rFonts w:hAnsi="宋体"/>
                <w:color w:val="auto"/>
                <w:szCs w:val="21"/>
                <w:highlight w:val="none"/>
              </w:rPr>
              <w:t>厅</w:t>
            </w:r>
            <w:r>
              <w:rPr>
                <w:rFonts w:hint="eastAsia" w:hAnsi="宋体"/>
                <w:color w:val="auto"/>
                <w:szCs w:val="21"/>
                <w:highlight w:val="none"/>
              </w:rPr>
              <w:t>门净尺寸（宽</w:t>
            </w:r>
            <w:r>
              <w:rPr>
                <w:rFonts w:hAnsi="宋体"/>
                <w:color w:val="auto"/>
                <w:szCs w:val="21"/>
                <w:highlight w:val="none"/>
              </w:rPr>
              <w:t>×</w:t>
            </w:r>
            <w:r>
              <w:rPr>
                <w:rFonts w:hint="eastAsia" w:hAnsi="宋体"/>
                <w:color w:val="auto"/>
                <w:szCs w:val="21"/>
                <w:highlight w:val="none"/>
              </w:rPr>
              <w:t>高）：≥110</w:t>
            </w:r>
            <w:r>
              <w:rPr>
                <w:rFonts w:hAnsi="宋体"/>
                <w:color w:val="auto"/>
                <w:szCs w:val="21"/>
                <w:highlight w:val="none"/>
              </w:rPr>
              <w:t>0mm</w:t>
            </w:r>
            <w:r>
              <w:rPr>
                <w:rFonts w:hAnsi="宋体"/>
                <w:color w:val="auto"/>
                <w:szCs w:val="21"/>
                <w:highlight w:val="none"/>
              </w:rPr>
              <w:t>×2</w:t>
            </w:r>
            <w:r>
              <w:rPr>
                <w:rFonts w:hint="eastAsia" w:hAnsi="宋体"/>
                <w:color w:val="auto"/>
                <w:szCs w:val="21"/>
                <w:highlight w:val="none"/>
              </w:rPr>
              <w:t>1</w:t>
            </w:r>
            <w:r>
              <w:rPr>
                <w:rFonts w:hAnsi="宋体"/>
                <w:color w:val="auto"/>
                <w:szCs w:val="21"/>
                <w:highlight w:val="none"/>
              </w:rPr>
              <w:t>00mm</w:t>
            </w:r>
            <w:r>
              <w:rPr>
                <w:rFonts w:hint="eastAsia" w:hAnsi="宋体"/>
                <w:color w:val="auto"/>
                <w:szCs w:val="21"/>
                <w:highlight w:val="none"/>
              </w:rPr>
              <w:t>；</w:t>
            </w:r>
          </w:p>
          <w:p w14:paraId="2D028718">
            <w:pPr>
              <w:widowControl/>
              <w:jc w:val="left"/>
              <w:textAlignment w:val="center"/>
              <w:rPr>
                <w:rFonts w:hAnsi="宋体"/>
                <w:color w:val="auto"/>
                <w:szCs w:val="21"/>
                <w:highlight w:val="none"/>
              </w:rPr>
            </w:pPr>
            <w:r>
              <w:rPr>
                <w:rFonts w:hAnsi="宋体"/>
                <w:color w:val="auto"/>
                <w:szCs w:val="21"/>
                <w:highlight w:val="none"/>
              </w:rPr>
              <w:t>10</w:t>
            </w:r>
            <w:r>
              <w:rPr>
                <w:rFonts w:hint="eastAsia" w:hAnsi="宋体"/>
                <w:color w:val="auto"/>
                <w:szCs w:val="21"/>
                <w:highlight w:val="none"/>
              </w:rPr>
              <w:t>、轿厢内部净尺寸（宽</w:t>
            </w:r>
            <w:r>
              <w:rPr>
                <w:rFonts w:hAnsi="宋体"/>
                <w:color w:val="auto"/>
                <w:szCs w:val="21"/>
                <w:highlight w:val="none"/>
              </w:rPr>
              <w:t>×</w:t>
            </w:r>
            <w:r>
              <w:rPr>
                <w:rFonts w:hint="eastAsia" w:hAnsi="宋体"/>
                <w:color w:val="auto"/>
                <w:szCs w:val="21"/>
                <w:highlight w:val="none"/>
              </w:rPr>
              <w:t>深</w:t>
            </w:r>
            <w:r>
              <w:rPr>
                <w:rFonts w:hAnsi="宋体"/>
                <w:color w:val="auto"/>
                <w:szCs w:val="21"/>
                <w:highlight w:val="none"/>
              </w:rPr>
              <w:t>×</w:t>
            </w:r>
            <w:r>
              <w:rPr>
                <w:rFonts w:hint="eastAsia" w:hAnsi="宋体"/>
                <w:color w:val="auto"/>
                <w:szCs w:val="21"/>
                <w:highlight w:val="none"/>
              </w:rPr>
              <w:t>高）：≥</w:t>
            </w:r>
            <w:r>
              <w:rPr>
                <w:rFonts w:hint="eastAsia"/>
                <w:color w:val="auto"/>
                <w:highlight w:val="none"/>
              </w:rPr>
              <w:t>2000mm×1700mm</w:t>
            </w:r>
            <w:r>
              <w:rPr>
                <w:rFonts w:hAnsi="宋体"/>
                <w:color w:val="auto"/>
                <w:szCs w:val="21"/>
                <w:highlight w:val="none"/>
              </w:rPr>
              <w:t xml:space="preserve"> </w:t>
            </w:r>
            <w:r>
              <w:rPr>
                <w:rFonts w:hint="eastAsia"/>
                <w:color w:val="auto"/>
                <w:highlight w:val="none"/>
              </w:rPr>
              <w:t>×2500mm</w:t>
            </w:r>
            <w:r>
              <w:rPr>
                <w:rFonts w:hAnsi="宋体"/>
                <w:color w:val="auto"/>
                <w:szCs w:val="21"/>
                <w:highlight w:val="none"/>
              </w:rPr>
              <w:t xml:space="preserve"> </w:t>
            </w:r>
          </w:p>
          <w:p w14:paraId="3B84AEF8">
            <w:pPr>
              <w:widowControl/>
              <w:jc w:val="left"/>
              <w:textAlignment w:val="center"/>
              <w:rPr>
                <w:rFonts w:hAnsi="宋体"/>
                <w:color w:val="auto"/>
                <w:szCs w:val="21"/>
                <w:highlight w:val="none"/>
              </w:rPr>
            </w:pPr>
            <w:r>
              <w:rPr>
                <w:rFonts w:hAnsi="宋体"/>
                <w:color w:val="auto"/>
                <w:szCs w:val="21"/>
                <w:highlight w:val="none"/>
              </w:rPr>
              <w:t>11</w:t>
            </w:r>
            <w:r>
              <w:rPr>
                <w:rFonts w:hint="eastAsia" w:hAnsi="宋体"/>
                <w:color w:val="auto"/>
                <w:szCs w:val="21"/>
                <w:highlight w:val="none"/>
              </w:rPr>
              <w:t>、开门方式：中分开门；</w:t>
            </w:r>
          </w:p>
          <w:p w14:paraId="4F2E26FC">
            <w:pPr>
              <w:widowControl/>
              <w:jc w:val="left"/>
              <w:textAlignment w:val="center"/>
              <w:rPr>
                <w:rFonts w:hAnsi="宋体"/>
                <w:color w:val="auto"/>
                <w:szCs w:val="21"/>
                <w:highlight w:val="none"/>
              </w:rPr>
            </w:pPr>
            <w:r>
              <w:rPr>
                <w:rFonts w:hAnsi="宋体"/>
                <w:color w:val="auto"/>
                <w:szCs w:val="21"/>
                <w:highlight w:val="none"/>
              </w:rPr>
              <w:t>12</w:t>
            </w:r>
            <w:r>
              <w:rPr>
                <w:rFonts w:hint="eastAsia" w:hAnsi="宋体"/>
                <w:color w:val="auto"/>
                <w:szCs w:val="21"/>
                <w:highlight w:val="none"/>
              </w:rPr>
              <w:t>、机房位置：井道顶部；</w:t>
            </w:r>
          </w:p>
          <w:p w14:paraId="6AE1C376">
            <w:pPr>
              <w:widowControl/>
              <w:jc w:val="left"/>
              <w:textAlignment w:val="center"/>
              <w:rPr>
                <w:rFonts w:hAnsi="宋体"/>
                <w:color w:val="auto"/>
                <w:szCs w:val="21"/>
                <w:highlight w:val="none"/>
              </w:rPr>
            </w:pPr>
            <w:r>
              <w:rPr>
                <w:rFonts w:hint="eastAsia" w:hAnsi="宋体"/>
                <w:color w:val="auto"/>
                <w:szCs w:val="21"/>
                <w:highlight w:val="none"/>
              </w:rPr>
              <w:t>13、</w:t>
            </w:r>
            <w:r>
              <w:rPr>
                <w:rFonts w:hint="eastAsia" w:hAnsi="宋体"/>
                <w:color w:val="auto"/>
                <w:szCs w:val="21"/>
                <w:highlight w:val="none"/>
              </w:rPr>
              <w:t>控制方式：KT1：1台单控，KT2-KT3：2台并联</w:t>
            </w:r>
            <w:r>
              <w:rPr>
                <w:rFonts w:hAnsi="宋体"/>
                <w:color w:val="auto"/>
                <w:szCs w:val="21"/>
                <w:highlight w:val="none"/>
              </w:rPr>
              <w:t>；</w:t>
            </w:r>
          </w:p>
          <w:p w14:paraId="0FDD862A">
            <w:pPr>
              <w:widowControl/>
              <w:jc w:val="left"/>
              <w:textAlignment w:val="center"/>
              <w:rPr>
                <w:rFonts w:hAnsi="宋体"/>
                <w:color w:val="auto"/>
                <w:szCs w:val="21"/>
                <w:highlight w:val="none"/>
              </w:rPr>
            </w:pPr>
            <w:r>
              <w:rPr>
                <w:rFonts w:hAnsi="宋体"/>
                <w:color w:val="auto"/>
                <w:szCs w:val="21"/>
                <w:highlight w:val="none"/>
              </w:rPr>
              <w:t>14、基站：地上一层；</w:t>
            </w:r>
          </w:p>
          <w:p w14:paraId="06B3998B">
            <w:pPr>
              <w:widowControl/>
              <w:jc w:val="left"/>
              <w:textAlignment w:val="center"/>
              <w:rPr>
                <w:rFonts w:hAnsi="宋体" w:cs="宋体"/>
                <w:color w:val="auto"/>
                <w:szCs w:val="21"/>
                <w:highlight w:val="none"/>
              </w:rPr>
            </w:pPr>
            <w:r>
              <w:rPr>
                <w:rFonts w:hAnsi="宋体" w:cs="宋体"/>
                <w:color w:val="auto"/>
                <w:kern w:val="0"/>
                <w:szCs w:val="21"/>
                <w:highlight w:val="none"/>
              </w:rPr>
              <w:t>1</w:t>
            </w:r>
            <w:r>
              <w:rPr>
                <w:rFonts w:hint="eastAsia" w:hAnsi="宋体" w:cs="宋体"/>
                <w:color w:val="auto"/>
                <w:kern w:val="0"/>
                <w:szCs w:val="21"/>
                <w:highlight w:val="none"/>
              </w:rPr>
              <w:t>5</w:t>
            </w:r>
            <w:r>
              <w:rPr>
                <w:rFonts w:hAnsi="宋体" w:cs="宋体"/>
                <w:color w:val="auto"/>
                <w:kern w:val="0"/>
                <w:szCs w:val="21"/>
                <w:highlight w:val="none"/>
              </w:rPr>
              <w:t>、</w:t>
            </w:r>
            <w:r>
              <w:rPr>
                <w:rFonts w:hint="eastAsia" w:hAnsi="宋体" w:cs="宋体"/>
                <w:color w:val="auto"/>
                <w:kern w:val="0"/>
                <w:szCs w:val="21"/>
                <w:highlight w:val="none"/>
              </w:rPr>
              <w:t>电源电压：AC380V/50Hz，照明 220V；</w:t>
            </w:r>
          </w:p>
          <w:p w14:paraId="79320ECF">
            <w:pPr>
              <w:widowControl/>
              <w:jc w:val="left"/>
              <w:textAlignment w:val="center"/>
              <w:rPr>
                <w:rFonts w:hAnsi="宋体"/>
                <w:color w:val="auto"/>
                <w:szCs w:val="21"/>
                <w:highlight w:val="none"/>
              </w:rPr>
            </w:pPr>
            <w:r>
              <w:rPr>
                <w:rFonts w:hAnsi="宋体"/>
                <w:color w:val="auto"/>
                <w:szCs w:val="21"/>
                <w:highlight w:val="none"/>
              </w:rPr>
              <w:t>1</w:t>
            </w:r>
            <w:r>
              <w:rPr>
                <w:rFonts w:hint="eastAsia" w:hAnsi="宋体"/>
                <w:color w:val="auto"/>
                <w:szCs w:val="21"/>
                <w:highlight w:val="none"/>
              </w:rPr>
              <w:t>6、电梯土建尺寸以实际勘测尺寸为准，轿厢尺寸以最终双方图纸确认为准。</w:t>
            </w:r>
          </w:p>
          <w:p w14:paraId="04FCC703">
            <w:pPr>
              <w:widowControl/>
              <w:jc w:val="left"/>
              <w:textAlignment w:val="center"/>
              <w:rPr>
                <w:rFonts w:hAnsi="宋体"/>
                <w:b/>
                <w:color w:val="auto"/>
                <w:szCs w:val="21"/>
                <w:highlight w:val="none"/>
              </w:rPr>
            </w:pPr>
            <w:r>
              <w:rPr>
                <w:rFonts w:hint="eastAsia" w:hAnsi="宋体"/>
                <w:b/>
                <w:color w:val="auto"/>
                <w:szCs w:val="21"/>
                <w:highlight w:val="none"/>
              </w:rPr>
              <w:t>二、技术要求</w:t>
            </w:r>
          </w:p>
          <w:p w14:paraId="525F260D">
            <w:pPr>
              <w:widowControl/>
              <w:jc w:val="left"/>
              <w:textAlignment w:val="center"/>
              <w:rPr>
                <w:rFonts w:hAnsi="宋体"/>
                <w:color w:val="auto"/>
                <w:szCs w:val="21"/>
                <w:highlight w:val="none"/>
              </w:rPr>
            </w:pPr>
            <w:r>
              <w:rPr>
                <w:rFonts w:hint="eastAsia" w:hAnsi="宋体"/>
                <w:color w:val="auto"/>
                <w:szCs w:val="21"/>
                <w:highlight w:val="none"/>
              </w:rPr>
              <w:t>▲1、控制系统：双32位交流变频调压调速(VVVF)系统，应用高性能32位CPU、32位高数字信号处理器，采用全数字智能化、模块化微机控制系统，具有故障代码显示和存储功能并具有软件升级功能。</w:t>
            </w:r>
            <w:r>
              <w:rPr>
                <w:rFonts w:hint="eastAsia" w:hAnsi="宋体" w:cs="宋体"/>
                <w:color w:val="auto"/>
                <w:kern w:val="0"/>
                <w:szCs w:val="21"/>
                <w:highlight w:val="none"/>
              </w:rPr>
              <w:t>曳引机采用关节型定子铁芯技术，绕线均匀化、线圈高密度化、提升通磁量，投标时提供能清晰显示关节型定子铁芯实物照片作为评定依据，并承诺以此作为货物验收的依据，加盖投标人公章否则投标无效。</w:t>
            </w:r>
          </w:p>
          <w:p w14:paraId="47C9246A">
            <w:pPr>
              <w:widowControl/>
              <w:jc w:val="left"/>
              <w:textAlignment w:val="center"/>
              <w:rPr>
                <w:rFonts w:hAnsi="宋体"/>
                <w:color w:val="auto"/>
                <w:szCs w:val="21"/>
                <w:highlight w:val="none"/>
              </w:rPr>
            </w:pPr>
            <w:r>
              <w:rPr>
                <w:rFonts w:hint="eastAsia" w:hAnsi="宋体"/>
                <w:color w:val="auto"/>
                <w:szCs w:val="21"/>
                <w:highlight w:val="none"/>
              </w:rPr>
              <w:t>▲2、驱动系统：32位交流变频调压调速(VVVF))系统，采用大功率模块（IPM），采用模块式专用变频装置（非独立的变频器，投标品牌自行生产）。</w:t>
            </w:r>
          </w:p>
          <w:p w14:paraId="278C3780">
            <w:pPr>
              <w:widowControl/>
              <w:jc w:val="left"/>
              <w:textAlignment w:val="center"/>
              <w:rPr>
                <w:rFonts w:hAnsi="宋体"/>
                <w:color w:val="auto"/>
                <w:szCs w:val="21"/>
                <w:highlight w:val="none"/>
              </w:rPr>
            </w:pPr>
            <w:r>
              <w:rPr>
                <w:rFonts w:hint="eastAsia" w:hAnsi="宋体"/>
                <w:color w:val="auto"/>
                <w:szCs w:val="21"/>
                <w:highlight w:val="none"/>
              </w:rPr>
              <w:t>▲3、曳引机：薄型永磁同步无齿轮曳引机，采用大尺寸制动盘，先进、节能、低噪音产品，曳引机额定功率≤</w:t>
            </w:r>
            <w:r>
              <w:rPr>
                <w:rFonts w:hAnsi="宋体"/>
                <w:color w:val="auto"/>
                <w:szCs w:val="21"/>
                <w:highlight w:val="none"/>
              </w:rPr>
              <w:t>9.9</w:t>
            </w:r>
            <w:r>
              <w:rPr>
                <w:rFonts w:hint="eastAsia" w:hAnsi="宋体"/>
                <w:color w:val="auto"/>
                <w:szCs w:val="21"/>
                <w:highlight w:val="none"/>
              </w:rPr>
              <w:t>KW；曳引机绕组绝缘等级为F级（含）以上。</w:t>
            </w:r>
          </w:p>
          <w:p w14:paraId="330E4996">
            <w:pPr>
              <w:widowControl/>
              <w:jc w:val="left"/>
              <w:textAlignment w:val="center"/>
              <w:rPr>
                <w:rFonts w:hAnsi="宋体"/>
                <w:color w:val="auto"/>
                <w:szCs w:val="21"/>
                <w:highlight w:val="none"/>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、门机系统：超薄型永磁同步门机驱动技术，变频变压无连杆设计，一体化式的门机导轨，交流VVVF双闭环控制。</w:t>
            </w:r>
          </w:p>
          <w:p w14:paraId="2D67B05E">
            <w:pPr>
              <w:widowControl/>
              <w:jc w:val="left"/>
              <w:textAlignment w:val="center"/>
              <w:rPr>
                <w:rFonts w:hAnsi="宋体"/>
                <w:color w:val="auto"/>
                <w:szCs w:val="21"/>
                <w:highlight w:val="none"/>
              </w:rPr>
            </w:pP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、门光幕系统：多红外线光束门感应器+安全触板双重保护；光束覆盖门高度</w:t>
            </w:r>
            <w:r>
              <w:rPr>
                <w:rFonts w:hint="eastAsia" w:hAnsi="宋体"/>
                <w:color w:val="auto"/>
                <w:szCs w:val="21"/>
                <w:highlight w:val="none"/>
              </w:rPr>
              <w:t>≥1600mm。</w:t>
            </w:r>
          </w:p>
          <w:p w14:paraId="588A5A50">
            <w:pPr>
              <w:widowControl/>
              <w:jc w:val="left"/>
              <w:textAlignment w:val="center"/>
              <w:rPr>
                <w:rFonts w:hAnsi="宋体"/>
                <w:color w:val="auto"/>
                <w:szCs w:val="21"/>
                <w:highlight w:val="none"/>
              </w:rPr>
            </w:pPr>
            <w:r>
              <w:rPr>
                <w:rFonts w:hint="eastAsia" w:hAnsi="宋体"/>
                <w:color w:val="auto"/>
                <w:szCs w:val="21"/>
                <w:highlight w:val="none"/>
              </w:rPr>
              <w:t>▲6、曳引机钢丝绳规格：数</w:t>
            </w:r>
            <w:r>
              <w:rPr>
                <w:rFonts w:hint="eastAsia" w:hAnsi="宋体"/>
                <w:color w:val="auto"/>
                <w:szCs w:val="21"/>
                <w:highlight w:val="none"/>
              </w:rPr>
              <w:t>量≥6条、悬挂比2：1，受力均匀，承载安全系数大，使用更安全可靠。</w:t>
            </w:r>
          </w:p>
          <w:p w14:paraId="7327F5D3">
            <w:pPr>
              <w:widowControl/>
              <w:jc w:val="left"/>
              <w:textAlignment w:val="center"/>
              <w:rPr>
                <w:rFonts w:hAnsi="宋体"/>
                <w:color w:val="auto"/>
                <w:szCs w:val="21"/>
                <w:highlight w:val="none"/>
              </w:rPr>
            </w:pPr>
            <w:r>
              <w:rPr>
                <w:rFonts w:hAnsi="宋体"/>
                <w:color w:val="auto"/>
                <w:szCs w:val="21"/>
                <w:highlight w:val="none"/>
              </w:rPr>
              <w:t>7</w:t>
            </w:r>
            <w:r>
              <w:rPr>
                <w:rFonts w:hint="eastAsia" w:hAnsi="宋体"/>
                <w:color w:val="auto"/>
                <w:szCs w:val="21"/>
                <w:highlight w:val="none"/>
              </w:rPr>
              <w:t>、抗震保护设计。</w:t>
            </w:r>
          </w:p>
          <w:p w14:paraId="244F0EA6">
            <w:pPr>
              <w:widowControl/>
              <w:jc w:val="left"/>
              <w:textAlignment w:val="center"/>
              <w:rPr>
                <w:rFonts w:hAnsi="宋体"/>
                <w:color w:val="auto"/>
                <w:szCs w:val="21"/>
                <w:highlight w:val="none"/>
              </w:rPr>
            </w:pPr>
            <w:r>
              <w:rPr>
                <w:rFonts w:hAnsi="宋体"/>
                <w:color w:val="auto"/>
                <w:szCs w:val="21"/>
                <w:highlight w:val="none"/>
              </w:rPr>
              <w:t>8</w:t>
            </w:r>
            <w:r>
              <w:rPr>
                <w:rFonts w:hint="eastAsia" w:hAnsi="宋体"/>
                <w:color w:val="auto"/>
                <w:szCs w:val="21"/>
                <w:highlight w:val="none"/>
              </w:rPr>
              <w:t>、抗电磁干扰设计。</w:t>
            </w:r>
          </w:p>
          <w:p w14:paraId="0AFE937F">
            <w:pPr>
              <w:widowControl/>
              <w:jc w:val="left"/>
              <w:textAlignment w:val="center"/>
              <w:rPr>
                <w:rFonts w:hAnsi="宋体"/>
                <w:color w:val="auto"/>
                <w:szCs w:val="21"/>
                <w:highlight w:val="none"/>
              </w:rPr>
            </w:pPr>
            <w:r>
              <w:rPr>
                <w:rFonts w:hAnsi="宋体"/>
                <w:color w:val="auto"/>
                <w:szCs w:val="21"/>
                <w:highlight w:val="none"/>
              </w:rPr>
              <w:t>9</w:t>
            </w:r>
            <w:r>
              <w:rPr>
                <w:rFonts w:hint="eastAsia" w:hAnsi="宋体"/>
                <w:color w:val="auto"/>
                <w:szCs w:val="21"/>
                <w:highlight w:val="none"/>
              </w:rPr>
              <w:t>、防雷击设计。</w:t>
            </w:r>
          </w:p>
          <w:p w14:paraId="28080DAF">
            <w:pPr>
              <w:widowControl/>
              <w:jc w:val="left"/>
              <w:textAlignment w:val="center"/>
              <w:rPr>
                <w:rFonts w:hAnsi="宋体"/>
                <w:color w:val="auto"/>
                <w:szCs w:val="21"/>
                <w:highlight w:val="none"/>
              </w:rPr>
            </w:pPr>
            <w:r>
              <w:rPr>
                <w:rFonts w:hAnsi="宋体"/>
                <w:color w:val="auto"/>
                <w:szCs w:val="21"/>
                <w:highlight w:val="none"/>
              </w:rPr>
              <w:t>1</w:t>
            </w:r>
            <w:r>
              <w:rPr>
                <w:rFonts w:hint="eastAsia" w:hAnsi="宋体"/>
                <w:color w:val="auto"/>
                <w:szCs w:val="21"/>
                <w:highlight w:val="none"/>
              </w:rPr>
              <w:t>0、供电方式：三相五线制；动力电源：AC380V±10%，50Hz±1Hz；照明电源AC220V±10%，50Hz±1Hz。</w:t>
            </w:r>
          </w:p>
          <w:p w14:paraId="7100E584">
            <w:pPr>
              <w:widowControl/>
              <w:jc w:val="left"/>
              <w:textAlignment w:val="center"/>
              <w:rPr>
                <w:rFonts w:hAnsi="宋体"/>
                <w:color w:val="auto"/>
                <w:szCs w:val="21"/>
                <w:highlight w:val="none"/>
              </w:rPr>
            </w:pPr>
            <w:r>
              <w:rPr>
                <w:rFonts w:hAnsi="宋体"/>
                <w:color w:val="auto"/>
                <w:szCs w:val="21"/>
                <w:highlight w:val="none"/>
              </w:rPr>
              <w:t>1</w:t>
            </w:r>
            <w:r>
              <w:rPr>
                <w:rFonts w:hint="eastAsia" w:hAnsi="宋体"/>
                <w:color w:val="auto"/>
                <w:szCs w:val="21"/>
                <w:highlight w:val="none"/>
              </w:rPr>
              <w:t>1、工作环境要求：工作环境温度：-5℃~45℃，室外平均相对湿度95％，运行地点海拔高度&lt;2000米，工作电压：交流380V/220V，三相/单相。</w:t>
            </w:r>
          </w:p>
          <w:p w14:paraId="755E9D6B">
            <w:pPr>
              <w:widowControl/>
              <w:jc w:val="left"/>
              <w:textAlignment w:val="center"/>
              <w:rPr>
                <w:rFonts w:hAnsi="宋体"/>
                <w:color w:val="auto"/>
                <w:szCs w:val="21"/>
                <w:highlight w:val="none"/>
              </w:rPr>
            </w:pPr>
            <w:r>
              <w:rPr>
                <w:rFonts w:hAnsi="宋体"/>
                <w:color w:val="auto"/>
                <w:szCs w:val="21"/>
                <w:highlight w:val="none"/>
              </w:rPr>
              <w:t>1</w:t>
            </w:r>
            <w:r>
              <w:rPr>
                <w:rFonts w:hint="eastAsia" w:hAnsi="宋体"/>
                <w:color w:val="auto"/>
                <w:szCs w:val="21"/>
                <w:highlight w:val="none"/>
              </w:rPr>
              <w:t>2、电梯技术要求：采用全数字控制智能化DC-DC电源技术，为电梯控制系统提供电源。稳定可靠、不易受电网波动影响，而且损耗更低，效率更高、保护更全面。</w:t>
            </w:r>
          </w:p>
          <w:p w14:paraId="337A3053">
            <w:pPr>
              <w:widowControl/>
              <w:jc w:val="left"/>
              <w:textAlignment w:val="center"/>
              <w:rPr>
                <w:rFonts w:hAnsi="宋体"/>
                <w:b/>
                <w:color w:val="auto"/>
                <w:szCs w:val="21"/>
                <w:highlight w:val="none"/>
              </w:rPr>
            </w:pPr>
            <w:r>
              <w:rPr>
                <w:rFonts w:hint="eastAsia" w:hAnsi="宋体"/>
                <w:b/>
                <w:color w:val="auto"/>
                <w:szCs w:val="21"/>
                <w:highlight w:val="none"/>
              </w:rPr>
              <w:t>三、主要部件</w:t>
            </w:r>
          </w:p>
          <w:p w14:paraId="0838A7C2">
            <w:pPr>
              <w:widowControl/>
              <w:jc w:val="left"/>
              <w:textAlignment w:val="center"/>
              <w:rPr>
                <w:rFonts w:hAnsi="宋体"/>
                <w:color w:val="auto"/>
                <w:szCs w:val="21"/>
                <w:highlight w:val="none"/>
              </w:rPr>
            </w:pPr>
            <w:r>
              <w:rPr>
                <w:rFonts w:hint="eastAsia" w:hAnsi="宋体"/>
                <w:color w:val="auto"/>
                <w:szCs w:val="21"/>
                <w:highlight w:val="none"/>
              </w:rPr>
              <w:t>▲曳引机、拖动及控制系统（含控制柜、调速装置、控制装置）、上行超速保护装置、安全钳、限速器、缓冲器、门锁装置部件为同品牌设计和制造的产品。</w:t>
            </w:r>
            <w:r>
              <w:rPr>
                <w:rFonts w:hint="eastAsia" w:hAnsi="宋体"/>
                <w:color w:val="auto"/>
                <w:szCs w:val="21"/>
                <w:highlight w:val="none"/>
              </w:rPr>
              <w:t>（注明主要部件品牌、生产厂家、产地，并提供整机特种设备型式试验报告和证书复印件，并加盖投标人公章，供货时提供原件核查）。</w:t>
            </w:r>
          </w:p>
          <w:p w14:paraId="1F7526CB">
            <w:pPr>
              <w:pStyle w:val="15"/>
              <w:rPr>
                <w:rFonts w:hAnsi="宋体"/>
                <w:b/>
                <w:color w:val="auto"/>
                <w:sz w:val="21"/>
                <w:szCs w:val="21"/>
                <w:highlight w:val="none"/>
              </w:rPr>
            </w:pPr>
            <w:r>
              <w:rPr>
                <w:rFonts w:hint="eastAsia" w:hAnsi="宋体"/>
                <w:b/>
                <w:color w:val="auto"/>
                <w:sz w:val="21"/>
                <w:szCs w:val="21"/>
                <w:highlight w:val="none"/>
              </w:rPr>
              <w:t>四、装饰要求</w:t>
            </w:r>
          </w:p>
          <w:p w14:paraId="2712810C">
            <w:pPr>
              <w:widowControl/>
              <w:shd w:val="clear" w:color="auto" w:fill="auto"/>
              <w:jc w:val="left"/>
              <w:textAlignment w:val="center"/>
              <w:rPr>
                <w:rFonts w:hAnsi="宋体"/>
                <w:color w:val="auto"/>
                <w:szCs w:val="21"/>
                <w:highlight w:val="none"/>
              </w:rPr>
            </w:pPr>
            <w:r>
              <w:rPr>
                <w:rFonts w:hint="eastAsia" w:hAnsi="宋体"/>
                <w:color w:val="auto"/>
                <w:szCs w:val="21"/>
                <w:highlight w:val="none"/>
              </w:rPr>
              <w:t>1、壁轿：前壁/发纹不锈钢</w:t>
            </w:r>
          </w:p>
          <w:p w14:paraId="64474EEC">
            <w:pPr>
              <w:widowControl/>
              <w:shd w:val="clear" w:color="auto" w:fill="auto"/>
              <w:jc w:val="left"/>
              <w:textAlignment w:val="center"/>
              <w:rPr>
                <w:rFonts w:hAnsi="宋体"/>
                <w:color w:val="auto"/>
                <w:szCs w:val="21"/>
                <w:highlight w:val="none"/>
              </w:rPr>
            </w:pPr>
            <w:r>
              <w:rPr>
                <w:rFonts w:hint="eastAsia" w:hAnsi="宋体"/>
                <w:color w:val="auto"/>
                <w:szCs w:val="21"/>
                <w:highlight w:val="none"/>
              </w:rPr>
              <w:t>2、</w:t>
            </w:r>
            <w:bookmarkStart w:id="0" w:name="OLE_LINK1"/>
            <w:r>
              <w:rPr>
                <w:rFonts w:hint="eastAsia" w:hAnsi="宋体"/>
                <w:color w:val="auto"/>
                <w:szCs w:val="21"/>
                <w:highlight w:val="none"/>
              </w:rPr>
              <w:t>侧面两端与后壁两端/镜面不锈钢</w:t>
            </w:r>
          </w:p>
          <w:p w14:paraId="6A4DAA38">
            <w:pPr>
              <w:widowControl/>
              <w:shd w:val="clear" w:color="auto" w:fill="auto"/>
              <w:ind w:firstLine="420" w:firstLineChars="200"/>
              <w:jc w:val="left"/>
              <w:textAlignment w:val="center"/>
              <w:rPr>
                <w:rFonts w:hAnsi="宋体"/>
                <w:color w:val="auto"/>
                <w:szCs w:val="21"/>
                <w:highlight w:val="none"/>
              </w:rPr>
            </w:pPr>
            <w:r>
              <w:rPr>
                <w:rFonts w:hint="eastAsia" w:hAnsi="宋体"/>
                <w:color w:val="auto"/>
                <w:szCs w:val="21"/>
                <w:highlight w:val="none"/>
              </w:rPr>
              <w:t>侧面中央与后壁中央/黑檀木饰面</w:t>
            </w:r>
            <w:bookmarkEnd w:id="0"/>
          </w:p>
          <w:p w14:paraId="35388FB8">
            <w:pPr>
              <w:widowControl/>
              <w:numPr>
                <w:ilvl w:val="0"/>
                <w:numId w:val="1"/>
              </w:numPr>
              <w:shd w:val="clear" w:color="auto" w:fill="auto"/>
              <w:jc w:val="left"/>
              <w:textAlignment w:val="center"/>
              <w:rPr>
                <w:rFonts w:hint="eastAsia" w:hAnsi="宋体"/>
                <w:color w:val="auto"/>
                <w:szCs w:val="21"/>
                <w:highlight w:val="none"/>
              </w:rPr>
            </w:pPr>
            <w:r>
              <w:rPr>
                <w:rFonts w:hint="eastAsia" w:hAnsi="宋体"/>
                <w:color w:val="auto"/>
                <w:szCs w:val="21"/>
                <w:highlight w:val="none"/>
              </w:rPr>
              <w:t>轿门：发纹蚀刻不锈钢</w:t>
            </w:r>
          </w:p>
          <w:p w14:paraId="54AF8C15">
            <w:pPr>
              <w:widowControl/>
              <w:numPr>
                <w:ilvl w:val="0"/>
                <w:numId w:val="1"/>
              </w:numPr>
              <w:shd w:val="clear" w:color="auto" w:fill="auto"/>
              <w:jc w:val="left"/>
              <w:textAlignment w:val="center"/>
              <w:rPr>
                <w:rFonts w:hint="default" w:hAnsi="宋体" w:eastAsia="宋体" w:cs="Times New Roman"/>
                <w:color w:val="auto"/>
                <w:szCs w:val="21"/>
                <w:highlight w:val="none"/>
                <w:lang w:val="en-US" w:eastAsia="zh-CN"/>
              </w:rPr>
            </w:pPr>
            <w:r>
              <w:rPr>
                <w:rFonts w:hint="eastAsia" w:hAnsi="宋体" w:eastAsia="宋体" w:cs="Times New Roman"/>
                <w:color w:val="auto"/>
                <w:szCs w:val="21"/>
                <w:highlight w:val="none"/>
                <w:lang w:val="en-US" w:eastAsia="zh-CN"/>
              </w:rPr>
              <w:t>门套：深色大理石门套，宽度200mm，厚度20mm（</w:t>
            </w:r>
            <w:r>
              <w:rPr>
                <w:rFonts w:hint="eastAsia" w:hAnsi="宋体" w:eastAsia="宋体" w:cs="Times New Roman"/>
                <w:color w:val="auto"/>
                <w:szCs w:val="21"/>
                <w:highlight w:val="none"/>
              </w:rPr>
              <w:t>供货前提供</w:t>
            </w:r>
            <w:r>
              <w:rPr>
                <w:rFonts w:hint="eastAsia" w:hAnsi="宋体" w:eastAsia="宋体" w:cs="Times New Roman"/>
                <w:color w:val="auto"/>
                <w:szCs w:val="21"/>
                <w:highlight w:val="none"/>
                <w:lang w:val="en-US" w:eastAsia="zh-CN"/>
              </w:rPr>
              <w:t>样品</w:t>
            </w:r>
            <w:r>
              <w:rPr>
                <w:rFonts w:hint="eastAsia" w:hAnsi="宋体" w:eastAsia="宋体" w:cs="Times New Roman"/>
                <w:color w:val="auto"/>
                <w:szCs w:val="21"/>
                <w:highlight w:val="none"/>
              </w:rPr>
              <w:t>供采购人选择</w:t>
            </w:r>
            <w:r>
              <w:rPr>
                <w:rFonts w:hint="eastAsia" w:hAnsi="宋体" w:eastAsia="宋体" w:cs="Times New Roman"/>
                <w:color w:val="auto"/>
                <w:szCs w:val="21"/>
                <w:highlight w:val="none"/>
                <w:lang w:val="en-US" w:eastAsia="zh-CN"/>
              </w:rPr>
              <w:t>）</w:t>
            </w:r>
          </w:p>
          <w:p w14:paraId="136A1F0A">
            <w:pPr>
              <w:widowControl/>
              <w:shd w:val="clear" w:color="auto" w:fill="auto"/>
              <w:jc w:val="left"/>
              <w:textAlignment w:val="center"/>
              <w:rPr>
                <w:rFonts w:hAnsi="宋体"/>
                <w:color w:val="auto"/>
                <w:szCs w:val="21"/>
                <w:highlight w:val="none"/>
              </w:rPr>
            </w:pPr>
            <w:r>
              <w:rPr>
                <w:rFonts w:hint="eastAsia" w:hAnsi="宋体"/>
                <w:color w:val="auto"/>
                <w:szCs w:val="21"/>
                <w:highlight w:val="none"/>
                <w:lang w:val="en-US" w:eastAsia="zh-CN"/>
              </w:rPr>
              <w:t>5</w:t>
            </w:r>
            <w:r>
              <w:rPr>
                <w:rFonts w:hint="eastAsia" w:hAnsi="宋体"/>
                <w:color w:val="auto"/>
                <w:szCs w:val="21"/>
                <w:highlight w:val="none"/>
              </w:rPr>
              <w:t>、操 纵 箱：发纹不锈钢，断码显示，</w:t>
            </w:r>
            <w:r>
              <w:rPr>
                <w:rFonts w:hint="eastAsia" w:hAnsi="宋体"/>
                <w:color w:val="auto"/>
                <w:szCs w:val="21"/>
                <w:highlight w:val="none"/>
                <w:lang w:val="en-US" w:eastAsia="zh-CN"/>
              </w:rPr>
              <w:t>圆</w:t>
            </w:r>
            <w:r>
              <w:rPr>
                <w:rFonts w:hint="eastAsia" w:hAnsi="宋体"/>
                <w:color w:val="auto"/>
                <w:szCs w:val="21"/>
                <w:highlight w:val="none"/>
              </w:rPr>
              <w:t>形按钮</w:t>
            </w:r>
            <w:r>
              <w:rPr>
                <w:rFonts w:hint="eastAsia" w:hAnsi="宋体"/>
                <w:color w:val="auto"/>
                <w:szCs w:val="21"/>
                <w:highlight w:val="none"/>
                <w:lang w:eastAsia="zh-CN"/>
              </w:rPr>
              <w:t>（</w:t>
            </w:r>
            <w:r>
              <w:rPr>
                <w:rFonts w:hint="eastAsia" w:hAnsi="宋体"/>
                <w:color w:val="auto"/>
                <w:szCs w:val="21"/>
                <w:highlight w:val="none"/>
                <w:lang w:val="en-US" w:eastAsia="zh-CN"/>
              </w:rPr>
              <w:t>嵌入墙体内，凸出高度不大于5mm，</w:t>
            </w:r>
            <w:r>
              <w:rPr>
                <w:rFonts w:hint="eastAsia" w:hAnsi="宋体"/>
                <w:color w:val="auto"/>
                <w:szCs w:val="21"/>
                <w:highlight w:val="none"/>
              </w:rPr>
              <w:t>供货前提供</w:t>
            </w:r>
            <w:r>
              <w:rPr>
                <w:rFonts w:hint="eastAsia" w:hAnsi="宋体"/>
                <w:color w:val="auto"/>
                <w:szCs w:val="21"/>
                <w:highlight w:val="none"/>
                <w:lang w:val="en-US" w:eastAsia="zh-CN"/>
              </w:rPr>
              <w:t>样品</w:t>
            </w:r>
            <w:r>
              <w:rPr>
                <w:rFonts w:hint="eastAsia" w:hAnsi="宋体"/>
                <w:color w:val="auto"/>
                <w:szCs w:val="21"/>
                <w:highlight w:val="none"/>
              </w:rPr>
              <w:t>供采购人选择</w:t>
            </w:r>
            <w:r>
              <w:rPr>
                <w:rFonts w:hint="eastAsia" w:hAnsi="宋体"/>
                <w:color w:val="auto"/>
                <w:szCs w:val="21"/>
                <w:highlight w:val="none"/>
                <w:lang w:eastAsia="zh-CN"/>
              </w:rPr>
              <w:t>）</w:t>
            </w:r>
            <w:r>
              <w:rPr>
                <w:rFonts w:hint="eastAsia" w:hAnsi="宋体"/>
                <w:color w:val="auto"/>
                <w:szCs w:val="21"/>
                <w:highlight w:val="none"/>
              </w:rPr>
              <w:t>；</w:t>
            </w:r>
          </w:p>
          <w:p w14:paraId="2015CF35">
            <w:pPr>
              <w:widowControl/>
              <w:shd w:val="clear" w:color="auto" w:fill="auto"/>
              <w:jc w:val="left"/>
              <w:textAlignment w:val="center"/>
              <w:rPr>
                <w:rFonts w:hAnsi="宋体"/>
                <w:color w:val="auto"/>
                <w:szCs w:val="21"/>
                <w:highlight w:val="none"/>
              </w:rPr>
            </w:pPr>
            <w:r>
              <w:rPr>
                <w:rFonts w:hint="eastAsia" w:hAnsi="宋体"/>
                <w:color w:val="auto"/>
                <w:szCs w:val="21"/>
                <w:highlight w:val="none"/>
                <w:lang w:val="en-US" w:eastAsia="zh-CN"/>
              </w:rPr>
              <w:t>6</w:t>
            </w:r>
            <w:r>
              <w:rPr>
                <w:rFonts w:hint="eastAsia" w:hAnsi="宋体"/>
                <w:color w:val="auto"/>
                <w:szCs w:val="21"/>
                <w:highlight w:val="none"/>
              </w:rPr>
              <w:t>、扶手：</w:t>
            </w:r>
            <w:r>
              <w:rPr>
                <w:rFonts w:hAnsi="宋体"/>
                <w:color w:val="auto"/>
                <w:szCs w:val="21"/>
                <w:highlight w:val="none"/>
              </w:rPr>
              <w:t>304#</w:t>
            </w:r>
            <w:r>
              <w:rPr>
                <w:rFonts w:hint="eastAsia" w:hAnsi="宋体"/>
                <w:color w:val="auto"/>
                <w:szCs w:val="21"/>
                <w:highlight w:val="none"/>
              </w:rPr>
              <w:t>不锈钢圆扶手</w:t>
            </w:r>
          </w:p>
          <w:p w14:paraId="035FCF1A">
            <w:pPr>
              <w:widowControl/>
              <w:shd w:val="clear" w:color="auto" w:fill="auto"/>
              <w:jc w:val="left"/>
              <w:textAlignment w:val="center"/>
              <w:rPr>
                <w:rFonts w:hAnsi="宋体"/>
                <w:color w:val="auto"/>
                <w:szCs w:val="21"/>
                <w:highlight w:val="none"/>
              </w:rPr>
            </w:pPr>
            <w:r>
              <w:rPr>
                <w:rFonts w:hint="eastAsia" w:hAnsi="宋体"/>
                <w:color w:val="auto"/>
                <w:szCs w:val="21"/>
                <w:highlight w:val="none"/>
                <w:lang w:val="en-US" w:eastAsia="zh-CN"/>
              </w:rPr>
              <w:t>7</w:t>
            </w:r>
            <w:r>
              <w:rPr>
                <w:rFonts w:hint="eastAsia" w:hAnsi="宋体"/>
                <w:color w:val="auto"/>
                <w:szCs w:val="21"/>
                <w:highlight w:val="none"/>
              </w:rPr>
              <w:t>、出入口上板：发纹蚀刻不锈钢</w:t>
            </w:r>
          </w:p>
          <w:p w14:paraId="174A4276">
            <w:pPr>
              <w:widowControl/>
              <w:shd w:val="clear" w:color="auto" w:fill="auto"/>
              <w:jc w:val="left"/>
              <w:textAlignment w:val="center"/>
              <w:rPr>
                <w:rFonts w:hAnsi="宋体"/>
                <w:color w:val="auto"/>
                <w:szCs w:val="21"/>
                <w:highlight w:val="none"/>
              </w:rPr>
            </w:pPr>
            <w:r>
              <w:rPr>
                <w:rFonts w:hint="eastAsia" w:hAnsi="宋体"/>
                <w:color w:val="auto"/>
                <w:szCs w:val="21"/>
                <w:highlight w:val="none"/>
                <w:lang w:val="en-US" w:eastAsia="zh-CN"/>
              </w:rPr>
              <w:t>8</w:t>
            </w:r>
            <w:r>
              <w:rPr>
                <w:rFonts w:hint="eastAsia" w:hAnsi="宋体"/>
                <w:color w:val="auto"/>
                <w:szCs w:val="21"/>
                <w:highlight w:val="none"/>
              </w:rPr>
              <w:t>、地板：拼花大理石（供货前提供</w:t>
            </w:r>
            <w:r>
              <w:rPr>
                <w:rFonts w:hint="eastAsia" w:hAnsi="宋体"/>
                <w:color w:val="auto"/>
                <w:szCs w:val="21"/>
                <w:highlight w:val="none"/>
                <w:lang w:val="en-US" w:eastAsia="zh-CN"/>
              </w:rPr>
              <w:t>样品</w:t>
            </w:r>
            <w:r>
              <w:rPr>
                <w:rFonts w:hint="eastAsia" w:hAnsi="宋体"/>
                <w:color w:val="auto"/>
                <w:szCs w:val="21"/>
                <w:highlight w:val="none"/>
              </w:rPr>
              <w:t>供采购人选择）</w:t>
            </w:r>
          </w:p>
          <w:p w14:paraId="561F45CB">
            <w:pPr>
              <w:widowControl/>
              <w:shd w:val="clear" w:color="auto" w:fill="auto"/>
              <w:jc w:val="left"/>
              <w:textAlignment w:val="center"/>
              <w:rPr>
                <w:rFonts w:hAnsi="宋体"/>
                <w:color w:val="auto"/>
                <w:szCs w:val="21"/>
                <w:highlight w:val="none"/>
              </w:rPr>
            </w:pPr>
            <w:r>
              <w:rPr>
                <w:rFonts w:hint="eastAsia" w:hAnsi="宋体"/>
                <w:color w:val="auto"/>
                <w:szCs w:val="21"/>
                <w:highlight w:val="none"/>
                <w:lang w:val="en-US" w:eastAsia="zh-CN"/>
              </w:rPr>
              <w:t>9</w:t>
            </w:r>
            <w:r>
              <w:rPr>
                <w:rFonts w:hint="eastAsia" w:hAnsi="宋体"/>
                <w:color w:val="auto"/>
                <w:szCs w:val="21"/>
                <w:highlight w:val="none"/>
              </w:rPr>
              <w:t>、轿顶：中央云石照明板，四周镜面不锈钢吊框。</w:t>
            </w:r>
          </w:p>
          <w:p w14:paraId="3244AAE9">
            <w:pPr>
              <w:widowControl/>
              <w:shd w:val="clear" w:color="auto" w:fill="auto"/>
              <w:ind w:firstLine="315" w:firstLineChars="150"/>
              <w:jc w:val="left"/>
              <w:textAlignment w:val="center"/>
              <w:rPr>
                <w:rFonts w:hAnsi="宋体"/>
                <w:color w:val="auto"/>
                <w:szCs w:val="21"/>
                <w:highlight w:val="none"/>
              </w:rPr>
            </w:pPr>
            <w:r>
              <w:rPr>
                <w:rFonts w:hint="eastAsia" w:hAnsi="宋体"/>
                <w:color w:val="auto"/>
                <w:szCs w:val="21"/>
                <w:highlight w:val="none"/>
              </w:rPr>
              <w:t xml:space="preserve"> (吊顶厚度200mm)</w:t>
            </w:r>
          </w:p>
          <w:p w14:paraId="45D9B0E6">
            <w:pPr>
              <w:widowControl/>
              <w:shd w:val="clear" w:color="auto" w:fill="auto"/>
              <w:jc w:val="left"/>
              <w:textAlignment w:val="center"/>
              <w:rPr>
                <w:rFonts w:hAnsi="宋体"/>
                <w:color w:val="auto"/>
                <w:szCs w:val="21"/>
                <w:highlight w:val="none"/>
              </w:rPr>
            </w:pPr>
            <w:r>
              <w:rPr>
                <w:rFonts w:hint="eastAsia" w:hAnsi="宋体"/>
                <w:color w:val="auto"/>
                <w:szCs w:val="21"/>
                <w:highlight w:val="none"/>
                <w:lang w:val="en-US" w:eastAsia="zh-CN"/>
              </w:rPr>
              <w:t>10</w:t>
            </w:r>
            <w:r>
              <w:rPr>
                <w:rFonts w:hint="eastAsia" w:hAnsi="宋体"/>
                <w:color w:val="auto"/>
                <w:szCs w:val="21"/>
                <w:highlight w:val="none"/>
              </w:rPr>
              <w:t>、轿厢通风系统：吊顶通风采用横流风扇。</w:t>
            </w:r>
          </w:p>
          <w:p w14:paraId="1FA75B16">
            <w:pPr>
              <w:widowControl/>
              <w:jc w:val="left"/>
              <w:textAlignment w:val="center"/>
              <w:rPr>
                <w:rFonts w:hAnsi="宋体"/>
                <w:color w:val="auto"/>
                <w:szCs w:val="21"/>
                <w:highlight w:val="none"/>
              </w:rPr>
            </w:pPr>
            <w:r>
              <w:rPr>
                <w:rFonts w:hint="eastAsia" w:hAnsi="宋体"/>
                <w:color w:val="auto"/>
                <w:szCs w:val="21"/>
                <w:highlight w:val="none"/>
              </w:rPr>
              <w:t>▲注：以上发纹不锈钢厚度≥</w:t>
            </w:r>
            <w:r>
              <w:rPr>
                <w:rFonts w:hAnsi="宋体"/>
                <w:color w:val="auto"/>
                <w:szCs w:val="21"/>
                <w:highlight w:val="none"/>
              </w:rPr>
              <w:t>1.2MM</w:t>
            </w:r>
            <w:r>
              <w:rPr>
                <w:rFonts w:hint="eastAsia" w:hAnsi="宋体"/>
                <w:color w:val="auto"/>
                <w:szCs w:val="21"/>
                <w:highlight w:val="none"/>
              </w:rPr>
              <w:t>，材质为国标</w:t>
            </w:r>
            <w:r>
              <w:rPr>
                <w:rFonts w:hAnsi="宋体"/>
                <w:color w:val="auto"/>
                <w:szCs w:val="21"/>
                <w:highlight w:val="none"/>
              </w:rPr>
              <w:t>304</w:t>
            </w:r>
            <w:r>
              <w:rPr>
                <w:rFonts w:hint="eastAsia" w:hAnsi="宋体"/>
                <w:color w:val="auto"/>
                <w:szCs w:val="21"/>
                <w:highlight w:val="none"/>
              </w:rPr>
              <w:t>实体不锈钢（不接受不锈钢混合包铁产品）</w:t>
            </w:r>
          </w:p>
          <w:p w14:paraId="73827ADC">
            <w:pPr>
              <w:widowControl/>
              <w:jc w:val="left"/>
              <w:textAlignment w:val="center"/>
              <w:rPr>
                <w:rFonts w:hAnsi="宋体"/>
                <w:b/>
                <w:color w:val="auto"/>
                <w:szCs w:val="21"/>
                <w:highlight w:val="none"/>
              </w:rPr>
            </w:pPr>
            <w:r>
              <w:rPr>
                <w:rFonts w:hint="eastAsia" w:hAnsi="宋体"/>
                <w:color w:val="auto"/>
                <w:szCs w:val="21"/>
                <w:highlight w:val="none"/>
              </w:rPr>
              <w:t>▲</w:t>
            </w:r>
            <w:r>
              <w:rPr>
                <w:rFonts w:hint="eastAsia" w:hAnsi="宋体" w:cs="宋体"/>
                <w:b/>
                <w:color w:val="auto"/>
                <w:szCs w:val="21"/>
                <w:highlight w:val="none"/>
              </w:rPr>
              <w:t>五、功能配置</w:t>
            </w:r>
          </w:p>
          <w:p w14:paraId="0DF83E14">
            <w:pPr>
              <w:widowControl/>
              <w:jc w:val="left"/>
              <w:textAlignment w:val="center"/>
              <w:rPr>
                <w:rFonts w:hAnsi="宋体"/>
                <w:color w:val="auto"/>
                <w:szCs w:val="21"/>
                <w:highlight w:val="none"/>
              </w:rPr>
            </w:pPr>
            <w:r>
              <w:rPr>
                <w:rFonts w:hint="eastAsia" w:hAnsi="宋体"/>
                <w:color w:val="auto"/>
                <w:szCs w:val="21"/>
                <w:highlight w:val="none"/>
              </w:rPr>
              <w:t>1、轿内通风装置手动关闭（按钮型）</w:t>
            </w:r>
          </w:p>
          <w:p w14:paraId="51A83004">
            <w:pPr>
              <w:widowControl/>
              <w:jc w:val="left"/>
              <w:textAlignment w:val="center"/>
              <w:rPr>
                <w:rFonts w:hAnsi="宋体"/>
                <w:color w:val="auto"/>
                <w:szCs w:val="21"/>
                <w:highlight w:val="none"/>
              </w:rPr>
            </w:pPr>
            <w:r>
              <w:rPr>
                <w:rFonts w:hint="eastAsia" w:hAnsi="宋体"/>
                <w:color w:val="auto"/>
                <w:szCs w:val="21"/>
                <w:highlight w:val="none"/>
              </w:rPr>
              <w:t>2、轿内照明手动关闭（按钮型）</w:t>
            </w:r>
          </w:p>
          <w:p w14:paraId="60F2E050">
            <w:pPr>
              <w:widowControl/>
              <w:jc w:val="left"/>
              <w:textAlignment w:val="center"/>
              <w:rPr>
                <w:rFonts w:hAnsi="宋体"/>
                <w:color w:val="auto"/>
                <w:szCs w:val="21"/>
                <w:highlight w:val="none"/>
              </w:rPr>
            </w:pPr>
            <w:r>
              <w:rPr>
                <w:rFonts w:hint="eastAsia" w:hAnsi="宋体"/>
                <w:color w:val="auto"/>
                <w:szCs w:val="21"/>
                <w:highlight w:val="none"/>
              </w:rPr>
              <w:t>3、开门保持时间自动调整</w:t>
            </w:r>
          </w:p>
          <w:p w14:paraId="4F72DE80">
            <w:pPr>
              <w:widowControl/>
              <w:jc w:val="left"/>
              <w:textAlignment w:val="center"/>
              <w:rPr>
                <w:rFonts w:hAnsi="宋体"/>
                <w:color w:val="auto"/>
                <w:szCs w:val="21"/>
                <w:highlight w:val="none"/>
              </w:rPr>
            </w:pPr>
            <w:r>
              <w:rPr>
                <w:rFonts w:hint="eastAsia" w:hAnsi="宋体"/>
                <w:color w:val="auto"/>
                <w:szCs w:val="21"/>
                <w:highlight w:val="none"/>
              </w:rPr>
              <w:t>4、运行次数与时间统计</w:t>
            </w:r>
          </w:p>
          <w:p w14:paraId="29333DEE">
            <w:pPr>
              <w:widowControl/>
              <w:jc w:val="left"/>
              <w:textAlignment w:val="center"/>
              <w:rPr>
                <w:rFonts w:hAnsi="宋体"/>
                <w:color w:val="auto"/>
                <w:szCs w:val="21"/>
                <w:highlight w:val="none"/>
              </w:rPr>
            </w:pPr>
            <w:r>
              <w:rPr>
                <w:rFonts w:hint="eastAsia" w:hAnsi="宋体"/>
                <w:color w:val="auto"/>
                <w:szCs w:val="21"/>
                <w:highlight w:val="none"/>
              </w:rPr>
              <w:t>5、电梯受阻失速保护</w:t>
            </w:r>
          </w:p>
          <w:p w14:paraId="703CD89A">
            <w:pPr>
              <w:widowControl/>
              <w:jc w:val="left"/>
              <w:textAlignment w:val="center"/>
              <w:rPr>
                <w:rFonts w:hAnsi="宋体"/>
                <w:color w:val="auto"/>
                <w:szCs w:val="21"/>
                <w:highlight w:val="none"/>
              </w:rPr>
            </w:pPr>
            <w:r>
              <w:rPr>
                <w:rFonts w:hint="eastAsia" w:hAnsi="宋体"/>
                <w:color w:val="auto"/>
                <w:szCs w:val="21"/>
                <w:highlight w:val="none"/>
              </w:rPr>
              <w:t>6、轿厢溜车安全保护</w:t>
            </w:r>
          </w:p>
          <w:p w14:paraId="6080DC07">
            <w:pPr>
              <w:widowControl/>
              <w:jc w:val="left"/>
              <w:textAlignment w:val="center"/>
              <w:rPr>
                <w:rFonts w:hAnsi="宋体"/>
                <w:color w:val="auto"/>
                <w:szCs w:val="21"/>
                <w:highlight w:val="none"/>
              </w:rPr>
            </w:pPr>
            <w:r>
              <w:rPr>
                <w:rFonts w:hint="eastAsia" w:hAnsi="宋体"/>
                <w:color w:val="auto"/>
                <w:szCs w:val="21"/>
                <w:highlight w:val="none"/>
              </w:rPr>
              <w:t>7、电气安全回路保护</w:t>
            </w:r>
          </w:p>
          <w:p w14:paraId="6899D408">
            <w:pPr>
              <w:widowControl/>
              <w:jc w:val="left"/>
              <w:textAlignment w:val="center"/>
              <w:rPr>
                <w:rFonts w:hAnsi="宋体"/>
                <w:color w:val="auto"/>
                <w:szCs w:val="21"/>
                <w:highlight w:val="none"/>
              </w:rPr>
            </w:pPr>
            <w:r>
              <w:rPr>
                <w:rFonts w:hint="eastAsia" w:hAnsi="宋体"/>
                <w:color w:val="auto"/>
                <w:szCs w:val="21"/>
                <w:highlight w:val="none"/>
              </w:rPr>
              <w:t>8、轿厢意外移动保护</w:t>
            </w:r>
          </w:p>
          <w:p w14:paraId="1BCD9F70">
            <w:pPr>
              <w:widowControl/>
              <w:jc w:val="left"/>
              <w:textAlignment w:val="center"/>
              <w:rPr>
                <w:rFonts w:hAnsi="宋体"/>
                <w:color w:val="auto"/>
                <w:szCs w:val="21"/>
                <w:highlight w:val="none"/>
              </w:rPr>
            </w:pPr>
            <w:r>
              <w:rPr>
                <w:rFonts w:hint="eastAsia" w:hAnsi="宋体"/>
                <w:color w:val="auto"/>
                <w:szCs w:val="21"/>
                <w:highlight w:val="none"/>
              </w:rPr>
              <w:t>9、轿厢微机异常处理</w:t>
            </w:r>
          </w:p>
          <w:p w14:paraId="0FA66038">
            <w:pPr>
              <w:widowControl/>
              <w:jc w:val="left"/>
              <w:textAlignment w:val="center"/>
              <w:rPr>
                <w:rFonts w:hAnsi="宋体"/>
                <w:color w:val="auto"/>
                <w:szCs w:val="21"/>
                <w:highlight w:val="none"/>
              </w:rPr>
            </w:pPr>
            <w:r>
              <w:rPr>
                <w:rFonts w:hint="eastAsia" w:hAnsi="宋体"/>
                <w:color w:val="auto"/>
                <w:szCs w:val="21"/>
                <w:highlight w:val="none"/>
              </w:rPr>
              <w:t>10、层站微机异常处理</w:t>
            </w:r>
          </w:p>
          <w:p w14:paraId="19FB234C">
            <w:pPr>
              <w:widowControl/>
              <w:jc w:val="left"/>
              <w:textAlignment w:val="center"/>
              <w:rPr>
                <w:rFonts w:hAnsi="宋体"/>
                <w:color w:val="auto"/>
                <w:szCs w:val="21"/>
                <w:highlight w:val="none"/>
              </w:rPr>
            </w:pPr>
            <w:r>
              <w:rPr>
                <w:rFonts w:hint="eastAsia" w:hAnsi="宋体"/>
                <w:color w:val="auto"/>
                <w:szCs w:val="21"/>
                <w:highlight w:val="none"/>
              </w:rPr>
              <w:t>11、层站运行控制开关</w:t>
            </w:r>
          </w:p>
          <w:p w14:paraId="4B09D596">
            <w:pPr>
              <w:widowControl/>
              <w:jc w:val="left"/>
              <w:textAlignment w:val="center"/>
              <w:rPr>
                <w:rFonts w:hAnsi="宋体"/>
                <w:color w:val="auto"/>
                <w:szCs w:val="21"/>
                <w:highlight w:val="none"/>
              </w:rPr>
            </w:pPr>
            <w:r>
              <w:rPr>
                <w:rFonts w:hint="eastAsia" w:hAnsi="宋体"/>
                <w:color w:val="auto"/>
                <w:szCs w:val="21"/>
                <w:highlight w:val="none"/>
              </w:rPr>
              <w:t>12、制动器冗余保护</w:t>
            </w:r>
          </w:p>
          <w:p w14:paraId="62C89087">
            <w:pPr>
              <w:widowControl/>
              <w:jc w:val="left"/>
              <w:textAlignment w:val="center"/>
              <w:rPr>
                <w:rFonts w:hAnsi="宋体"/>
                <w:color w:val="auto"/>
                <w:szCs w:val="21"/>
                <w:highlight w:val="none"/>
              </w:rPr>
            </w:pPr>
            <w:r>
              <w:rPr>
                <w:rFonts w:hint="eastAsia" w:hAnsi="宋体"/>
                <w:color w:val="auto"/>
                <w:szCs w:val="21"/>
                <w:highlight w:val="none"/>
              </w:rPr>
              <w:t>13、电梯不启动报警</w:t>
            </w:r>
          </w:p>
          <w:p w14:paraId="3F8CB1ED">
            <w:pPr>
              <w:widowControl/>
              <w:jc w:val="left"/>
              <w:textAlignment w:val="center"/>
              <w:rPr>
                <w:rFonts w:hAnsi="宋体"/>
                <w:color w:val="auto"/>
                <w:szCs w:val="21"/>
                <w:highlight w:val="none"/>
              </w:rPr>
            </w:pPr>
            <w:r>
              <w:rPr>
                <w:rFonts w:hint="eastAsia" w:hAnsi="宋体"/>
                <w:color w:val="auto"/>
                <w:szCs w:val="21"/>
                <w:highlight w:val="none"/>
              </w:rPr>
              <w:t>14、门锁旁路运行</w:t>
            </w:r>
          </w:p>
          <w:p w14:paraId="433BBFBD">
            <w:pPr>
              <w:widowControl/>
              <w:jc w:val="left"/>
              <w:textAlignment w:val="center"/>
              <w:rPr>
                <w:rFonts w:hAnsi="宋体"/>
                <w:color w:val="auto"/>
                <w:szCs w:val="21"/>
                <w:highlight w:val="none"/>
              </w:rPr>
            </w:pPr>
            <w:r>
              <w:rPr>
                <w:rFonts w:hint="eastAsia" w:hAnsi="宋体"/>
                <w:color w:val="auto"/>
                <w:szCs w:val="21"/>
                <w:highlight w:val="none"/>
              </w:rPr>
              <w:t>15、门锁短接保护</w:t>
            </w:r>
          </w:p>
          <w:p w14:paraId="7F11033A">
            <w:pPr>
              <w:widowControl/>
              <w:jc w:val="left"/>
              <w:textAlignment w:val="center"/>
              <w:rPr>
                <w:rFonts w:hAnsi="宋体"/>
                <w:color w:val="auto"/>
                <w:szCs w:val="21"/>
                <w:highlight w:val="none"/>
              </w:rPr>
            </w:pPr>
            <w:r>
              <w:rPr>
                <w:rFonts w:hint="eastAsia" w:hAnsi="宋体"/>
                <w:color w:val="auto"/>
                <w:szCs w:val="21"/>
                <w:highlight w:val="none"/>
              </w:rPr>
              <w:t>16、电机过热保护</w:t>
            </w:r>
          </w:p>
          <w:p w14:paraId="2EAEAF1B">
            <w:pPr>
              <w:widowControl/>
              <w:jc w:val="left"/>
              <w:textAlignment w:val="center"/>
              <w:rPr>
                <w:rFonts w:hAnsi="宋体"/>
                <w:color w:val="auto"/>
                <w:szCs w:val="21"/>
                <w:highlight w:val="none"/>
              </w:rPr>
            </w:pPr>
            <w:r>
              <w:rPr>
                <w:rFonts w:hint="eastAsia" w:hAnsi="宋体"/>
                <w:color w:val="auto"/>
                <w:szCs w:val="21"/>
                <w:highlight w:val="none"/>
              </w:rPr>
              <w:t>17、电源故障保护</w:t>
            </w:r>
          </w:p>
          <w:p w14:paraId="323755C3">
            <w:pPr>
              <w:widowControl/>
              <w:jc w:val="left"/>
              <w:textAlignment w:val="center"/>
              <w:rPr>
                <w:rFonts w:hAnsi="宋体"/>
                <w:color w:val="auto"/>
                <w:szCs w:val="21"/>
                <w:highlight w:val="none"/>
              </w:rPr>
            </w:pPr>
            <w:r>
              <w:rPr>
                <w:rFonts w:hint="eastAsia" w:hAnsi="宋体"/>
                <w:color w:val="auto"/>
                <w:szCs w:val="21"/>
                <w:highlight w:val="none"/>
              </w:rPr>
              <w:t>18、终端强制减速</w:t>
            </w:r>
          </w:p>
          <w:p w14:paraId="0941386C">
            <w:pPr>
              <w:widowControl/>
              <w:jc w:val="left"/>
              <w:textAlignment w:val="center"/>
              <w:rPr>
                <w:rFonts w:hAnsi="宋体"/>
                <w:color w:val="auto"/>
                <w:szCs w:val="21"/>
                <w:highlight w:val="none"/>
              </w:rPr>
            </w:pPr>
            <w:r>
              <w:rPr>
                <w:rFonts w:hint="eastAsia" w:hAnsi="宋体"/>
                <w:color w:val="auto"/>
                <w:szCs w:val="21"/>
                <w:highlight w:val="none"/>
              </w:rPr>
              <w:t>19、轿内反向指令消除</w:t>
            </w:r>
          </w:p>
          <w:p w14:paraId="2C46BC3A">
            <w:pPr>
              <w:widowControl/>
              <w:jc w:val="left"/>
              <w:textAlignment w:val="center"/>
              <w:rPr>
                <w:rFonts w:hAnsi="宋体"/>
                <w:color w:val="auto"/>
                <w:szCs w:val="21"/>
                <w:highlight w:val="none"/>
              </w:rPr>
            </w:pPr>
            <w:r>
              <w:rPr>
                <w:rFonts w:hint="eastAsia" w:hAnsi="宋体"/>
                <w:color w:val="auto"/>
                <w:szCs w:val="21"/>
                <w:highlight w:val="none"/>
              </w:rPr>
              <w:t>20、轿厢应急照明</w:t>
            </w:r>
          </w:p>
          <w:p w14:paraId="21C6EF32">
            <w:pPr>
              <w:widowControl/>
              <w:jc w:val="left"/>
              <w:textAlignment w:val="center"/>
              <w:rPr>
                <w:rFonts w:hAnsi="宋体"/>
                <w:color w:val="auto"/>
                <w:szCs w:val="21"/>
                <w:highlight w:val="none"/>
              </w:rPr>
            </w:pPr>
            <w:r>
              <w:rPr>
                <w:rFonts w:hint="eastAsia" w:hAnsi="宋体"/>
                <w:color w:val="auto"/>
                <w:szCs w:val="21"/>
                <w:highlight w:val="none"/>
              </w:rPr>
              <w:t>21、开门受阻控制</w:t>
            </w:r>
          </w:p>
          <w:p w14:paraId="0D85E0DD">
            <w:pPr>
              <w:widowControl/>
              <w:jc w:val="left"/>
              <w:textAlignment w:val="center"/>
              <w:rPr>
                <w:rFonts w:hAnsi="宋体"/>
                <w:color w:val="auto"/>
                <w:szCs w:val="21"/>
                <w:highlight w:val="none"/>
              </w:rPr>
            </w:pPr>
            <w:r>
              <w:rPr>
                <w:rFonts w:hint="eastAsia" w:hAnsi="宋体"/>
                <w:color w:val="auto"/>
                <w:szCs w:val="21"/>
                <w:highlight w:val="none"/>
              </w:rPr>
              <w:t>22、关门力矩控制</w:t>
            </w:r>
          </w:p>
          <w:p w14:paraId="388DEAF8">
            <w:pPr>
              <w:widowControl/>
              <w:jc w:val="left"/>
              <w:textAlignment w:val="center"/>
              <w:rPr>
                <w:rFonts w:hAnsi="宋体"/>
                <w:color w:val="auto"/>
                <w:szCs w:val="21"/>
                <w:highlight w:val="none"/>
              </w:rPr>
            </w:pPr>
            <w:r>
              <w:rPr>
                <w:rFonts w:hint="eastAsia" w:hAnsi="宋体"/>
                <w:color w:val="auto"/>
                <w:szCs w:val="21"/>
                <w:highlight w:val="none"/>
              </w:rPr>
              <w:t>23、层高自测定</w:t>
            </w:r>
          </w:p>
          <w:p w14:paraId="4D6C510C">
            <w:pPr>
              <w:widowControl/>
              <w:jc w:val="left"/>
              <w:textAlignment w:val="center"/>
              <w:rPr>
                <w:rFonts w:hAnsi="宋体"/>
                <w:color w:val="auto"/>
                <w:szCs w:val="21"/>
                <w:highlight w:val="none"/>
              </w:rPr>
            </w:pPr>
            <w:r>
              <w:rPr>
                <w:rFonts w:hint="eastAsia" w:hAnsi="宋体"/>
                <w:color w:val="auto"/>
                <w:szCs w:val="21"/>
                <w:highlight w:val="none"/>
              </w:rPr>
              <w:t>24、过电流保护</w:t>
            </w:r>
          </w:p>
          <w:p w14:paraId="2D552BA0">
            <w:pPr>
              <w:widowControl/>
              <w:jc w:val="left"/>
              <w:textAlignment w:val="center"/>
              <w:rPr>
                <w:rFonts w:hAnsi="宋体"/>
                <w:color w:val="auto"/>
                <w:szCs w:val="21"/>
                <w:highlight w:val="none"/>
              </w:rPr>
            </w:pPr>
            <w:r>
              <w:rPr>
                <w:rFonts w:hint="eastAsia" w:hAnsi="宋体"/>
                <w:color w:val="auto"/>
                <w:szCs w:val="21"/>
                <w:highlight w:val="none"/>
              </w:rPr>
              <w:t>25、过电压保护</w:t>
            </w:r>
          </w:p>
          <w:p w14:paraId="2D144D04">
            <w:pPr>
              <w:widowControl/>
              <w:jc w:val="left"/>
              <w:textAlignment w:val="center"/>
              <w:rPr>
                <w:rFonts w:hAnsi="宋体"/>
                <w:color w:val="auto"/>
                <w:szCs w:val="21"/>
                <w:highlight w:val="none"/>
              </w:rPr>
            </w:pPr>
            <w:r>
              <w:rPr>
                <w:rFonts w:hint="eastAsia" w:hAnsi="宋体"/>
                <w:color w:val="auto"/>
                <w:szCs w:val="21"/>
                <w:highlight w:val="none"/>
              </w:rPr>
              <w:t>26、上电再平层</w:t>
            </w:r>
          </w:p>
          <w:p w14:paraId="5B08E7D3">
            <w:pPr>
              <w:widowControl/>
              <w:jc w:val="left"/>
              <w:textAlignment w:val="center"/>
              <w:rPr>
                <w:rFonts w:hAnsi="宋体"/>
                <w:color w:val="auto"/>
                <w:szCs w:val="21"/>
                <w:highlight w:val="none"/>
              </w:rPr>
            </w:pPr>
            <w:r>
              <w:rPr>
                <w:rFonts w:hint="eastAsia" w:hAnsi="宋体"/>
                <w:color w:val="auto"/>
                <w:szCs w:val="21"/>
                <w:highlight w:val="none"/>
              </w:rPr>
              <w:t>27、选层器修正</w:t>
            </w:r>
          </w:p>
          <w:p w14:paraId="55267171">
            <w:pPr>
              <w:widowControl/>
              <w:jc w:val="left"/>
              <w:textAlignment w:val="center"/>
              <w:rPr>
                <w:rFonts w:hAnsi="宋体"/>
                <w:color w:val="auto"/>
                <w:szCs w:val="21"/>
                <w:highlight w:val="none"/>
              </w:rPr>
            </w:pPr>
            <w:r>
              <w:rPr>
                <w:rFonts w:hint="eastAsia" w:hAnsi="宋体"/>
                <w:color w:val="auto"/>
                <w:szCs w:val="21"/>
                <w:highlight w:val="none"/>
              </w:rPr>
              <w:t>28、过低速保护</w:t>
            </w:r>
          </w:p>
          <w:p w14:paraId="04BE3B5C">
            <w:pPr>
              <w:widowControl/>
              <w:jc w:val="left"/>
              <w:textAlignment w:val="center"/>
              <w:rPr>
                <w:rFonts w:hAnsi="宋体"/>
                <w:color w:val="auto"/>
                <w:szCs w:val="21"/>
                <w:highlight w:val="none"/>
              </w:rPr>
            </w:pPr>
            <w:r>
              <w:rPr>
                <w:rFonts w:hint="eastAsia" w:hAnsi="宋体"/>
                <w:color w:val="auto"/>
                <w:szCs w:val="21"/>
                <w:highlight w:val="none"/>
              </w:rPr>
              <w:t>29、故障自诊断</w:t>
            </w:r>
          </w:p>
          <w:p w14:paraId="15F0329C">
            <w:pPr>
              <w:widowControl/>
              <w:jc w:val="left"/>
              <w:textAlignment w:val="center"/>
              <w:rPr>
                <w:rFonts w:hAnsi="宋体"/>
                <w:color w:val="auto"/>
                <w:szCs w:val="21"/>
                <w:highlight w:val="none"/>
              </w:rPr>
            </w:pPr>
            <w:r>
              <w:rPr>
                <w:rFonts w:hint="eastAsia" w:hAnsi="宋体"/>
                <w:color w:val="auto"/>
                <w:szCs w:val="21"/>
                <w:highlight w:val="none"/>
              </w:rPr>
              <w:t>30、换向重开门</w:t>
            </w:r>
          </w:p>
          <w:p w14:paraId="2B0906F1">
            <w:pPr>
              <w:widowControl/>
              <w:jc w:val="left"/>
              <w:textAlignment w:val="center"/>
              <w:rPr>
                <w:rFonts w:hAnsi="宋体"/>
                <w:color w:val="auto"/>
                <w:szCs w:val="21"/>
                <w:highlight w:val="none"/>
              </w:rPr>
            </w:pPr>
            <w:r>
              <w:rPr>
                <w:rFonts w:hint="eastAsia" w:hAnsi="宋体"/>
                <w:color w:val="auto"/>
                <w:szCs w:val="21"/>
                <w:highlight w:val="none"/>
              </w:rPr>
              <w:t>31、门负载检测</w:t>
            </w:r>
          </w:p>
          <w:p w14:paraId="3D787532">
            <w:pPr>
              <w:widowControl/>
              <w:jc w:val="left"/>
              <w:textAlignment w:val="center"/>
              <w:rPr>
                <w:rFonts w:hAnsi="宋体"/>
                <w:color w:val="auto"/>
                <w:szCs w:val="21"/>
                <w:highlight w:val="none"/>
              </w:rPr>
            </w:pPr>
            <w:r>
              <w:rPr>
                <w:rFonts w:hint="eastAsia" w:hAnsi="宋体"/>
                <w:color w:val="auto"/>
                <w:szCs w:val="21"/>
                <w:highlight w:val="none"/>
              </w:rPr>
              <w:t>32、本层再开门</w:t>
            </w:r>
          </w:p>
          <w:p w14:paraId="27B493B4">
            <w:pPr>
              <w:widowControl/>
              <w:jc w:val="left"/>
              <w:textAlignment w:val="center"/>
              <w:rPr>
                <w:rFonts w:hAnsi="宋体"/>
                <w:color w:val="auto"/>
                <w:szCs w:val="21"/>
                <w:highlight w:val="none"/>
              </w:rPr>
            </w:pPr>
            <w:r>
              <w:rPr>
                <w:rFonts w:hint="eastAsia" w:hAnsi="宋体"/>
                <w:color w:val="auto"/>
                <w:szCs w:val="21"/>
                <w:highlight w:val="none"/>
              </w:rPr>
              <w:t>33、检修操作</w:t>
            </w:r>
          </w:p>
          <w:p w14:paraId="52A38CB3">
            <w:pPr>
              <w:widowControl/>
              <w:jc w:val="left"/>
              <w:textAlignment w:val="center"/>
              <w:rPr>
                <w:rFonts w:hAnsi="宋体"/>
                <w:color w:val="auto"/>
                <w:szCs w:val="21"/>
                <w:highlight w:val="none"/>
              </w:rPr>
            </w:pPr>
            <w:r>
              <w:rPr>
                <w:rFonts w:hint="eastAsia" w:hAnsi="宋体"/>
                <w:color w:val="auto"/>
                <w:szCs w:val="21"/>
                <w:highlight w:val="none"/>
              </w:rPr>
              <w:t>34、超速保护</w:t>
            </w:r>
          </w:p>
          <w:p w14:paraId="2A9D4CB3">
            <w:pPr>
              <w:widowControl/>
              <w:jc w:val="left"/>
              <w:textAlignment w:val="center"/>
              <w:rPr>
                <w:rFonts w:hAnsi="宋体"/>
                <w:color w:val="auto"/>
                <w:szCs w:val="21"/>
                <w:highlight w:val="none"/>
              </w:rPr>
            </w:pPr>
            <w:r>
              <w:rPr>
                <w:rFonts w:hint="eastAsia" w:hAnsi="宋体"/>
                <w:color w:val="auto"/>
                <w:szCs w:val="21"/>
                <w:highlight w:val="none"/>
              </w:rPr>
              <w:t>35、逆行保护</w:t>
            </w:r>
          </w:p>
          <w:p w14:paraId="7BF2DADA">
            <w:pPr>
              <w:widowControl/>
              <w:jc w:val="left"/>
              <w:textAlignment w:val="center"/>
              <w:rPr>
                <w:rFonts w:hAnsi="宋体"/>
                <w:color w:val="auto"/>
                <w:szCs w:val="21"/>
                <w:highlight w:val="none"/>
              </w:rPr>
            </w:pPr>
            <w:r>
              <w:rPr>
                <w:rFonts w:hint="eastAsia" w:hAnsi="宋体"/>
                <w:color w:val="auto"/>
                <w:szCs w:val="21"/>
                <w:highlight w:val="none"/>
              </w:rPr>
              <w:t>36、安全停靠</w:t>
            </w:r>
          </w:p>
          <w:p w14:paraId="44BEB2BF">
            <w:pPr>
              <w:widowControl/>
              <w:jc w:val="left"/>
              <w:textAlignment w:val="center"/>
              <w:rPr>
                <w:rFonts w:hAnsi="宋体"/>
                <w:color w:val="auto"/>
                <w:szCs w:val="21"/>
                <w:highlight w:val="none"/>
              </w:rPr>
            </w:pPr>
            <w:r>
              <w:rPr>
                <w:rFonts w:hint="eastAsia" w:hAnsi="宋体"/>
                <w:color w:val="auto"/>
                <w:szCs w:val="21"/>
                <w:highlight w:val="none"/>
              </w:rPr>
              <w:t>37、停层开门</w:t>
            </w:r>
          </w:p>
          <w:p w14:paraId="3B39E76E">
            <w:pPr>
              <w:widowControl/>
              <w:jc w:val="left"/>
              <w:textAlignment w:val="center"/>
              <w:rPr>
                <w:rFonts w:hAnsi="宋体"/>
                <w:color w:val="auto"/>
                <w:szCs w:val="21"/>
                <w:highlight w:val="none"/>
              </w:rPr>
            </w:pPr>
            <w:r>
              <w:rPr>
                <w:rFonts w:hint="eastAsia" w:hAnsi="宋体"/>
                <w:color w:val="auto"/>
                <w:szCs w:val="21"/>
                <w:highlight w:val="none"/>
              </w:rPr>
              <w:t>38、连续服务</w:t>
            </w:r>
          </w:p>
          <w:p w14:paraId="24996F14">
            <w:pPr>
              <w:widowControl/>
              <w:jc w:val="left"/>
              <w:textAlignment w:val="center"/>
              <w:rPr>
                <w:rFonts w:hAnsi="宋体"/>
                <w:color w:val="auto"/>
                <w:szCs w:val="21"/>
                <w:highlight w:val="none"/>
              </w:rPr>
            </w:pPr>
            <w:r>
              <w:rPr>
                <w:rFonts w:hint="eastAsia" w:hAnsi="宋体"/>
                <w:color w:val="auto"/>
                <w:szCs w:val="21"/>
                <w:highlight w:val="none"/>
              </w:rPr>
              <w:t>39、独立运行</w:t>
            </w:r>
          </w:p>
          <w:p w14:paraId="6E6BE9A6">
            <w:pPr>
              <w:widowControl/>
              <w:jc w:val="left"/>
              <w:textAlignment w:val="center"/>
              <w:rPr>
                <w:rFonts w:hAnsi="宋体"/>
                <w:color w:val="auto"/>
                <w:szCs w:val="21"/>
                <w:highlight w:val="none"/>
              </w:rPr>
            </w:pPr>
            <w:r>
              <w:rPr>
                <w:rFonts w:hint="eastAsia" w:hAnsi="宋体"/>
                <w:color w:val="auto"/>
                <w:szCs w:val="21"/>
                <w:highlight w:val="none"/>
              </w:rPr>
              <w:t>40、次层停靠</w:t>
            </w:r>
          </w:p>
          <w:p w14:paraId="7276E633">
            <w:pPr>
              <w:widowControl/>
              <w:jc w:val="left"/>
              <w:textAlignment w:val="center"/>
              <w:rPr>
                <w:rFonts w:hAnsi="宋体"/>
                <w:color w:val="auto"/>
                <w:szCs w:val="21"/>
                <w:highlight w:val="none"/>
              </w:rPr>
            </w:pPr>
            <w:r>
              <w:rPr>
                <w:rFonts w:hint="eastAsia" w:hAnsi="宋体"/>
                <w:color w:val="auto"/>
                <w:szCs w:val="21"/>
                <w:highlight w:val="none"/>
              </w:rPr>
              <w:t>41、超载报警</w:t>
            </w:r>
          </w:p>
          <w:p w14:paraId="5B3DC018">
            <w:pPr>
              <w:widowControl/>
              <w:jc w:val="left"/>
              <w:textAlignment w:val="center"/>
              <w:rPr>
                <w:rFonts w:hAnsi="宋体"/>
                <w:color w:val="auto"/>
                <w:szCs w:val="21"/>
                <w:highlight w:val="none"/>
              </w:rPr>
            </w:pPr>
            <w:r>
              <w:rPr>
                <w:rFonts w:hint="eastAsia" w:hAnsi="宋体"/>
                <w:color w:val="auto"/>
                <w:szCs w:val="21"/>
                <w:highlight w:val="none"/>
              </w:rPr>
              <w:t>42、轿内报警</w:t>
            </w:r>
          </w:p>
          <w:p w14:paraId="381287AE">
            <w:pPr>
              <w:widowControl/>
              <w:jc w:val="left"/>
              <w:textAlignment w:val="center"/>
              <w:rPr>
                <w:rFonts w:hAnsi="宋体"/>
                <w:color w:val="auto"/>
                <w:szCs w:val="21"/>
                <w:highlight w:val="none"/>
              </w:rPr>
            </w:pPr>
            <w:r>
              <w:rPr>
                <w:rFonts w:hint="eastAsia" w:hAnsi="宋体"/>
                <w:color w:val="auto"/>
                <w:szCs w:val="21"/>
                <w:highlight w:val="none"/>
              </w:rPr>
              <w:t>43、关门保护</w:t>
            </w:r>
          </w:p>
          <w:p w14:paraId="034A20E7">
            <w:pPr>
              <w:widowControl/>
              <w:jc w:val="left"/>
              <w:textAlignment w:val="center"/>
              <w:rPr>
                <w:rFonts w:hAnsi="宋体"/>
                <w:color w:val="auto"/>
                <w:szCs w:val="21"/>
                <w:highlight w:val="none"/>
              </w:rPr>
            </w:pPr>
            <w:r>
              <w:rPr>
                <w:rFonts w:hint="eastAsia" w:hAnsi="宋体"/>
                <w:color w:val="auto"/>
                <w:szCs w:val="21"/>
                <w:highlight w:val="none"/>
              </w:rPr>
              <w:t>44、即时关门</w:t>
            </w:r>
          </w:p>
          <w:p w14:paraId="0659A3B3">
            <w:pPr>
              <w:widowControl/>
              <w:jc w:val="left"/>
              <w:textAlignment w:val="center"/>
              <w:rPr>
                <w:rFonts w:hAnsi="宋体"/>
                <w:color w:val="auto"/>
                <w:szCs w:val="21"/>
                <w:highlight w:val="none"/>
              </w:rPr>
            </w:pPr>
            <w:r>
              <w:rPr>
                <w:rFonts w:hint="eastAsia" w:hAnsi="宋体"/>
                <w:color w:val="auto"/>
                <w:szCs w:val="21"/>
                <w:highlight w:val="none"/>
              </w:rPr>
              <w:t>45、重复关门</w:t>
            </w:r>
          </w:p>
          <w:p w14:paraId="4A3CF156">
            <w:pPr>
              <w:widowControl/>
              <w:jc w:val="left"/>
              <w:textAlignment w:val="center"/>
              <w:rPr>
                <w:rFonts w:hAnsi="宋体"/>
                <w:color w:val="auto"/>
                <w:szCs w:val="21"/>
                <w:highlight w:val="none"/>
              </w:rPr>
            </w:pPr>
            <w:r>
              <w:rPr>
                <w:rFonts w:hint="eastAsia" w:hAnsi="宋体"/>
                <w:color w:val="auto"/>
                <w:szCs w:val="21"/>
                <w:highlight w:val="none"/>
              </w:rPr>
              <w:t>46、多方通话装置</w:t>
            </w:r>
          </w:p>
          <w:p w14:paraId="4087BECA">
            <w:pPr>
              <w:widowControl/>
              <w:jc w:val="left"/>
              <w:textAlignment w:val="center"/>
              <w:rPr>
                <w:rFonts w:hAnsi="宋体"/>
                <w:color w:val="auto"/>
                <w:szCs w:val="21"/>
                <w:highlight w:val="none"/>
              </w:rPr>
            </w:pPr>
            <w:r>
              <w:rPr>
                <w:rFonts w:hint="eastAsia" w:hAnsi="宋体"/>
                <w:color w:val="auto"/>
                <w:szCs w:val="21"/>
                <w:highlight w:val="none"/>
              </w:rPr>
              <w:t>47、自动再平层</w:t>
            </w:r>
          </w:p>
          <w:p w14:paraId="026EBB56">
            <w:pPr>
              <w:widowControl/>
              <w:jc w:val="left"/>
              <w:textAlignment w:val="center"/>
              <w:rPr>
                <w:rFonts w:hAnsi="宋体"/>
                <w:color w:val="auto"/>
                <w:szCs w:val="21"/>
                <w:highlight w:val="none"/>
              </w:rPr>
            </w:pPr>
            <w:r>
              <w:rPr>
                <w:rFonts w:hint="eastAsia" w:hAnsi="宋体"/>
                <w:color w:val="auto"/>
                <w:szCs w:val="21"/>
                <w:highlight w:val="none"/>
              </w:rPr>
              <w:t>48、光幕安全触板</w:t>
            </w:r>
          </w:p>
          <w:p w14:paraId="7D67D1D7">
            <w:pPr>
              <w:widowControl/>
              <w:jc w:val="left"/>
              <w:textAlignment w:val="center"/>
              <w:rPr>
                <w:rFonts w:hAnsi="宋体"/>
                <w:color w:val="auto"/>
                <w:szCs w:val="21"/>
                <w:highlight w:val="none"/>
              </w:rPr>
            </w:pPr>
            <w:r>
              <w:rPr>
                <w:rFonts w:hint="eastAsia" w:hAnsi="宋体"/>
                <w:color w:val="auto"/>
                <w:szCs w:val="21"/>
                <w:highlight w:val="none"/>
              </w:rPr>
              <w:t>49、轿内通风装置自动关闭</w:t>
            </w:r>
          </w:p>
          <w:p w14:paraId="5296236D">
            <w:pPr>
              <w:widowControl/>
              <w:jc w:val="left"/>
              <w:textAlignment w:val="center"/>
              <w:rPr>
                <w:rFonts w:hAnsi="宋体"/>
                <w:color w:val="auto"/>
                <w:szCs w:val="21"/>
                <w:highlight w:val="none"/>
              </w:rPr>
            </w:pPr>
            <w:r>
              <w:rPr>
                <w:rFonts w:hint="eastAsia" w:hAnsi="宋体"/>
                <w:color w:val="auto"/>
                <w:szCs w:val="21"/>
                <w:highlight w:val="none"/>
              </w:rPr>
              <w:t>50、轿内照明自动关闭</w:t>
            </w:r>
          </w:p>
          <w:p w14:paraId="53279C6A">
            <w:pPr>
              <w:widowControl/>
              <w:jc w:val="left"/>
              <w:textAlignment w:val="center"/>
              <w:rPr>
                <w:rFonts w:hAnsi="宋体"/>
                <w:color w:val="auto"/>
                <w:szCs w:val="21"/>
                <w:highlight w:val="none"/>
              </w:rPr>
            </w:pPr>
            <w:r>
              <w:rPr>
                <w:rFonts w:hint="eastAsia" w:hAnsi="宋体"/>
                <w:color w:val="auto"/>
                <w:szCs w:val="21"/>
                <w:highlight w:val="none"/>
              </w:rPr>
              <w:t>51、响铃强制关门</w:t>
            </w:r>
          </w:p>
          <w:p w14:paraId="53E07E26">
            <w:pPr>
              <w:widowControl/>
              <w:jc w:val="left"/>
              <w:textAlignment w:val="center"/>
              <w:rPr>
                <w:rFonts w:hAnsi="宋体"/>
                <w:color w:val="auto"/>
                <w:szCs w:val="21"/>
                <w:highlight w:val="none"/>
              </w:rPr>
            </w:pPr>
            <w:r>
              <w:rPr>
                <w:rFonts w:hint="eastAsia" w:hAnsi="宋体"/>
                <w:color w:val="auto"/>
                <w:szCs w:val="21"/>
                <w:highlight w:val="none"/>
              </w:rPr>
              <w:t>52、轿内超载指示</w:t>
            </w:r>
          </w:p>
          <w:p w14:paraId="14FEBE7D">
            <w:pPr>
              <w:widowControl/>
              <w:jc w:val="left"/>
              <w:textAlignment w:val="center"/>
              <w:rPr>
                <w:rFonts w:hAnsi="宋体"/>
                <w:color w:val="auto"/>
                <w:szCs w:val="21"/>
                <w:highlight w:val="none"/>
              </w:rPr>
            </w:pPr>
            <w:r>
              <w:rPr>
                <w:rFonts w:hint="eastAsia" w:hAnsi="宋体"/>
                <w:color w:val="auto"/>
                <w:szCs w:val="21"/>
                <w:highlight w:val="none"/>
              </w:rPr>
              <w:t>53、满员自动通过</w:t>
            </w:r>
          </w:p>
          <w:p w14:paraId="2112F48D">
            <w:pPr>
              <w:widowControl/>
              <w:jc w:val="left"/>
              <w:textAlignment w:val="center"/>
              <w:rPr>
                <w:rFonts w:hAnsi="宋体"/>
                <w:color w:val="auto"/>
                <w:szCs w:val="21"/>
                <w:highlight w:val="none"/>
              </w:rPr>
            </w:pPr>
            <w:r>
              <w:rPr>
                <w:rFonts w:hint="eastAsia" w:hAnsi="宋体"/>
                <w:color w:val="auto"/>
                <w:szCs w:val="21"/>
                <w:highlight w:val="none"/>
              </w:rPr>
              <w:t>54、轿内误指令自动消除</w:t>
            </w:r>
          </w:p>
          <w:p w14:paraId="06892A6B">
            <w:pPr>
              <w:widowControl/>
              <w:jc w:val="left"/>
              <w:textAlignment w:val="center"/>
              <w:rPr>
                <w:rFonts w:hAnsi="宋体"/>
                <w:color w:val="auto"/>
                <w:szCs w:val="21"/>
                <w:highlight w:val="none"/>
              </w:rPr>
            </w:pPr>
            <w:r>
              <w:rPr>
                <w:rFonts w:hint="eastAsia" w:hAnsi="宋体"/>
                <w:color w:val="auto"/>
                <w:szCs w:val="21"/>
                <w:highlight w:val="none"/>
              </w:rPr>
              <w:t>55、轿内误指令人工消除(轿内按钮型)</w:t>
            </w:r>
          </w:p>
          <w:p w14:paraId="41D70DF4">
            <w:pPr>
              <w:widowControl/>
              <w:jc w:val="left"/>
              <w:textAlignment w:val="center"/>
              <w:rPr>
                <w:rFonts w:hAnsi="宋体"/>
                <w:color w:val="auto"/>
                <w:szCs w:val="21"/>
                <w:highlight w:val="none"/>
              </w:rPr>
            </w:pPr>
            <w:r>
              <w:rPr>
                <w:rFonts w:hint="eastAsia" w:hAnsi="宋体"/>
                <w:color w:val="auto"/>
                <w:szCs w:val="21"/>
                <w:highlight w:val="none"/>
              </w:rPr>
              <w:t>56、消防功能</w:t>
            </w:r>
          </w:p>
          <w:p w14:paraId="415C1EB2">
            <w:pPr>
              <w:widowControl/>
              <w:jc w:val="left"/>
              <w:textAlignment w:val="center"/>
              <w:rPr>
                <w:rFonts w:hAnsi="宋体"/>
                <w:color w:val="auto"/>
                <w:szCs w:val="21"/>
                <w:highlight w:val="none"/>
              </w:rPr>
            </w:pPr>
            <w:r>
              <w:rPr>
                <w:rFonts w:hAnsi="宋体"/>
                <w:color w:val="auto"/>
                <w:szCs w:val="21"/>
                <w:highlight w:val="none"/>
              </w:rPr>
              <w:t>5</w:t>
            </w:r>
            <w:r>
              <w:rPr>
                <w:rFonts w:hint="eastAsia" w:hAnsi="宋体"/>
                <w:color w:val="auto"/>
                <w:szCs w:val="21"/>
                <w:highlight w:val="none"/>
              </w:rPr>
              <w:t>7</w:t>
            </w:r>
            <w:r>
              <w:rPr>
                <w:rFonts w:hint="eastAsia" w:hAnsi="宋体" w:cs="宋体"/>
                <w:color w:val="auto"/>
                <w:szCs w:val="21"/>
                <w:highlight w:val="none"/>
              </w:rPr>
              <w:t>、停电自动平层功能</w:t>
            </w:r>
          </w:p>
          <w:p w14:paraId="7D1D4EAD">
            <w:pPr>
              <w:widowControl/>
              <w:jc w:val="left"/>
              <w:textAlignment w:val="center"/>
              <w:rPr>
                <w:rFonts w:hAnsi="宋体"/>
                <w:color w:val="auto"/>
                <w:szCs w:val="21"/>
                <w:highlight w:val="none"/>
              </w:rPr>
            </w:pPr>
            <w:r>
              <w:rPr>
                <w:rFonts w:hAnsi="宋体"/>
                <w:color w:val="auto"/>
                <w:szCs w:val="21"/>
                <w:highlight w:val="none"/>
              </w:rPr>
              <w:t>5</w:t>
            </w:r>
            <w:r>
              <w:rPr>
                <w:rFonts w:hint="eastAsia" w:hAnsi="宋体"/>
                <w:color w:val="auto"/>
                <w:szCs w:val="21"/>
                <w:highlight w:val="none"/>
              </w:rPr>
              <w:t>8</w:t>
            </w:r>
            <w:r>
              <w:rPr>
                <w:rFonts w:hint="eastAsia" w:hAnsi="宋体" w:cs="宋体"/>
                <w:color w:val="auto"/>
                <w:szCs w:val="21"/>
                <w:highlight w:val="none"/>
              </w:rPr>
              <w:t>、KT2-KT3号梯：具备并联功能</w:t>
            </w:r>
          </w:p>
          <w:p w14:paraId="27B79FC3">
            <w:pPr>
              <w:widowControl/>
              <w:jc w:val="left"/>
              <w:textAlignment w:val="center"/>
              <w:rPr>
                <w:rFonts w:hAnsi="宋体"/>
                <w:color w:val="auto"/>
                <w:szCs w:val="21"/>
                <w:highlight w:val="none"/>
              </w:rPr>
            </w:pPr>
            <w:r>
              <w:rPr>
                <w:rFonts w:hint="eastAsia" w:hAnsi="宋体"/>
                <w:color w:val="auto"/>
                <w:szCs w:val="21"/>
                <w:highlight w:val="none"/>
              </w:rPr>
              <w:t>59</w:t>
            </w:r>
            <w:r>
              <w:rPr>
                <w:rFonts w:hint="eastAsia" w:hAnsi="宋体" w:cs="宋体"/>
                <w:color w:val="auto"/>
                <w:szCs w:val="21"/>
                <w:highlight w:val="none"/>
              </w:rPr>
              <w:t>、（KT1号梯配）：残疾人操纵箱</w:t>
            </w:r>
          </w:p>
          <w:p w14:paraId="4B9D24EA">
            <w:pPr>
              <w:widowControl/>
              <w:jc w:val="left"/>
              <w:textAlignment w:val="center"/>
              <w:rPr>
                <w:rFonts w:hAnsi="宋体"/>
                <w:color w:val="auto"/>
                <w:szCs w:val="21"/>
                <w:highlight w:val="none"/>
              </w:rPr>
            </w:pPr>
            <w:r>
              <w:rPr>
                <w:rFonts w:hAnsi="宋体"/>
                <w:color w:val="auto"/>
                <w:szCs w:val="21"/>
                <w:highlight w:val="none"/>
              </w:rPr>
              <w:t>6</w:t>
            </w:r>
            <w:r>
              <w:rPr>
                <w:rFonts w:hint="eastAsia" w:hAnsi="宋体"/>
                <w:color w:val="auto"/>
                <w:szCs w:val="21"/>
                <w:highlight w:val="none"/>
              </w:rPr>
              <w:t>0、</w:t>
            </w:r>
            <w:r>
              <w:rPr>
                <w:rFonts w:hint="eastAsia" w:hAnsi="宋体" w:cs="宋体"/>
                <w:color w:val="auto"/>
                <w:szCs w:val="21"/>
                <w:highlight w:val="none"/>
              </w:rPr>
              <w:t>（KT1号梯配）：</w:t>
            </w:r>
            <w:r>
              <w:rPr>
                <w:rFonts w:hint="eastAsia" w:hAnsi="宋体"/>
                <w:color w:val="auto"/>
                <w:szCs w:val="21"/>
                <w:highlight w:val="none"/>
              </w:rPr>
              <w:t>语音报站</w:t>
            </w:r>
          </w:p>
          <w:p w14:paraId="7D49EDE9">
            <w:pPr>
              <w:widowControl/>
              <w:jc w:val="left"/>
              <w:textAlignment w:val="center"/>
              <w:rPr>
                <w:rFonts w:hAnsi="宋体" w:cs="宋体"/>
                <w:color w:val="auto"/>
                <w:szCs w:val="21"/>
                <w:highlight w:val="none"/>
              </w:rPr>
            </w:pPr>
            <w:r>
              <w:rPr>
                <w:rFonts w:hAnsi="宋体"/>
                <w:color w:val="auto"/>
                <w:szCs w:val="21"/>
                <w:highlight w:val="none"/>
              </w:rPr>
              <w:t>6</w:t>
            </w:r>
            <w:r>
              <w:rPr>
                <w:rFonts w:hint="eastAsia" w:hAnsi="宋体"/>
                <w:color w:val="auto"/>
                <w:szCs w:val="21"/>
                <w:highlight w:val="none"/>
              </w:rPr>
              <w:t>1</w:t>
            </w:r>
            <w:r>
              <w:rPr>
                <w:rFonts w:hint="eastAsia" w:hAnsi="宋体" w:cs="宋体"/>
                <w:color w:val="auto"/>
                <w:szCs w:val="21"/>
                <w:highlight w:val="none"/>
              </w:rPr>
              <w:t xml:space="preserve">、其他：电梯应预留视频监控所需的电源和信号线路，相关布线由中标人负责并配合我校完成电梯视频监控安装等相关工程。 </w:t>
            </w:r>
          </w:p>
          <w:p w14:paraId="0D1E5B26">
            <w:pPr>
              <w:widowControl/>
              <w:jc w:val="left"/>
              <w:textAlignment w:val="center"/>
              <w:rPr>
                <w:rFonts w:hAnsi="宋体"/>
                <w:b/>
                <w:color w:val="auto"/>
                <w:szCs w:val="21"/>
                <w:highlight w:val="none"/>
              </w:rPr>
            </w:pPr>
            <w:r>
              <w:rPr>
                <w:rFonts w:hint="eastAsia" w:hAnsi="宋体"/>
                <w:b/>
                <w:color w:val="auto"/>
                <w:szCs w:val="21"/>
                <w:highlight w:val="none"/>
              </w:rPr>
              <w:t>六、附属工程</w:t>
            </w:r>
          </w:p>
          <w:p w14:paraId="27C4841D">
            <w:pPr>
              <w:widowControl/>
              <w:jc w:val="left"/>
              <w:textAlignment w:val="center"/>
              <w:rPr>
                <w:rFonts w:hAnsi="宋体"/>
                <w:color w:val="auto"/>
                <w:szCs w:val="21"/>
                <w:highlight w:val="none"/>
              </w:rPr>
            </w:pPr>
            <w:r>
              <w:rPr>
                <w:rFonts w:hAnsi="宋体"/>
                <w:color w:val="auto"/>
                <w:szCs w:val="21"/>
                <w:highlight w:val="none"/>
              </w:rPr>
              <w:t>1</w:t>
            </w:r>
            <w:r>
              <w:rPr>
                <w:rFonts w:hint="eastAsia" w:hAnsi="宋体"/>
                <w:color w:val="auto"/>
                <w:szCs w:val="21"/>
                <w:highlight w:val="none"/>
              </w:rPr>
              <w:t>、主机混凝土墩；</w:t>
            </w:r>
          </w:p>
          <w:p w14:paraId="136BC12D">
            <w:pPr>
              <w:widowControl/>
              <w:jc w:val="left"/>
              <w:textAlignment w:val="center"/>
              <w:rPr>
                <w:rFonts w:hAnsi="宋体"/>
                <w:color w:val="auto"/>
                <w:szCs w:val="21"/>
                <w:highlight w:val="none"/>
              </w:rPr>
            </w:pPr>
            <w:r>
              <w:rPr>
                <w:rFonts w:hAnsi="宋体"/>
                <w:color w:val="auto"/>
                <w:szCs w:val="21"/>
                <w:highlight w:val="none"/>
              </w:rPr>
              <w:t>2</w:t>
            </w:r>
            <w:r>
              <w:rPr>
                <w:rFonts w:hint="eastAsia" w:hAnsi="宋体"/>
                <w:color w:val="auto"/>
                <w:szCs w:val="21"/>
                <w:highlight w:val="none"/>
              </w:rPr>
              <w:t>、底坑缓冲器墩浇筑；</w:t>
            </w:r>
          </w:p>
          <w:p w14:paraId="33886D73">
            <w:pPr>
              <w:widowControl/>
              <w:jc w:val="left"/>
              <w:textAlignment w:val="center"/>
              <w:rPr>
                <w:rFonts w:hAnsi="宋体"/>
                <w:color w:val="auto"/>
                <w:szCs w:val="21"/>
                <w:highlight w:val="none"/>
              </w:rPr>
            </w:pPr>
            <w:r>
              <w:rPr>
                <w:rFonts w:hAnsi="宋体"/>
                <w:color w:val="auto"/>
                <w:szCs w:val="21"/>
                <w:highlight w:val="none"/>
              </w:rPr>
              <w:t>3</w:t>
            </w:r>
            <w:r>
              <w:rPr>
                <w:rFonts w:hint="eastAsia" w:hAnsi="宋体"/>
                <w:color w:val="auto"/>
                <w:szCs w:val="21"/>
                <w:highlight w:val="none"/>
              </w:rPr>
              <w:t>、各层层门牛腿；</w:t>
            </w:r>
          </w:p>
          <w:p w14:paraId="31DD9F04">
            <w:pPr>
              <w:widowControl/>
              <w:jc w:val="left"/>
              <w:textAlignment w:val="center"/>
              <w:rPr>
                <w:rFonts w:hAnsi="宋体"/>
                <w:color w:val="auto"/>
                <w:szCs w:val="21"/>
                <w:highlight w:val="none"/>
              </w:rPr>
            </w:pPr>
            <w:r>
              <w:rPr>
                <w:rFonts w:hAnsi="宋体"/>
                <w:color w:val="auto"/>
                <w:szCs w:val="21"/>
                <w:highlight w:val="none"/>
              </w:rPr>
              <w:t>4</w:t>
            </w:r>
            <w:r>
              <w:rPr>
                <w:rFonts w:hint="eastAsia" w:hAnsi="宋体"/>
                <w:color w:val="auto"/>
                <w:szCs w:val="21"/>
                <w:highlight w:val="none"/>
              </w:rPr>
              <w:t>、所有孔洞开凿修补等。</w:t>
            </w:r>
          </w:p>
          <w:p w14:paraId="1FABBDBE">
            <w:pPr>
              <w:widowControl/>
              <w:jc w:val="left"/>
              <w:textAlignment w:val="center"/>
              <w:rPr>
                <w:rFonts w:hint="eastAsia" w:ascii="宋体" w:hAnsi="宋体" w:eastAsia="宋体"/>
                <w:color w:val="auto"/>
                <w:sz w:val="22"/>
                <w:highlight w:val="none"/>
                <w:lang w:eastAsia="zh-CN"/>
              </w:rPr>
            </w:pPr>
            <w:r>
              <w:rPr>
                <w:rFonts w:hint="eastAsia" w:hAnsi="宋体" w:cs="宋体"/>
                <w:color w:val="auto"/>
                <w:szCs w:val="21"/>
                <w:highlight w:val="none"/>
              </w:rPr>
              <w:t>5、电梯安装所需的土建整改。</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E19A7">
            <w:pPr>
              <w:widowControl/>
              <w:jc w:val="center"/>
              <w:textAlignment w:val="center"/>
              <w:rPr>
                <w:rFonts w:hint="eastAsia" w:ascii="宋体" w:hAnsi="宋体" w:eastAsia="宋体"/>
                <w:color w:val="auto"/>
                <w:sz w:val="22"/>
                <w:highlight w:val="none"/>
                <w:lang w:eastAsia="zh-CN"/>
              </w:rPr>
            </w:pPr>
            <w:r>
              <w:rPr>
                <w:rFonts w:hint="eastAsia" w:ascii="宋体" w:hAnsi="宋体"/>
                <w:color w:val="auto"/>
                <w:kern w:val="0"/>
                <w:sz w:val="22"/>
                <w:highlight w:val="none"/>
                <w:lang w:val="en-US" w:eastAsia="zh-CN" w:bidi="ar"/>
              </w:rPr>
              <w:t>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DCA96">
            <w:pPr>
              <w:widowControl/>
              <w:jc w:val="center"/>
              <w:textAlignment w:val="center"/>
              <w:rPr>
                <w:rFonts w:hint="eastAsia" w:ascii="宋体" w:hAnsi="宋体" w:eastAsia="宋体"/>
                <w:color w:val="auto"/>
                <w:sz w:val="22"/>
                <w:highlight w:val="none"/>
                <w:lang w:eastAsia="zh-CN"/>
              </w:rPr>
            </w:pPr>
            <w:r>
              <w:rPr>
                <w:rFonts w:hint="eastAsia" w:ascii="宋体" w:hAnsi="宋体"/>
                <w:color w:val="auto"/>
                <w:kern w:val="0"/>
                <w:sz w:val="22"/>
                <w:highlight w:val="none"/>
                <w:lang w:val="en-US" w:eastAsia="zh-CN" w:bidi="ar"/>
              </w:rPr>
              <w:t>台</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6FB7E">
            <w:pPr>
              <w:widowControl/>
              <w:jc w:val="center"/>
              <w:textAlignment w:val="center"/>
              <w:rPr>
                <w:rFonts w:hint="default" w:ascii="宋体" w:hAnsi="宋体"/>
                <w:color w:val="auto"/>
                <w:sz w:val="22"/>
                <w:highlight w:val="none"/>
                <w:lang w:val="en-US"/>
              </w:rPr>
            </w:pPr>
            <w:r>
              <w:rPr>
                <w:rFonts w:hint="eastAsia" w:ascii="宋体" w:hAnsi="宋体"/>
                <w:color w:val="auto"/>
                <w:kern w:val="0"/>
                <w:sz w:val="22"/>
                <w:highlight w:val="none"/>
                <w:lang w:val="en-US" w:eastAsia="zh-CN" w:bidi="ar"/>
              </w:rPr>
              <w:t>80</w:t>
            </w:r>
          </w:p>
        </w:tc>
      </w:tr>
      <w:tr w14:paraId="74B82476">
        <w:tblPrEx>
          <w:tblCellMar>
            <w:top w:w="0" w:type="dxa"/>
            <w:left w:w="108" w:type="dxa"/>
            <w:bottom w:w="0" w:type="dxa"/>
            <w:right w:w="108" w:type="dxa"/>
          </w:tblCellMar>
        </w:tblPrEx>
        <w:trPr>
          <w:trHeight w:val="600" w:hRule="atLeast"/>
        </w:trPr>
        <w:tc>
          <w:tcPr>
            <w:tcW w:w="474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189CC6">
            <w:pPr>
              <w:widowControl/>
              <w:jc w:val="center"/>
              <w:textAlignment w:val="center"/>
              <w:rPr>
                <w:rFonts w:hint="eastAsia" w:ascii="宋体" w:hAnsi="宋体"/>
                <w:color w:val="auto"/>
                <w:kern w:val="0"/>
                <w:sz w:val="22"/>
                <w:highlight w:val="none"/>
                <w:lang w:bidi="ar"/>
              </w:rPr>
            </w:pPr>
            <w:r>
              <w:rPr>
                <w:rFonts w:hint="eastAsia" w:ascii="宋体" w:hAnsi="宋体"/>
                <w:color w:val="auto"/>
                <w:sz w:val="22"/>
                <w:highlight w:val="none"/>
                <w:lang w:val="en-US" w:eastAsia="zh-CN"/>
              </w:rPr>
              <w:t>合计：</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9C45B">
            <w:pPr>
              <w:widowControl/>
              <w:jc w:val="center"/>
              <w:textAlignment w:val="center"/>
              <w:rPr>
                <w:rFonts w:hint="default" w:ascii="宋体" w:hAnsi="宋体"/>
                <w:color w:val="auto"/>
                <w:kern w:val="0"/>
                <w:sz w:val="22"/>
                <w:highlight w:val="none"/>
                <w:lang w:val="en-US" w:eastAsia="zh-CN" w:bidi="ar"/>
              </w:rPr>
            </w:pPr>
            <w:r>
              <w:rPr>
                <w:rFonts w:hint="eastAsia" w:ascii="宋体" w:hAnsi="宋体"/>
                <w:color w:val="auto"/>
                <w:kern w:val="0"/>
                <w:sz w:val="22"/>
                <w:highlight w:val="none"/>
                <w:lang w:val="en-US" w:eastAsia="zh-CN" w:bidi="ar"/>
              </w:rPr>
              <w:t>80</w:t>
            </w:r>
          </w:p>
        </w:tc>
      </w:tr>
    </w:tbl>
    <w:p w14:paraId="271C4586">
      <w:pPr>
        <w:rPr>
          <w:color w:val="auto"/>
          <w:highlight w:val="none"/>
        </w:rPr>
      </w:pPr>
      <w:r>
        <w:rPr>
          <w:color w:val="auto"/>
          <w:highlight w:val="none"/>
        </w:rPr>
        <w:br w:type="page"/>
      </w:r>
    </w:p>
    <w:p w14:paraId="15C6D311">
      <w:pPr>
        <w:autoSpaceDE w:val="0"/>
        <w:autoSpaceDN w:val="0"/>
        <w:adjustRightInd w:val="0"/>
        <w:spacing w:line="380" w:lineRule="atLeast"/>
        <w:rPr>
          <w:rFonts w:ascii="Times New Roman" w:hAnsi="Times New Roman"/>
          <w:b/>
          <w:bCs/>
          <w:color w:val="auto"/>
          <w:kern w:val="0"/>
          <w:sz w:val="28"/>
          <w:szCs w:val="28"/>
          <w:highlight w:val="none"/>
        </w:rPr>
      </w:pPr>
      <w:r>
        <w:rPr>
          <w:rFonts w:hint="eastAsia" w:hAnsi="Times New Roman" w:cs="宋体"/>
          <w:color w:val="auto"/>
          <w:kern w:val="0"/>
          <w:szCs w:val="21"/>
          <w:highlight w:val="none"/>
          <w:lang w:val="zh-CN"/>
        </w:rPr>
        <w:t>▲</w:t>
      </w:r>
      <w:r>
        <w:rPr>
          <w:rFonts w:hint="eastAsia" w:hAnsi="Times New Roman" w:cs="宋体"/>
          <w:b/>
          <w:bCs/>
          <w:color w:val="auto"/>
          <w:kern w:val="0"/>
          <w:sz w:val="28"/>
          <w:szCs w:val="28"/>
          <w:highlight w:val="none"/>
          <w:lang w:val="zh-CN"/>
        </w:rPr>
        <w:t>二、商务服务及要求</w:t>
      </w:r>
    </w:p>
    <w:tbl>
      <w:tblPr>
        <w:tblStyle w:val="8"/>
        <w:tblW w:w="4994" w:type="pct"/>
        <w:jc w:val="center"/>
        <w:tblLayout w:type="autofit"/>
        <w:tblCellMar>
          <w:top w:w="0" w:type="dxa"/>
          <w:left w:w="108" w:type="dxa"/>
          <w:bottom w:w="0" w:type="dxa"/>
          <w:right w:w="108" w:type="dxa"/>
        </w:tblCellMar>
      </w:tblPr>
      <w:tblGrid>
        <w:gridCol w:w="2895"/>
        <w:gridCol w:w="11981"/>
      </w:tblGrid>
      <w:tr w14:paraId="74E71086">
        <w:tblPrEx>
          <w:tblCellMar>
            <w:top w:w="0" w:type="dxa"/>
            <w:left w:w="108" w:type="dxa"/>
            <w:bottom w:w="0" w:type="dxa"/>
            <w:right w:w="108" w:type="dxa"/>
          </w:tblCellMar>
        </w:tblPrEx>
        <w:trPr>
          <w:trHeight w:val="185" w:hRule="atLeast"/>
          <w:jc w:val="center"/>
        </w:trPr>
        <w:tc>
          <w:tcPr>
            <w:tcW w:w="973"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F0860F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olor w:val="auto"/>
                <w:highlight w:val="none"/>
                <w:lang w:val="zh-CN" w:eastAsia="zh-CN"/>
              </w:rPr>
            </w:pPr>
            <w:r>
              <w:rPr>
                <w:rFonts w:hint="eastAsia" w:ascii="宋体" w:hAnsi="宋体"/>
                <w:color w:val="auto"/>
                <w:highlight w:val="none"/>
                <w:lang w:val="zh-CN"/>
              </w:rPr>
              <w:t>交货时间及地点</w:t>
            </w:r>
          </w:p>
        </w:tc>
        <w:tc>
          <w:tcPr>
            <w:tcW w:w="4026"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7BF0D74">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zh-CN"/>
              </w:rPr>
              <w:t>、交付使用时间：自合同签订后接业主排产通知之日起</w:t>
            </w:r>
            <w:r>
              <w:rPr>
                <w:rFonts w:hint="eastAsia" w:ascii="宋体" w:hAnsi="宋体"/>
                <w:color w:val="auto"/>
                <w:highlight w:val="none"/>
                <w:lang w:val="en-US" w:eastAsia="zh-CN"/>
              </w:rPr>
              <w:t>100个</w:t>
            </w:r>
            <w:r>
              <w:rPr>
                <w:rFonts w:hint="eastAsia" w:ascii="宋体" w:hAnsi="宋体"/>
                <w:color w:val="auto"/>
                <w:highlight w:val="none"/>
                <w:lang w:val="zh-CN"/>
              </w:rPr>
              <w:t>日历日。</w:t>
            </w:r>
          </w:p>
          <w:p w14:paraId="77B971A9">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lang w:val="zh-CN" w:eastAsia="zh-CN"/>
              </w:rPr>
            </w:pPr>
            <w:r>
              <w:rPr>
                <w:rFonts w:hint="eastAsia" w:ascii="宋体" w:hAnsi="宋体"/>
                <w:color w:val="auto"/>
                <w:highlight w:val="none"/>
              </w:rPr>
              <w:t>2</w:t>
            </w:r>
            <w:r>
              <w:rPr>
                <w:rFonts w:hint="eastAsia" w:ascii="宋体" w:hAnsi="宋体"/>
                <w:color w:val="auto"/>
                <w:highlight w:val="none"/>
                <w:lang w:val="zh-CN"/>
              </w:rPr>
              <w:t>、交货地点：</w:t>
            </w:r>
            <w:r>
              <w:rPr>
                <w:rFonts w:hint="eastAsia" w:ascii="宋体" w:hAnsi="宋体"/>
                <w:color w:val="auto"/>
                <w:highlight w:val="none"/>
                <w:lang w:val="zh-CN"/>
              </w:rPr>
              <w:t>广西水利电力职业技术学院里建校区</w:t>
            </w:r>
            <w:r>
              <w:rPr>
                <w:rFonts w:hint="eastAsia" w:ascii="宋体" w:hAnsi="宋体"/>
                <w:color w:val="auto"/>
                <w:highlight w:val="none"/>
                <w:lang w:val="zh-CN"/>
              </w:rPr>
              <w:t>（采购人指定地点）。</w:t>
            </w:r>
          </w:p>
        </w:tc>
      </w:tr>
      <w:tr w14:paraId="5505B577">
        <w:tblPrEx>
          <w:tblCellMar>
            <w:top w:w="0" w:type="dxa"/>
            <w:left w:w="108" w:type="dxa"/>
            <w:bottom w:w="0" w:type="dxa"/>
            <w:right w:w="108" w:type="dxa"/>
          </w:tblCellMar>
        </w:tblPrEx>
        <w:trPr>
          <w:trHeight w:val="185" w:hRule="atLeast"/>
          <w:jc w:val="center"/>
        </w:trPr>
        <w:tc>
          <w:tcPr>
            <w:tcW w:w="97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6B57B5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olor w:val="auto"/>
                <w:highlight w:val="none"/>
                <w:lang w:val="zh-CN" w:eastAsia="zh-CN"/>
              </w:rPr>
            </w:pPr>
            <w:r>
              <w:rPr>
                <w:rFonts w:hint="eastAsia" w:ascii="宋体" w:hAnsi="宋体"/>
                <w:color w:val="auto"/>
                <w:highlight w:val="none"/>
              </w:rPr>
              <w:t>质保期</w:t>
            </w:r>
          </w:p>
        </w:tc>
        <w:tc>
          <w:tcPr>
            <w:tcW w:w="4026"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5C20AB6F">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lang w:val="en-US" w:eastAsia="zh-CN"/>
              </w:rPr>
            </w:pPr>
            <w:r>
              <w:rPr>
                <w:rFonts w:hint="default" w:ascii="宋体" w:hAnsi="宋体"/>
                <w:color w:val="auto"/>
                <w:highlight w:val="none"/>
              </w:rPr>
              <w:t>按国家有关规定或厂家承诺实行“三包”，</w:t>
            </w:r>
            <w:r>
              <w:rPr>
                <w:rFonts w:hint="eastAsia" w:ascii="宋体" w:hAnsi="宋体"/>
                <w:color w:val="auto"/>
                <w:highlight w:val="none"/>
              </w:rPr>
              <w:t>质保期从验收合格之日起整机不少于</w:t>
            </w:r>
            <w:r>
              <w:rPr>
                <w:rFonts w:hint="eastAsia" w:ascii="宋体" w:hAnsi="宋体"/>
                <w:color w:val="auto"/>
                <w:highlight w:val="none"/>
                <w:lang w:val="en-US" w:eastAsia="zh-CN"/>
              </w:rPr>
              <w:t>2</w:t>
            </w:r>
            <w:r>
              <w:rPr>
                <w:rFonts w:hint="eastAsia" w:ascii="宋体" w:hAnsi="宋体"/>
                <w:color w:val="auto"/>
                <w:highlight w:val="none"/>
              </w:rPr>
              <w:t>年（技术参数中有特别指明质保期的按参数要求，厂家质保期高于采购要求的按厂家质保）</w:t>
            </w:r>
            <w:r>
              <w:rPr>
                <w:rFonts w:hint="default" w:ascii="宋体" w:hAnsi="宋体"/>
                <w:color w:val="auto"/>
                <w:highlight w:val="none"/>
              </w:rPr>
              <w:t>，质保期内全免费上门维修、免费更换零部件，质保期过后提供终身技术支持和维护。</w:t>
            </w:r>
          </w:p>
        </w:tc>
      </w:tr>
      <w:tr w14:paraId="6DC2A0CB">
        <w:tblPrEx>
          <w:tblCellMar>
            <w:top w:w="0" w:type="dxa"/>
            <w:left w:w="108" w:type="dxa"/>
            <w:bottom w:w="0" w:type="dxa"/>
            <w:right w:w="108" w:type="dxa"/>
          </w:tblCellMar>
        </w:tblPrEx>
        <w:trPr>
          <w:trHeight w:val="185" w:hRule="atLeast"/>
          <w:jc w:val="center"/>
        </w:trPr>
        <w:tc>
          <w:tcPr>
            <w:tcW w:w="973"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376D7B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olor w:val="auto"/>
                <w:highlight w:val="none"/>
                <w:lang w:val="zh-CN"/>
              </w:rPr>
            </w:pPr>
            <w:r>
              <w:rPr>
                <w:rFonts w:hint="eastAsia" w:ascii="宋体" w:hAnsi="宋体"/>
                <w:color w:val="auto"/>
                <w:highlight w:val="none"/>
              </w:rPr>
              <w:t>产品质量保证及售后服务要求</w:t>
            </w:r>
          </w:p>
        </w:tc>
        <w:tc>
          <w:tcPr>
            <w:tcW w:w="4026"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FA1420A">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zh-CN"/>
              </w:rPr>
              <w:t>、</w:t>
            </w:r>
            <w:r>
              <w:rPr>
                <w:rFonts w:hint="eastAsia" w:ascii="宋体" w:hAnsi="宋体"/>
                <w:color w:val="auto"/>
                <w:highlight w:val="none"/>
              </w:rPr>
              <w:t>供应商所投产品必须能实质性响应采购要求（所投产品应完全满足或优于采购参数要求），</w:t>
            </w:r>
            <w:r>
              <w:rPr>
                <w:rFonts w:hint="eastAsia" w:ascii="宋体" w:hAnsi="宋体"/>
                <w:color w:val="auto"/>
                <w:highlight w:val="none"/>
              </w:rPr>
              <w:t>供货时能按照采购需求的要求提供厂家的</w:t>
            </w:r>
            <w:r>
              <w:rPr>
                <w:rFonts w:hint="eastAsia" w:ascii="宋体" w:hAnsi="宋体"/>
                <w:color w:val="auto"/>
                <w:highlight w:val="none"/>
                <w:lang w:val="en-US" w:eastAsia="zh-CN"/>
              </w:rPr>
              <w:t>授权</w:t>
            </w:r>
            <w:r>
              <w:rPr>
                <w:rFonts w:hint="eastAsia" w:ascii="宋体" w:hAnsi="宋体"/>
                <w:color w:val="auto"/>
                <w:highlight w:val="none"/>
              </w:rPr>
              <w:t>证明</w:t>
            </w:r>
            <w:r>
              <w:rPr>
                <w:rFonts w:hint="eastAsia" w:ascii="宋体" w:hAnsi="宋体"/>
                <w:color w:val="auto"/>
                <w:highlight w:val="none"/>
                <w:lang w:eastAsia="zh-CN"/>
              </w:rPr>
              <w:t>、</w:t>
            </w:r>
            <w:r>
              <w:rPr>
                <w:rFonts w:hint="eastAsia" w:ascii="宋体" w:hAnsi="宋体"/>
                <w:color w:val="auto"/>
                <w:highlight w:val="none"/>
              </w:rPr>
              <w:t>售后服务承诺书原件，</w:t>
            </w:r>
            <w:r>
              <w:rPr>
                <w:rFonts w:hint="eastAsia" w:ascii="宋体" w:hAnsi="宋体"/>
                <w:color w:val="auto"/>
                <w:highlight w:val="none"/>
                <w:lang w:val="en-US" w:eastAsia="zh-CN"/>
              </w:rPr>
              <w:t>并加盖厂家和供应商公章，</w:t>
            </w:r>
            <w:r>
              <w:rPr>
                <w:rFonts w:hint="eastAsia" w:ascii="宋体" w:hAnsi="宋体"/>
                <w:color w:val="auto"/>
                <w:highlight w:val="none"/>
              </w:rPr>
              <w:t>否则将做竞标无效处理。</w:t>
            </w:r>
          </w:p>
          <w:p w14:paraId="3539BCD8">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lang w:val="zh-CN"/>
              </w:rPr>
              <w:t>、按厂家承诺实行“三包”，且免费送货上门，免费安装、调试；中标人提供货物的质量保证按招标文件的规定执行。</w:t>
            </w:r>
          </w:p>
          <w:p w14:paraId="382CE2E3">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en-US" w:eastAsia="zh-CN"/>
              </w:rPr>
              <w:t>3</w:t>
            </w:r>
            <w:r>
              <w:rPr>
                <w:rFonts w:hint="eastAsia" w:ascii="宋体" w:hAnsi="宋体"/>
                <w:color w:val="auto"/>
                <w:highlight w:val="none"/>
                <w:lang w:val="zh-CN"/>
              </w:rPr>
              <w:t>、质保期内，成交人按国家的标准执行，对货物出现的所有质量及安全问题负责处理解决，因货物本身的质量问题发生故障，成交人应负责免费修理和更换零部件。</w:t>
            </w:r>
          </w:p>
          <w:p w14:paraId="17F08053">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lang w:val="zh-CN"/>
              </w:rPr>
              <w:t>、质保期内每月上门服务两次（检查、清洁、除尘、加油、调整）。</w:t>
            </w:r>
          </w:p>
          <w:p w14:paraId="0B7BA400">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lang w:val="zh-CN"/>
              </w:rPr>
              <w:t>、具备充足的本地服务人员，能提供</w:t>
            </w:r>
            <w:r>
              <w:rPr>
                <w:rFonts w:hint="eastAsia" w:ascii="宋体" w:hAnsi="宋体"/>
                <w:color w:val="auto"/>
                <w:highlight w:val="none"/>
              </w:rPr>
              <w:t>24</w:t>
            </w:r>
            <w:r>
              <w:rPr>
                <w:rFonts w:hint="eastAsia" w:ascii="宋体" w:hAnsi="宋体"/>
                <w:color w:val="auto"/>
                <w:highlight w:val="none"/>
                <w:lang w:val="zh-CN"/>
              </w:rPr>
              <w:t>小时免费保修服务（维修人员全年</w:t>
            </w:r>
            <w:r>
              <w:rPr>
                <w:rFonts w:hint="eastAsia" w:ascii="宋体" w:hAnsi="宋体"/>
                <w:color w:val="auto"/>
                <w:highlight w:val="none"/>
              </w:rPr>
              <w:t>24</w:t>
            </w:r>
            <w:r>
              <w:rPr>
                <w:rFonts w:hint="eastAsia" w:ascii="宋体" w:hAnsi="宋体"/>
                <w:color w:val="auto"/>
                <w:highlight w:val="none"/>
                <w:lang w:val="zh-CN"/>
              </w:rPr>
              <w:t>小时服务），提供维保人员名单和上岗作业证。设备出现故障，在接到用户故障通知后，维修人员</w:t>
            </w:r>
            <w:r>
              <w:rPr>
                <w:rFonts w:hint="eastAsia" w:ascii="宋体" w:hAnsi="宋体"/>
                <w:color w:val="auto"/>
                <w:highlight w:val="none"/>
              </w:rPr>
              <w:t>30</w:t>
            </w:r>
            <w:r>
              <w:rPr>
                <w:rFonts w:hint="eastAsia" w:ascii="宋体" w:hAnsi="宋体"/>
                <w:color w:val="auto"/>
                <w:highlight w:val="none"/>
                <w:lang w:val="zh-CN"/>
              </w:rPr>
              <w:t>分钟内到达现场处理；修复时间：一般故障不超过</w:t>
            </w:r>
            <w:r>
              <w:rPr>
                <w:rFonts w:hint="eastAsia" w:ascii="宋体" w:hAnsi="宋体"/>
                <w:color w:val="auto"/>
                <w:highlight w:val="none"/>
              </w:rPr>
              <w:t xml:space="preserve"> 12 </w:t>
            </w:r>
            <w:r>
              <w:rPr>
                <w:rFonts w:hint="eastAsia" w:ascii="宋体" w:hAnsi="宋体"/>
                <w:color w:val="auto"/>
                <w:highlight w:val="none"/>
                <w:lang w:val="zh-CN"/>
              </w:rPr>
              <w:t>小时，重大故障不超过</w:t>
            </w:r>
            <w:r>
              <w:rPr>
                <w:rFonts w:hint="eastAsia" w:ascii="宋体" w:hAnsi="宋体"/>
                <w:color w:val="auto"/>
                <w:highlight w:val="none"/>
              </w:rPr>
              <w:t xml:space="preserve"> 24 </w:t>
            </w:r>
            <w:r>
              <w:rPr>
                <w:rFonts w:hint="eastAsia" w:ascii="宋体" w:hAnsi="宋体"/>
                <w:color w:val="auto"/>
                <w:highlight w:val="none"/>
                <w:lang w:val="zh-CN"/>
              </w:rPr>
              <w:t>小时。</w:t>
            </w:r>
          </w:p>
          <w:p w14:paraId="44A029C4">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lang w:val="zh-CN"/>
              </w:rPr>
              <w:t>、常年备有电梯配件，能及时处理、更换损坏的零部件。</w:t>
            </w:r>
          </w:p>
          <w:p w14:paraId="4628C331">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lang w:val="zh-CN"/>
              </w:rPr>
              <w:t>、免费为业主培训电梯物业人员</w:t>
            </w:r>
            <w:r>
              <w:rPr>
                <w:rFonts w:hint="eastAsia" w:ascii="宋体" w:hAnsi="宋体"/>
                <w:color w:val="auto"/>
                <w:highlight w:val="none"/>
              </w:rPr>
              <w:t>1-2</w:t>
            </w:r>
            <w:r>
              <w:rPr>
                <w:rFonts w:hint="eastAsia" w:ascii="宋体" w:hAnsi="宋体"/>
                <w:color w:val="auto"/>
                <w:highlight w:val="none"/>
                <w:lang w:val="zh-CN"/>
              </w:rPr>
              <w:t>名，掌握电梯设备的操作及注意事项、应急处理、安全运行、维护及紧急救援步骤等内容。</w:t>
            </w:r>
          </w:p>
        </w:tc>
      </w:tr>
      <w:tr w14:paraId="4E284228">
        <w:tblPrEx>
          <w:tblCellMar>
            <w:top w:w="0" w:type="dxa"/>
            <w:left w:w="108" w:type="dxa"/>
            <w:bottom w:w="0" w:type="dxa"/>
            <w:right w:w="108" w:type="dxa"/>
          </w:tblCellMar>
        </w:tblPrEx>
        <w:trPr>
          <w:trHeight w:val="185" w:hRule="atLeast"/>
          <w:jc w:val="center"/>
        </w:trPr>
        <w:tc>
          <w:tcPr>
            <w:tcW w:w="973"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D886AC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olor w:val="auto"/>
                <w:highlight w:val="none"/>
                <w:lang w:val="zh-CN"/>
              </w:rPr>
            </w:pPr>
            <w:r>
              <w:rPr>
                <w:rFonts w:hint="eastAsia" w:ascii="宋体" w:hAnsi="宋体"/>
                <w:color w:val="auto"/>
                <w:highlight w:val="none"/>
              </w:rPr>
              <w:t>付款方式</w:t>
            </w:r>
          </w:p>
        </w:tc>
        <w:tc>
          <w:tcPr>
            <w:tcW w:w="4026"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9C701A4">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zh-CN"/>
              </w:rPr>
              <w:t>、合同签订后</w:t>
            </w:r>
            <w:r>
              <w:rPr>
                <w:rFonts w:hint="eastAsia" w:ascii="宋体" w:hAnsi="宋体"/>
                <w:color w:val="auto"/>
                <w:highlight w:val="none"/>
              </w:rPr>
              <w:t>15</w:t>
            </w:r>
            <w:r>
              <w:rPr>
                <w:rFonts w:hint="eastAsia" w:ascii="宋体" w:hAnsi="宋体"/>
                <w:color w:val="auto"/>
                <w:highlight w:val="none"/>
                <w:lang w:val="zh-CN"/>
              </w:rPr>
              <w:t>个工作日内，</w:t>
            </w:r>
            <w:r>
              <w:rPr>
                <w:rFonts w:hint="eastAsia" w:ascii="宋体" w:hAnsi="宋体"/>
                <w:color w:val="auto"/>
                <w:highlight w:val="none"/>
                <w:lang w:val="en-US" w:eastAsia="zh-CN"/>
              </w:rPr>
              <w:t>采购人</w:t>
            </w:r>
            <w:r>
              <w:rPr>
                <w:rFonts w:hint="eastAsia" w:ascii="宋体" w:hAnsi="宋体"/>
                <w:color w:val="auto"/>
                <w:highlight w:val="none"/>
                <w:lang w:val="zh-CN"/>
              </w:rPr>
              <w:t>支付合同总价的</w:t>
            </w:r>
            <w:r>
              <w:rPr>
                <w:rFonts w:hint="eastAsia" w:ascii="宋体" w:hAnsi="宋体"/>
                <w:color w:val="auto"/>
                <w:highlight w:val="none"/>
              </w:rPr>
              <w:t>30%</w:t>
            </w:r>
            <w:r>
              <w:rPr>
                <w:rFonts w:hint="eastAsia" w:ascii="宋体" w:hAnsi="宋体"/>
                <w:color w:val="auto"/>
                <w:highlight w:val="none"/>
                <w:lang w:val="zh-CN"/>
              </w:rPr>
              <w:t>；</w:t>
            </w:r>
          </w:p>
          <w:p w14:paraId="5C80E7BB">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zh-CN"/>
              </w:rPr>
              <w:t>、电梯主要设备货物到场并清点验收后</w:t>
            </w:r>
            <w:r>
              <w:rPr>
                <w:rFonts w:hint="eastAsia" w:ascii="宋体" w:hAnsi="宋体"/>
                <w:color w:val="auto"/>
                <w:highlight w:val="none"/>
              </w:rPr>
              <w:t>15</w:t>
            </w:r>
            <w:r>
              <w:rPr>
                <w:rFonts w:hint="eastAsia" w:ascii="宋体" w:hAnsi="宋体"/>
                <w:color w:val="auto"/>
                <w:highlight w:val="none"/>
                <w:lang w:val="zh-CN"/>
              </w:rPr>
              <w:t>个工作日内，</w:t>
            </w:r>
            <w:r>
              <w:rPr>
                <w:rFonts w:hint="eastAsia" w:ascii="宋体" w:hAnsi="宋体"/>
                <w:color w:val="auto"/>
                <w:highlight w:val="none"/>
                <w:lang w:val="en-US" w:eastAsia="zh-CN"/>
              </w:rPr>
              <w:t>采购人</w:t>
            </w:r>
            <w:r>
              <w:rPr>
                <w:rFonts w:hint="eastAsia" w:ascii="宋体" w:hAnsi="宋体"/>
                <w:color w:val="auto"/>
                <w:highlight w:val="none"/>
                <w:lang w:val="zh-CN"/>
              </w:rPr>
              <w:t>支付合同总价的</w:t>
            </w:r>
            <w:r>
              <w:rPr>
                <w:rFonts w:hint="eastAsia" w:ascii="宋体" w:hAnsi="宋体"/>
                <w:color w:val="auto"/>
                <w:highlight w:val="none"/>
                <w:lang w:val="en-US" w:eastAsia="zh-CN"/>
              </w:rPr>
              <w:t>4</w:t>
            </w:r>
            <w:r>
              <w:rPr>
                <w:rFonts w:hint="eastAsia" w:ascii="宋体" w:hAnsi="宋体"/>
                <w:color w:val="auto"/>
                <w:highlight w:val="none"/>
              </w:rPr>
              <w:t>0%</w:t>
            </w:r>
            <w:r>
              <w:rPr>
                <w:rFonts w:hint="eastAsia" w:ascii="宋体" w:hAnsi="宋体"/>
                <w:color w:val="auto"/>
                <w:highlight w:val="none"/>
                <w:lang w:val="zh-CN"/>
              </w:rPr>
              <w:t>；</w:t>
            </w:r>
          </w:p>
          <w:p w14:paraId="0712597E">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3</w:t>
            </w:r>
            <w:r>
              <w:rPr>
                <w:rFonts w:hint="eastAsia" w:ascii="宋体" w:hAnsi="宋体"/>
                <w:color w:val="auto"/>
                <w:highlight w:val="none"/>
                <w:lang w:val="zh-CN"/>
              </w:rPr>
              <w:t>、通过政府主管部门验收合格并取得电梯准用许可证后</w:t>
            </w:r>
            <w:r>
              <w:rPr>
                <w:rFonts w:hint="eastAsia" w:ascii="宋体" w:hAnsi="宋体"/>
                <w:color w:val="auto"/>
                <w:highlight w:val="none"/>
              </w:rPr>
              <w:t>15</w:t>
            </w:r>
            <w:r>
              <w:rPr>
                <w:rFonts w:hint="eastAsia" w:ascii="宋体" w:hAnsi="宋体"/>
                <w:color w:val="auto"/>
                <w:highlight w:val="none"/>
                <w:lang w:val="zh-CN"/>
              </w:rPr>
              <w:t>个工作日内，</w:t>
            </w:r>
            <w:r>
              <w:rPr>
                <w:rFonts w:hint="eastAsia" w:ascii="宋体" w:hAnsi="宋体"/>
                <w:color w:val="auto"/>
                <w:highlight w:val="none"/>
                <w:lang w:val="en-US" w:eastAsia="zh-CN"/>
              </w:rPr>
              <w:t>采购人</w:t>
            </w:r>
            <w:r>
              <w:rPr>
                <w:rFonts w:hint="eastAsia" w:ascii="宋体" w:hAnsi="宋体"/>
                <w:color w:val="auto"/>
                <w:highlight w:val="none"/>
                <w:lang w:val="zh-CN"/>
              </w:rPr>
              <w:t>支付至合同总价的</w:t>
            </w:r>
            <w:r>
              <w:rPr>
                <w:rFonts w:hint="eastAsia" w:ascii="宋体" w:hAnsi="宋体"/>
                <w:color w:val="auto"/>
                <w:highlight w:val="none"/>
              </w:rPr>
              <w:t>100%</w:t>
            </w:r>
            <w:r>
              <w:rPr>
                <w:rFonts w:hint="eastAsia" w:ascii="宋体" w:hAnsi="宋体"/>
                <w:color w:val="auto"/>
                <w:highlight w:val="none"/>
                <w:lang w:val="zh-CN"/>
              </w:rPr>
              <w:t>。</w:t>
            </w:r>
          </w:p>
          <w:p w14:paraId="47B5C597">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zh-CN"/>
              </w:rPr>
              <w:t>注：支付</w:t>
            </w:r>
            <w:r>
              <w:rPr>
                <w:rFonts w:hint="eastAsia" w:ascii="宋体" w:hAnsi="宋体"/>
                <w:color w:val="auto"/>
                <w:highlight w:val="none"/>
                <w:lang w:val="en-US" w:eastAsia="zh-CN"/>
              </w:rPr>
              <w:t>最后一笔货款</w:t>
            </w:r>
            <w:r>
              <w:rPr>
                <w:rFonts w:hint="eastAsia" w:ascii="宋体" w:hAnsi="宋体"/>
                <w:color w:val="auto"/>
                <w:highlight w:val="none"/>
                <w:lang w:val="zh-CN"/>
              </w:rPr>
              <w:t>时，供应商应根据采购人要求提供</w:t>
            </w:r>
            <w:r>
              <w:rPr>
                <w:rFonts w:hint="eastAsia" w:ascii="宋体" w:hAnsi="宋体"/>
                <w:color w:val="auto"/>
                <w:highlight w:val="none"/>
                <w:lang w:val="en-US" w:eastAsia="zh-CN"/>
              </w:rPr>
              <w:t>全额</w:t>
            </w:r>
            <w:r>
              <w:rPr>
                <w:rFonts w:hint="eastAsia" w:ascii="宋体" w:hAnsi="宋体"/>
                <w:color w:val="auto"/>
                <w:highlight w:val="none"/>
                <w:lang w:val="zh-CN"/>
              </w:rPr>
              <w:t>的有效发票。</w:t>
            </w:r>
          </w:p>
        </w:tc>
      </w:tr>
      <w:tr w14:paraId="4A188684">
        <w:tblPrEx>
          <w:tblCellMar>
            <w:top w:w="0" w:type="dxa"/>
            <w:left w:w="108" w:type="dxa"/>
            <w:bottom w:w="0" w:type="dxa"/>
            <w:right w:w="108" w:type="dxa"/>
          </w:tblCellMar>
        </w:tblPrEx>
        <w:trPr>
          <w:trHeight w:val="185" w:hRule="atLeast"/>
          <w:jc w:val="center"/>
        </w:trPr>
        <w:tc>
          <w:tcPr>
            <w:tcW w:w="973"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45D0BC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olor w:val="auto"/>
                <w:highlight w:val="none"/>
                <w:lang w:val="zh-CN"/>
              </w:rPr>
            </w:pPr>
            <w:r>
              <w:rPr>
                <w:rFonts w:hint="eastAsia" w:ascii="宋体" w:hAnsi="宋体"/>
                <w:color w:val="auto"/>
                <w:highlight w:val="none"/>
              </w:rPr>
              <w:t>实施和安装要求</w:t>
            </w:r>
          </w:p>
        </w:tc>
        <w:tc>
          <w:tcPr>
            <w:tcW w:w="4026"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34CA202">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en-US" w:eastAsia="zh-CN"/>
              </w:rPr>
              <w:t>1、</w:t>
            </w:r>
            <w:r>
              <w:rPr>
                <w:rFonts w:hint="eastAsia" w:ascii="宋体" w:hAnsi="宋体"/>
                <w:color w:val="auto"/>
                <w:highlight w:val="none"/>
                <w:lang w:val="zh-CN"/>
              </w:rPr>
              <w:t>投标人提供的设备必须是整套全新未使用过的（含所有零部件、配件）符合国家有关质量安全标准的产品，符合《电梯制造与安装规范》（</w:t>
            </w:r>
            <w:r>
              <w:rPr>
                <w:rFonts w:hint="eastAsia" w:ascii="宋体" w:hAnsi="宋体"/>
                <w:color w:val="auto"/>
                <w:highlight w:val="none"/>
              </w:rPr>
              <w:t>GB7588-2003</w:t>
            </w:r>
            <w:r>
              <w:rPr>
                <w:rFonts w:hint="eastAsia" w:ascii="宋体" w:hAnsi="宋体"/>
                <w:color w:val="auto"/>
                <w:highlight w:val="none"/>
                <w:lang w:val="zh-CN"/>
              </w:rPr>
              <w:t>）国家有关质量标准，且满足本项目的技术指标的电梯设备，并符合《采购需求》技术参数及配置要求表中的技术性能要求，随机持有产品合格证书（产品出厂时必须提供）。</w:t>
            </w:r>
          </w:p>
          <w:p w14:paraId="5AD3A8FA">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lang w:val="zh-CN"/>
              </w:rPr>
              <w:t>、投标产品生产厂家必须设有电梯服务支援系统（无线远程视频监控中心</w:t>
            </w:r>
            <w:r>
              <w:rPr>
                <w:rFonts w:hint="eastAsia" w:ascii="宋体" w:hAnsi="宋体"/>
                <w:color w:val="auto"/>
                <w:highlight w:val="none"/>
              </w:rPr>
              <w:t>)</w:t>
            </w:r>
            <w:r>
              <w:rPr>
                <w:rFonts w:hint="eastAsia" w:ascii="宋体" w:hAnsi="宋体"/>
                <w:color w:val="auto"/>
                <w:highlight w:val="none"/>
                <w:lang w:val="zh-CN"/>
              </w:rPr>
              <w:t>，须提供相关证明文件，签订合同后，采购人有权到成交单位办公场所核实无线监控中心的运营情况（费用由采购人自行承担），如发现所提供材料与现场不符，按合同违约处理。</w:t>
            </w:r>
          </w:p>
          <w:p w14:paraId="2C8DDA94">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en-US" w:eastAsia="zh-CN"/>
              </w:rPr>
              <w:t>3</w:t>
            </w:r>
            <w:r>
              <w:rPr>
                <w:rFonts w:hint="eastAsia" w:ascii="宋体" w:hAnsi="宋体"/>
                <w:color w:val="auto"/>
                <w:highlight w:val="none"/>
                <w:lang w:val="zh-CN"/>
              </w:rPr>
              <w:t>、设备应包括必备的易损易耗备件和专用工具。</w:t>
            </w:r>
          </w:p>
          <w:p w14:paraId="6EE888DC">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lang w:val="zh-CN"/>
              </w:rPr>
              <w:t>、成交人负责电梯报装、安装调试及报验，必须严格执行国家有关电梯安装管理规范和条例，对施工中的人身及设备安全责任。负责本项目电梯安装的负责人必须具有电梯安装上岗证或职称证并提供相关证书复印件。</w:t>
            </w:r>
          </w:p>
          <w:p w14:paraId="30ED53D9">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lang w:val="zh-CN"/>
              </w:rPr>
              <w:t>、竞标人负责免费办理本项目的报装、安装调试及报验手续，其中采购人负责配合盖章事宜。</w:t>
            </w:r>
            <w:r>
              <w:rPr>
                <w:rFonts w:hint="eastAsia" w:ascii="宋体" w:hAnsi="宋体"/>
                <w:color w:val="auto"/>
                <w:highlight w:val="none"/>
              </w:rPr>
              <w:t xml:space="preserve"> </w:t>
            </w:r>
          </w:p>
          <w:p w14:paraId="1BAF99E8">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本项目为交钥匙工程，成交后，供应商需应严格按竞标产品的安装规范要求进行安装调试，保证设备正常运行，质量合格。</w:t>
            </w:r>
          </w:p>
          <w:p w14:paraId="7AC97990">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（1）根据采购要求的工期提供项目实施方案及进度安排计划表；</w:t>
            </w:r>
          </w:p>
          <w:p w14:paraId="5D2E6742">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（2）供应商必须服从采购单位现场负责人的指挥，按指定地点进行设备安装、调试，确保设备安装符合国家现行技术规范标准；</w:t>
            </w:r>
          </w:p>
          <w:p w14:paraId="57BD1E19">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（3）安装过程中的所有安全保障由供应商自行负责；</w:t>
            </w:r>
          </w:p>
          <w:p w14:paraId="50DD8729">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（4）项目实施过程中产生的垃圾废料由供应商负责清理至校外。</w:t>
            </w:r>
          </w:p>
        </w:tc>
      </w:tr>
      <w:tr w14:paraId="6FC97C06">
        <w:tblPrEx>
          <w:tblCellMar>
            <w:top w:w="0" w:type="dxa"/>
            <w:left w:w="108" w:type="dxa"/>
            <w:bottom w:w="0" w:type="dxa"/>
            <w:right w:w="108" w:type="dxa"/>
          </w:tblCellMar>
        </w:tblPrEx>
        <w:trPr>
          <w:trHeight w:val="185" w:hRule="atLeast"/>
          <w:jc w:val="center"/>
        </w:trPr>
        <w:tc>
          <w:tcPr>
            <w:tcW w:w="973"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F4A2A1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olor w:val="auto"/>
                <w:highlight w:val="none"/>
                <w:lang w:val="zh-CN"/>
              </w:rPr>
            </w:pPr>
            <w:r>
              <w:rPr>
                <w:rFonts w:hint="default" w:ascii="宋体" w:hAnsi="宋体"/>
                <w:color w:val="auto"/>
                <w:highlight w:val="none"/>
              </w:rPr>
              <w:t>验收要求</w:t>
            </w:r>
          </w:p>
        </w:tc>
        <w:tc>
          <w:tcPr>
            <w:tcW w:w="4026"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89CA3C4">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zh-CN"/>
              </w:rPr>
              <w:t>、验收条件及标准：投标人所供货物必须是全新整套按国家或国际有关质量标准制造，且能满足本项目技术指标；验收应符合以下标准及要求：</w:t>
            </w:r>
          </w:p>
          <w:p w14:paraId="325A73E7">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zh-CN"/>
              </w:rPr>
              <w:t>①《电梯制造与安装安全规范》（</w:t>
            </w:r>
            <w:r>
              <w:rPr>
                <w:rFonts w:hint="eastAsia" w:ascii="宋体" w:hAnsi="宋体"/>
                <w:color w:val="auto"/>
                <w:highlight w:val="none"/>
              </w:rPr>
              <w:t>GB/T 7588</w:t>
            </w:r>
            <w:r>
              <w:rPr>
                <w:rFonts w:hint="eastAsia" w:ascii="宋体" w:hAnsi="宋体"/>
                <w:color w:val="auto"/>
                <w:highlight w:val="none"/>
                <w:lang w:val="zh-CN"/>
              </w:rPr>
              <w:t>）</w:t>
            </w:r>
          </w:p>
          <w:p w14:paraId="6E4FB2F3">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zh-CN"/>
              </w:rPr>
              <w:t>②</w:t>
            </w:r>
            <w:r>
              <w:rPr>
                <w:rFonts w:hint="eastAsia" w:ascii="宋体" w:hAnsi="宋体"/>
                <w:color w:val="auto"/>
                <w:highlight w:val="none"/>
              </w:rPr>
              <w:t>GB/T 10058-2009</w:t>
            </w:r>
            <w:r>
              <w:rPr>
                <w:rFonts w:hint="eastAsia" w:ascii="宋体" w:hAnsi="宋体"/>
                <w:color w:val="auto"/>
                <w:highlight w:val="none"/>
                <w:lang w:val="zh-CN"/>
              </w:rPr>
              <w:t>《电梯技术条件》</w:t>
            </w:r>
          </w:p>
          <w:p w14:paraId="3369E7D8">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zh-CN"/>
              </w:rPr>
              <w:t>③</w:t>
            </w:r>
            <w:r>
              <w:rPr>
                <w:rFonts w:hint="eastAsia" w:ascii="宋体" w:hAnsi="宋体"/>
                <w:color w:val="auto"/>
                <w:highlight w:val="none"/>
              </w:rPr>
              <w:t>GB/T 10059-2009</w:t>
            </w:r>
            <w:r>
              <w:rPr>
                <w:rFonts w:hint="eastAsia" w:ascii="宋体" w:hAnsi="宋体"/>
                <w:color w:val="auto"/>
                <w:highlight w:val="none"/>
                <w:lang w:val="zh-CN"/>
              </w:rPr>
              <w:t>《电梯试验方法》</w:t>
            </w:r>
          </w:p>
          <w:p w14:paraId="6FFAA699">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zh-CN"/>
              </w:rPr>
              <w:t>④</w:t>
            </w:r>
            <w:r>
              <w:rPr>
                <w:rFonts w:hint="eastAsia" w:ascii="宋体" w:hAnsi="宋体"/>
                <w:color w:val="auto"/>
                <w:highlight w:val="none"/>
              </w:rPr>
              <w:t>GB/T 10060-2011</w:t>
            </w:r>
            <w:r>
              <w:rPr>
                <w:rFonts w:hint="eastAsia" w:ascii="宋体" w:hAnsi="宋体"/>
                <w:color w:val="auto"/>
                <w:highlight w:val="none"/>
                <w:lang w:val="zh-CN"/>
              </w:rPr>
              <w:t>《电梯安装验收规范》</w:t>
            </w:r>
          </w:p>
          <w:p w14:paraId="5C670495">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zh-CN"/>
              </w:rPr>
              <w:t>⑤</w:t>
            </w:r>
            <w:r>
              <w:rPr>
                <w:rFonts w:hint="eastAsia" w:ascii="宋体" w:hAnsi="宋体"/>
                <w:color w:val="auto"/>
                <w:highlight w:val="none"/>
              </w:rPr>
              <w:t>GB 50310-2002</w:t>
            </w:r>
            <w:r>
              <w:rPr>
                <w:rFonts w:hint="eastAsia" w:ascii="宋体" w:hAnsi="宋体"/>
                <w:color w:val="auto"/>
                <w:highlight w:val="none"/>
                <w:lang w:val="zh-CN"/>
              </w:rPr>
              <w:t>《电梯工程施工质量验收规范》</w:t>
            </w:r>
          </w:p>
          <w:p w14:paraId="03A1F693">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2</w:t>
            </w:r>
            <w:r>
              <w:rPr>
                <w:rFonts w:hint="eastAsia" w:ascii="宋体" w:hAnsi="宋体"/>
                <w:color w:val="auto"/>
                <w:highlight w:val="none"/>
                <w:lang w:val="zh-CN"/>
              </w:rPr>
              <w:t>、竣工验收：由中标人向当地质检部门提出验收申请，采购人协助中标人及当地质检部门检验验收，工程质量目标：确保一次验收合格；投标人应建立质量保证体系，严格履行本岗位责任与权限，杜绝质量事故发生。</w:t>
            </w:r>
          </w:p>
          <w:p w14:paraId="4AA2BB1B">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rPr>
              <w:t>3</w:t>
            </w:r>
            <w:r>
              <w:rPr>
                <w:rFonts w:hint="eastAsia" w:ascii="宋体" w:hAnsi="宋体"/>
                <w:color w:val="auto"/>
                <w:highlight w:val="none"/>
                <w:lang w:val="zh-CN"/>
              </w:rPr>
              <w:t>、验收时，对达不到技术要求的，根据实际情况，经双方协商，可按以下方法处理。</w:t>
            </w:r>
          </w:p>
          <w:p w14:paraId="642AF2DD">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zh-CN"/>
              </w:rPr>
              <w:t>（</w:t>
            </w:r>
            <w:r>
              <w:rPr>
                <w:rFonts w:hint="eastAsia" w:ascii="宋体" w:hAnsi="宋体"/>
                <w:color w:val="auto"/>
                <w:highlight w:val="none"/>
              </w:rPr>
              <w:t>1</w:t>
            </w:r>
            <w:r>
              <w:rPr>
                <w:rFonts w:hint="eastAsia" w:ascii="宋体" w:hAnsi="宋体"/>
                <w:color w:val="auto"/>
                <w:highlight w:val="none"/>
                <w:lang w:val="zh-CN"/>
              </w:rPr>
              <w:t>）更换：由中标人承担所发生的全部费用；</w:t>
            </w:r>
          </w:p>
          <w:p w14:paraId="65AFE4FA">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zh-CN"/>
              </w:rPr>
              <w:t>（</w:t>
            </w:r>
            <w:r>
              <w:rPr>
                <w:rFonts w:hint="eastAsia" w:ascii="宋体" w:hAnsi="宋体"/>
                <w:color w:val="auto"/>
                <w:highlight w:val="none"/>
              </w:rPr>
              <w:t>2</w:t>
            </w:r>
            <w:r>
              <w:rPr>
                <w:rFonts w:hint="eastAsia" w:ascii="宋体" w:hAnsi="宋体"/>
                <w:color w:val="auto"/>
                <w:highlight w:val="none"/>
                <w:lang w:val="zh-CN"/>
              </w:rPr>
              <w:t>）贬值处理：由采购人及中标人双方合议定价；</w:t>
            </w:r>
          </w:p>
          <w:p w14:paraId="78DB8F59">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zh-CN"/>
              </w:rPr>
              <w:t>（</w:t>
            </w:r>
            <w:r>
              <w:rPr>
                <w:rFonts w:hint="eastAsia" w:ascii="宋体" w:hAnsi="宋体"/>
                <w:color w:val="auto"/>
                <w:highlight w:val="none"/>
              </w:rPr>
              <w:t>3</w:t>
            </w:r>
            <w:r>
              <w:rPr>
                <w:rFonts w:hint="eastAsia" w:ascii="宋体" w:hAnsi="宋体"/>
                <w:color w:val="auto"/>
                <w:highlight w:val="none"/>
                <w:lang w:val="zh-CN"/>
              </w:rPr>
              <w:t>）退货处理：中标人应退还采购人支付的货物款，同时应承担该货物的直接费用（运费、保险、检验及银行手续费等）。如在使用过程中发生质量问题，中标人在接到采购人通知后按所承诺的时间内到达采购人现场。</w:t>
            </w:r>
          </w:p>
        </w:tc>
      </w:tr>
      <w:tr w14:paraId="11DC1CBA">
        <w:tblPrEx>
          <w:tblCellMar>
            <w:top w:w="0" w:type="dxa"/>
            <w:left w:w="108" w:type="dxa"/>
            <w:bottom w:w="0" w:type="dxa"/>
            <w:right w:w="108" w:type="dxa"/>
          </w:tblCellMar>
        </w:tblPrEx>
        <w:trPr>
          <w:trHeight w:val="185" w:hRule="atLeast"/>
          <w:jc w:val="center"/>
        </w:trPr>
        <w:tc>
          <w:tcPr>
            <w:tcW w:w="973"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D09D275">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color w:val="auto"/>
                <w:highlight w:val="none"/>
                <w:lang w:val="en-US" w:eastAsia="zh-CN"/>
              </w:rPr>
            </w:pPr>
            <w:r>
              <w:rPr>
                <w:rFonts w:hint="eastAsia" w:ascii="宋体" w:hAnsi="宋体"/>
                <w:color w:val="auto"/>
                <w:highlight w:val="none"/>
                <w:lang w:val="en-US" w:eastAsia="zh-CN"/>
              </w:rPr>
              <w:t>其他要求</w:t>
            </w:r>
          </w:p>
        </w:tc>
        <w:tc>
          <w:tcPr>
            <w:tcW w:w="4026"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2090A01">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en-US" w:eastAsia="zh-CN"/>
              </w:rPr>
              <w:t>1、</w:t>
            </w:r>
            <w:r>
              <w:rPr>
                <w:rFonts w:hint="eastAsia" w:ascii="宋体" w:hAnsi="宋体"/>
                <w:color w:val="auto"/>
                <w:highlight w:val="none"/>
                <w:lang w:val="zh-CN"/>
              </w:rPr>
              <w:t>投标人应具有质量技术监督局颁发的《中华人民共和国特种设备安装改造维修许可证》（电梯安装、维修（或修理）</w:t>
            </w:r>
            <w:r>
              <w:rPr>
                <w:rFonts w:hint="eastAsia" w:ascii="宋体" w:hAnsi="宋体"/>
                <w:color w:val="auto"/>
                <w:highlight w:val="none"/>
              </w:rPr>
              <w:t>B</w:t>
            </w:r>
            <w:r>
              <w:rPr>
                <w:rFonts w:hint="eastAsia" w:ascii="宋体" w:hAnsi="宋体"/>
                <w:color w:val="auto"/>
                <w:highlight w:val="none"/>
                <w:lang w:val="zh-CN"/>
              </w:rPr>
              <w:t>级及以上）</w:t>
            </w:r>
            <w:r>
              <w:rPr>
                <w:rFonts w:hint="eastAsia" w:ascii="宋体" w:hAnsi="宋体"/>
                <w:color w:val="auto"/>
                <w:highlight w:val="none"/>
              </w:rPr>
              <w:t xml:space="preserve"> </w:t>
            </w:r>
            <w:r>
              <w:rPr>
                <w:rFonts w:hint="eastAsia" w:ascii="宋体" w:hAnsi="宋体"/>
                <w:color w:val="auto"/>
                <w:highlight w:val="none"/>
                <w:lang w:val="zh-CN"/>
              </w:rPr>
              <w:t>或</w:t>
            </w:r>
            <w:r>
              <w:rPr>
                <w:rFonts w:hint="eastAsia" w:ascii="宋体" w:hAnsi="宋体"/>
                <w:color w:val="auto"/>
                <w:highlight w:val="none"/>
              </w:rPr>
              <w:t xml:space="preserve"> </w:t>
            </w:r>
            <w:r>
              <w:rPr>
                <w:rFonts w:hint="eastAsia" w:ascii="宋体" w:hAnsi="宋体"/>
                <w:color w:val="auto"/>
                <w:highlight w:val="none"/>
                <w:lang w:val="zh-CN"/>
              </w:rPr>
              <w:t>市场监督管理局颁发的《中华人民共和国特种设备生产许可证》资质，投标时必须提供资质证明文件复印件并加盖供应商公章。不具备本项目投标人特定资质要求的，其竞标无效。</w:t>
            </w:r>
          </w:p>
          <w:p w14:paraId="09C0E6D7">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lang w:val="zh-CN"/>
              </w:rPr>
            </w:pPr>
            <w:r>
              <w:rPr>
                <w:rFonts w:hint="eastAsia" w:ascii="宋体" w:hAnsi="宋体"/>
                <w:color w:val="auto"/>
                <w:highlight w:val="none"/>
              </w:rPr>
              <w:t>2</w:t>
            </w:r>
            <w:r>
              <w:rPr>
                <w:rFonts w:hint="eastAsia" w:ascii="宋体" w:hAnsi="宋体"/>
                <w:color w:val="auto"/>
                <w:highlight w:val="none"/>
                <w:lang w:val="zh-CN"/>
              </w:rPr>
              <w:t>、本项目不接受联合体投标。</w:t>
            </w:r>
          </w:p>
          <w:p w14:paraId="5ECB414D">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lang w:val="zh-CN"/>
              </w:rPr>
            </w:pPr>
            <w:r>
              <w:rPr>
                <w:rFonts w:hint="eastAsia" w:ascii="宋体" w:hAnsi="宋体"/>
                <w:color w:val="auto"/>
                <w:highlight w:val="none"/>
                <w:lang w:val="en-US" w:eastAsia="zh-CN"/>
              </w:rPr>
              <w:t>3、</w:t>
            </w:r>
            <w:r>
              <w:rPr>
                <w:rFonts w:hint="eastAsia" w:ascii="宋体" w:hAnsi="宋体"/>
                <w:color w:val="auto"/>
                <w:highlight w:val="none"/>
                <w:lang w:val="zh-CN"/>
              </w:rPr>
              <w:t>本项目的投标报价为采购人指定地点的现场交货价，包括：（</w:t>
            </w:r>
            <w:r>
              <w:rPr>
                <w:rFonts w:hint="eastAsia" w:ascii="宋体" w:hAnsi="宋体"/>
                <w:color w:val="auto"/>
                <w:highlight w:val="none"/>
              </w:rPr>
              <w:t>1</w:t>
            </w:r>
            <w:r>
              <w:rPr>
                <w:rFonts w:hint="eastAsia" w:ascii="宋体" w:hAnsi="宋体"/>
                <w:color w:val="auto"/>
                <w:highlight w:val="none"/>
                <w:lang w:val="zh-CN"/>
              </w:rPr>
              <w:t>）货物的价格；（</w:t>
            </w:r>
            <w:r>
              <w:rPr>
                <w:rFonts w:hint="eastAsia" w:ascii="宋体" w:hAnsi="宋体"/>
                <w:color w:val="auto"/>
                <w:highlight w:val="none"/>
              </w:rPr>
              <w:t>2</w:t>
            </w:r>
            <w:r>
              <w:rPr>
                <w:rFonts w:hint="eastAsia" w:ascii="宋体" w:hAnsi="宋体"/>
                <w:color w:val="auto"/>
                <w:highlight w:val="none"/>
                <w:lang w:val="zh-CN"/>
              </w:rPr>
              <w:t>）运输、装卸、调试、培训、技术支持、</w:t>
            </w:r>
            <w:r>
              <w:rPr>
                <w:rFonts w:hint="eastAsia" w:ascii="宋体" w:hAnsi="宋体"/>
                <w:color w:val="auto"/>
                <w:highlight w:val="none"/>
                <w:lang w:val="en-US" w:eastAsia="zh-CN"/>
              </w:rPr>
              <w:t>两</w:t>
            </w:r>
            <w:r>
              <w:rPr>
                <w:rFonts w:hint="eastAsia" w:ascii="宋体" w:hAnsi="宋体"/>
                <w:color w:val="auto"/>
                <w:highlight w:val="none"/>
                <w:lang w:val="zh-CN"/>
              </w:rPr>
              <w:t>年维保等费用；（</w:t>
            </w:r>
            <w:r>
              <w:rPr>
                <w:rFonts w:hint="eastAsia" w:ascii="宋体" w:hAnsi="宋体"/>
                <w:color w:val="auto"/>
                <w:highlight w:val="none"/>
              </w:rPr>
              <w:t>3</w:t>
            </w:r>
            <w:r>
              <w:rPr>
                <w:rFonts w:hint="eastAsia" w:ascii="宋体" w:hAnsi="宋体"/>
                <w:color w:val="auto"/>
                <w:highlight w:val="none"/>
                <w:lang w:val="zh-CN"/>
              </w:rPr>
              <w:t>）必要的保险费用和各项税费；（</w:t>
            </w:r>
            <w:r>
              <w:rPr>
                <w:rFonts w:hint="eastAsia" w:ascii="宋体" w:hAnsi="宋体"/>
                <w:color w:val="auto"/>
                <w:highlight w:val="none"/>
              </w:rPr>
              <w:t>4</w:t>
            </w:r>
            <w:r>
              <w:rPr>
                <w:rFonts w:hint="eastAsia" w:ascii="宋体" w:hAnsi="宋体"/>
                <w:color w:val="auto"/>
                <w:highlight w:val="none"/>
                <w:lang w:val="zh-CN"/>
              </w:rPr>
              <w:t>）包安装费用（含施工用的脚手架搭拆、设备吊运、检测费等）；（</w:t>
            </w:r>
            <w:r>
              <w:rPr>
                <w:rFonts w:hint="eastAsia" w:ascii="宋体" w:hAnsi="宋体"/>
                <w:color w:val="auto"/>
                <w:highlight w:val="none"/>
              </w:rPr>
              <w:t>5</w:t>
            </w:r>
            <w:r>
              <w:rPr>
                <w:rFonts w:hint="eastAsia" w:ascii="宋体" w:hAnsi="宋体"/>
                <w:color w:val="auto"/>
                <w:highlight w:val="none"/>
                <w:lang w:val="zh-CN"/>
              </w:rPr>
              <w:t>）安装的开工报装和竣工报检手续费用、验收费用；（</w:t>
            </w:r>
            <w:r>
              <w:rPr>
                <w:rFonts w:hint="eastAsia" w:ascii="宋体" w:hAnsi="宋体"/>
                <w:color w:val="auto"/>
                <w:highlight w:val="none"/>
              </w:rPr>
              <w:t>6</w:t>
            </w:r>
            <w:r>
              <w:rPr>
                <w:rFonts w:hint="eastAsia" w:ascii="宋体" w:hAnsi="宋体"/>
                <w:color w:val="auto"/>
                <w:highlight w:val="none"/>
                <w:lang w:val="zh-CN"/>
              </w:rPr>
              <w:t>）包含土建配合费(1000元/台)。</w:t>
            </w:r>
          </w:p>
          <w:p w14:paraId="32882911">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lang w:val="zh-CN"/>
              </w:rPr>
            </w:pPr>
            <w:r>
              <w:rPr>
                <w:rFonts w:hint="eastAsia" w:ascii="宋体" w:hAnsi="宋体"/>
                <w:color w:val="auto"/>
                <w:highlight w:val="none"/>
                <w:lang w:val="en-US" w:eastAsia="zh-CN"/>
              </w:rPr>
              <w:t>4、供货时</w:t>
            </w:r>
            <w:r>
              <w:rPr>
                <w:rFonts w:hint="eastAsia" w:ascii="宋体" w:hAnsi="宋体"/>
                <w:color w:val="auto"/>
                <w:highlight w:val="none"/>
                <w:lang w:eastAsia="zh-CN"/>
              </w:rPr>
              <w:t>电梯随货提供证明文件要求清单：（</w:t>
            </w:r>
            <w:r>
              <w:rPr>
                <w:rFonts w:hint="eastAsia" w:ascii="宋体" w:hAnsi="宋体"/>
                <w:color w:val="auto"/>
                <w:highlight w:val="none"/>
                <w:lang w:val="en-US" w:eastAsia="zh-CN"/>
              </w:rPr>
              <w:t>1</w:t>
            </w:r>
            <w:r>
              <w:rPr>
                <w:rFonts w:hint="eastAsia" w:ascii="宋体" w:hAnsi="宋体"/>
                <w:color w:val="auto"/>
                <w:highlight w:val="none"/>
                <w:lang w:eastAsia="zh-CN"/>
              </w:rPr>
              <w:t>）</w:t>
            </w:r>
            <w:r>
              <w:rPr>
                <w:rFonts w:hint="eastAsia" w:ascii="宋体" w:hAnsi="宋体"/>
                <w:color w:val="auto"/>
                <w:highlight w:val="none"/>
                <w:lang w:val="zh-CN"/>
              </w:rPr>
              <w:t>制造厂所发相关设备的《产品合格证》（原件）；</w:t>
            </w:r>
            <w:r>
              <w:rPr>
                <w:rFonts w:hint="eastAsia" w:ascii="宋体" w:hAnsi="宋体"/>
                <w:color w:val="auto"/>
                <w:highlight w:val="none"/>
                <w:lang w:eastAsia="zh-CN"/>
              </w:rPr>
              <w:t>（</w:t>
            </w:r>
            <w:r>
              <w:rPr>
                <w:rFonts w:hint="eastAsia" w:ascii="宋体" w:hAnsi="宋体"/>
                <w:color w:val="auto"/>
                <w:highlight w:val="none"/>
                <w:lang w:val="en-US" w:eastAsia="zh-CN"/>
              </w:rPr>
              <w:t>2</w:t>
            </w:r>
            <w:r>
              <w:rPr>
                <w:rFonts w:hint="eastAsia" w:ascii="宋体" w:hAnsi="宋体"/>
                <w:color w:val="auto"/>
                <w:highlight w:val="none"/>
                <w:lang w:eastAsia="zh-CN"/>
              </w:rPr>
              <w:t>）</w:t>
            </w:r>
            <w:r>
              <w:rPr>
                <w:rFonts w:hint="eastAsia" w:ascii="宋体" w:hAnsi="宋体"/>
                <w:color w:val="auto"/>
                <w:highlight w:val="none"/>
                <w:lang w:val="zh-CN"/>
              </w:rPr>
              <w:t>有关所供设备的全部安装、使用及管理文件和图纸；</w:t>
            </w:r>
            <w:r>
              <w:rPr>
                <w:rFonts w:hint="eastAsia" w:ascii="宋体" w:hAnsi="宋体"/>
                <w:color w:val="auto"/>
                <w:highlight w:val="none"/>
                <w:lang w:eastAsia="zh-CN"/>
              </w:rPr>
              <w:t>（</w:t>
            </w:r>
            <w:r>
              <w:rPr>
                <w:rFonts w:hint="eastAsia" w:ascii="宋体" w:hAnsi="宋体"/>
                <w:color w:val="auto"/>
                <w:highlight w:val="none"/>
                <w:lang w:val="en-US" w:eastAsia="zh-CN"/>
              </w:rPr>
              <w:t>3</w:t>
            </w:r>
            <w:r>
              <w:rPr>
                <w:rFonts w:hint="eastAsia" w:ascii="宋体" w:hAnsi="宋体"/>
                <w:color w:val="auto"/>
                <w:highlight w:val="none"/>
                <w:lang w:eastAsia="zh-CN"/>
              </w:rPr>
              <w:t>）</w:t>
            </w:r>
            <w:r>
              <w:rPr>
                <w:rFonts w:hint="eastAsia" w:ascii="宋体" w:hAnsi="宋体"/>
                <w:color w:val="auto"/>
                <w:highlight w:val="none"/>
                <w:lang w:val="zh-CN"/>
              </w:rPr>
              <w:t>成交人安装调试完毕电梯后，须取得《电梯监督检验报告》和相应电梯的《安全检验合格》标志，一并交付给采购人确认。电梯安装验收合格并正常使用后，安装施工单位应当在验收后</w:t>
            </w:r>
            <w:r>
              <w:rPr>
                <w:rFonts w:hint="eastAsia" w:ascii="宋体" w:hAnsi="宋体"/>
                <w:color w:val="auto"/>
                <w:highlight w:val="none"/>
              </w:rPr>
              <w:t>30</w:t>
            </w:r>
            <w:r>
              <w:rPr>
                <w:rFonts w:hint="eastAsia" w:ascii="宋体" w:hAnsi="宋体"/>
                <w:color w:val="auto"/>
                <w:highlight w:val="none"/>
                <w:lang w:val="zh-CN"/>
              </w:rPr>
              <w:t>日内将全套电梯技术及管理资料移交给采购人使用单位存档。</w:t>
            </w:r>
          </w:p>
          <w:p w14:paraId="54E049CD">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、本项目的技术参数要求必须实质性响应，不允许负偏离。投标时，供应商所投产品必须满足或优于技术参数配置要求（需上传《商务、技术响应、偏离情况说明表》，格式自拟</w:t>
            </w:r>
            <w:r>
              <w:rPr>
                <w:rFonts w:hint="eastAsia" w:ascii="宋体" w:hAnsi="宋体"/>
                <w:color w:val="auto"/>
                <w:highlight w:val="none"/>
                <w:lang w:eastAsia="zh-CN"/>
              </w:rPr>
              <w:t>，</w:t>
            </w:r>
            <w:r>
              <w:rPr>
                <w:rFonts w:hint="eastAsia" w:ascii="宋体" w:hAnsi="宋体"/>
                <w:color w:val="auto"/>
                <w:highlight w:val="none"/>
                <w:lang w:val="en-US" w:eastAsia="zh-CN"/>
              </w:rPr>
              <w:t>并加盖供应商公章</w:t>
            </w:r>
            <w:r>
              <w:rPr>
                <w:rFonts w:hint="eastAsia" w:ascii="宋体" w:hAnsi="宋体"/>
                <w:color w:val="auto"/>
                <w:highlight w:val="none"/>
              </w:rPr>
              <w:t>），否则视为无效响应。</w:t>
            </w:r>
          </w:p>
          <w:p w14:paraId="6A4C6619">
            <w:pPr>
              <w:keepNext w:val="0"/>
              <w:keepLines w:val="0"/>
              <w:pageBreakBefore w:val="0"/>
              <w:kinsoku/>
              <w:wordWrap/>
              <w:overflowPunct/>
              <w:topLinePunct w:val="0"/>
              <w:autoSpaceDE/>
              <w:autoSpaceDN/>
              <w:bidi w:val="0"/>
              <w:adjustRightInd/>
              <w:snapToGrid/>
              <w:spacing w:line="360" w:lineRule="exact"/>
              <w:ind w:firstLine="420" w:firstLineChars="200"/>
              <w:jc w:val="left"/>
              <w:rPr>
                <w:rFonts w:hint="eastAsia" w:ascii="宋体" w:hAnsi="宋体"/>
                <w:color w:val="auto"/>
                <w:highlight w:val="none"/>
                <w:lang w:val="en-US" w:eastAsia="zh-CN"/>
              </w:rPr>
            </w:pPr>
            <w:r>
              <w:rPr>
                <w:rFonts w:hint="eastAsia" w:ascii="宋体" w:hAnsi="宋体"/>
                <w:color w:val="auto"/>
                <w:highlight w:val="none"/>
                <w:lang w:val="en-US" w:eastAsia="zh-CN"/>
              </w:rPr>
              <w:t>6</w:t>
            </w:r>
            <w:r>
              <w:rPr>
                <w:rFonts w:hint="eastAsia" w:ascii="宋体" w:hAnsi="宋体"/>
                <w:color w:val="auto"/>
                <w:highlight w:val="none"/>
              </w:rPr>
              <w:t>、供应商在参与竞标报价前需仔细阅读项目采购的技术及商务要求，评估自身履约能力，谢绝恶意低价、不按要求报价、中标后无故放弃、不按合同履行等违约行为。对出现此类行为的预中标供应商，将根据政府采购违约处理规则，依法依规提请政采云平台进行处罚，处罚内容包括停止推送报价信息、禁止报价等，并记入政府采购诚信档案。为确保合同履约责任，采购单位有权将反向竞价单中的商务要求列入合同条款，否则有权拒签合同。</w:t>
            </w:r>
            <w:bookmarkStart w:id="1" w:name="_GoBack"/>
            <w:bookmarkEnd w:id="1"/>
          </w:p>
        </w:tc>
      </w:tr>
    </w:tbl>
    <w:p w14:paraId="2DB6D53D">
      <w:pPr>
        <w:pStyle w:val="6"/>
        <w:ind w:left="0" w:leftChars="0" w:firstLine="0" w:firstLineChars="0"/>
        <w:rPr>
          <w:color w:val="auto"/>
          <w:highlight w:val="none"/>
        </w:rPr>
      </w:pPr>
    </w:p>
    <w:p w14:paraId="106F8BEB">
      <w:pPr>
        <w:pStyle w:val="6"/>
        <w:rPr>
          <w:color w:val="auto"/>
          <w:highlight w:val="none"/>
        </w:rPr>
      </w:pPr>
    </w:p>
    <w:p w14:paraId="6AAE1836">
      <w:pPr>
        <w:pStyle w:val="6"/>
        <w:rPr>
          <w:color w:val="auto"/>
          <w:highlight w:val="none"/>
        </w:rPr>
      </w:pPr>
    </w:p>
    <w:p w14:paraId="31CBF5AE">
      <w:pPr>
        <w:rPr>
          <w:color w:val="auto"/>
          <w:highlight w:val="none"/>
        </w:rPr>
      </w:pPr>
    </w:p>
    <w:sectPr>
      <w:pgSz w:w="16838" w:h="11906" w:orient="landscape"/>
      <w:pgMar w:top="1247" w:right="1080" w:bottom="124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D3EB6D"/>
    <w:multiLevelType w:val="singleLevel"/>
    <w:tmpl w:val="0ED3EB6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0M2I4MGQwY2QxNTQyNjU0ZjhhOWQ4YjdmYTQyZGUifQ=="/>
    <w:docVar w:name="KSO_WPS_MARK_KEY" w:val="4d939e42-f31d-45dc-b1da-197607f162fa"/>
  </w:docVars>
  <w:rsids>
    <w:rsidRoot w:val="170574C9"/>
    <w:rsid w:val="00001765"/>
    <w:rsid w:val="004A4FCA"/>
    <w:rsid w:val="005407A1"/>
    <w:rsid w:val="00586FEC"/>
    <w:rsid w:val="005A0FAF"/>
    <w:rsid w:val="007E2D34"/>
    <w:rsid w:val="00890838"/>
    <w:rsid w:val="009017A1"/>
    <w:rsid w:val="00C5782E"/>
    <w:rsid w:val="00C601AE"/>
    <w:rsid w:val="00C60D60"/>
    <w:rsid w:val="00D010B9"/>
    <w:rsid w:val="00DB30E9"/>
    <w:rsid w:val="00FF7CE6"/>
    <w:rsid w:val="022069E6"/>
    <w:rsid w:val="023F2212"/>
    <w:rsid w:val="02497534"/>
    <w:rsid w:val="026E0D49"/>
    <w:rsid w:val="02B00BF5"/>
    <w:rsid w:val="02D41B01"/>
    <w:rsid w:val="03304250"/>
    <w:rsid w:val="03D01339"/>
    <w:rsid w:val="0442138C"/>
    <w:rsid w:val="04910CAA"/>
    <w:rsid w:val="04966335"/>
    <w:rsid w:val="04DA0DBE"/>
    <w:rsid w:val="04E43544"/>
    <w:rsid w:val="04FC088E"/>
    <w:rsid w:val="051C34DF"/>
    <w:rsid w:val="052E28C8"/>
    <w:rsid w:val="06277B8D"/>
    <w:rsid w:val="0664493D"/>
    <w:rsid w:val="069C7F67"/>
    <w:rsid w:val="06F57F75"/>
    <w:rsid w:val="071874D5"/>
    <w:rsid w:val="071F7265"/>
    <w:rsid w:val="08103916"/>
    <w:rsid w:val="08404F36"/>
    <w:rsid w:val="09181FD0"/>
    <w:rsid w:val="094F07C4"/>
    <w:rsid w:val="098A1833"/>
    <w:rsid w:val="0A36214C"/>
    <w:rsid w:val="0A4A5BF8"/>
    <w:rsid w:val="0A817F4E"/>
    <w:rsid w:val="0AA3355A"/>
    <w:rsid w:val="0AB37C41"/>
    <w:rsid w:val="0AB7508A"/>
    <w:rsid w:val="0AE72A95"/>
    <w:rsid w:val="0AFF481A"/>
    <w:rsid w:val="0B870B9C"/>
    <w:rsid w:val="0BC1638D"/>
    <w:rsid w:val="0BD22349"/>
    <w:rsid w:val="0BE36304"/>
    <w:rsid w:val="0BE856C8"/>
    <w:rsid w:val="0D693500"/>
    <w:rsid w:val="0D7C0FEF"/>
    <w:rsid w:val="0DF76608"/>
    <w:rsid w:val="0EA53D44"/>
    <w:rsid w:val="0EEC1973"/>
    <w:rsid w:val="0F13514E"/>
    <w:rsid w:val="0F20786F"/>
    <w:rsid w:val="0F81464C"/>
    <w:rsid w:val="0FE20AF7"/>
    <w:rsid w:val="10516B48"/>
    <w:rsid w:val="10700716"/>
    <w:rsid w:val="10CB0144"/>
    <w:rsid w:val="11056D1C"/>
    <w:rsid w:val="11EE5A02"/>
    <w:rsid w:val="126521DA"/>
    <w:rsid w:val="12E35D86"/>
    <w:rsid w:val="14B0798A"/>
    <w:rsid w:val="14CD18FF"/>
    <w:rsid w:val="150F1F18"/>
    <w:rsid w:val="15415E49"/>
    <w:rsid w:val="1565422D"/>
    <w:rsid w:val="158C6C91"/>
    <w:rsid w:val="15C55FA9"/>
    <w:rsid w:val="161672D6"/>
    <w:rsid w:val="162E2871"/>
    <w:rsid w:val="169F45B2"/>
    <w:rsid w:val="170574C9"/>
    <w:rsid w:val="173E0892"/>
    <w:rsid w:val="17AD77C6"/>
    <w:rsid w:val="17C52D61"/>
    <w:rsid w:val="17E416FE"/>
    <w:rsid w:val="17F90C5D"/>
    <w:rsid w:val="17FE74D9"/>
    <w:rsid w:val="180A2E6A"/>
    <w:rsid w:val="185F4F64"/>
    <w:rsid w:val="19E25E4D"/>
    <w:rsid w:val="19FB6C07"/>
    <w:rsid w:val="1A703458"/>
    <w:rsid w:val="1AA650CC"/>
    <w:rsid w:val="1BC34054"/>
    <w:rsid w:val="1C341886"/>
    <w:rsid w:val="1CF83EBA"/>
    <w:rsid w:val="1CFC0FD3"/>
    <w:rsid w:val="1D6123B0"/>
    <w:rsid w:val="1D8334A3"/>
    <w:rsid w:val="1E4569AA"/>
    <w:rsid w:val="1EBA1146"/>
    <w:rsid w:val="20711CD8"/>
    <w:rsid w:val="20AA346D"/>
    <w:rsid w:val="21747CD2"/>
    <w:rsid w:val="217F21D3"/>
    <w:rsid w:val="21D73DBD"/>
    <w:rsid w:val="21EA7F94"/>
    <w:rsid w:val="220B7F0B"/>
    <w:rsid w:val="224156DA"/>
    <w:rsid w:val="224B0307"/>
    <w:rsid w:val="22737F8A"/>
    <w:rsid w:val="22E53BE8"/>
    <w:rsid w:val="2329689A"/>
    <w:rsid w:val="238A585A"/>
    <w:rsid w:val="238C0BD7"/>
    <w:rsid w:val="23A61397"/>
    <w:rsid w:val="23C6233B"/>
    <w:rsid w:val="23EF1892"/>
    <w:rsid w:val="23FA65E1"/>
    <w:rsid w:val="241A61E3"/>
    <w:rsid w:val="247578BD"/>
    <w:rsid w:val="24F66C50"/>
    <w:rsid w:val="254E083A"/>
    <w:rsid w:val="255F69BB"/>
    <w:rsid w:val="26633F17"/>
    <w:rsid w:val="26887D7C"/>
    <w:rsid w:val="26A34BB6"/>
    <w:rsid w:val="270513CC"/>
    <w:rsid w:val="2753038A"/>
    <w:rsid w:val="289B3D96"/>
    <w:rsid w:val="29BD1AEA"/>
    <w:rsid w:val="29FB0EEE"/>
    <w:rsid w:val="2B3C33A4"/>
    <w:rsid w:val="2B9D316E"/>
    <w:rsid w:val="2C1A1476"/>
    <w:rsid w:val="2C313484"/>
    <w:rsid w:val="2C5536B8"/>
    <w:rsid w:val="2C9A6113"/>
    <w:rsid w:val="2C9D3849"/>
    <w:rsid w:val="2CC15D95"/>
    <w:rsid w:val="2CD07727"/>
    <w:rsid w:val="2CD535EF"/>
    <w:rsid w:val="2EC675C3"/>
    <w:rsid w:val="2F9514AB"/>
    <w:rsid w:val="2FE73821"/>
    <w:rsid w:val="2FF47EBC"/>
    <w:rsid w:val="302F0099"/>
    <w:rsid w:val="30B11C7D"/>
    <w:rsid w:val="30B61FF7"/>
    <w:rsid w:val="30C36E11"/>
    <w:rsid w:val="30E12562"/>
    <w:rsid w:val="311F752F"/>
    <w:rsid w:val="31465D97"/>
    <w:rsid w:val="31992E3D"/>
    <w:rsid w:val="32247DFE"/>
    <w:rsid w:val="323A4620"/>
    <w:rsid w:val="325F5E35"/>
    <w:rsid w:val="32867865"/>
    <w:rsid w:val="32D14858"/>
    <w:rsid w:val="33B201E6"/>
    <w:rsid w:val="33CF6FEA"/>
    <w:rsid w:val="33D463AE"/>
    <w:rsid w:val="34531AA2"/>
    <w:rsid w:val="35E16A2E"/>
    <w:rsid w:val="36985DB9"/>
    <w:rsid w:val="36AD5148"/>
    <w:rsid w:val="37755E86"/>
    <w:rsid w:val="37E34E12"/>
    <w:rsid w:val="38BF65E6"/>
    <w:rsid w:val="38D9696E"/>
    <w:rsid w:val="390F2A93"/>
    <w:rsid w:val="397A79F8"/>
    <w:rsid w:val="39C3314D"/>
    <w:rsid w:val="3A40479E"/>
    <w:rsid w:val="3AAB781D"/>
    <w:rsid w:val="3B5E449F"/>
    <w:rsid w:val="3C574020"/>
    <w:rsid w:val="3CBF4A61"/>
    <w:rsid w:val="3CCA034E"/>
    <w:rsid w:val="3D674597"/>
    <w:rsid w:val="3DAE7C70"/>
    <w:rsid w:val="3DE713D4"/>
    <w:rsid w:val="3DF31B27"/>
    <w:rsid w:val="3E131550"/>
    <w:rsid w:val="3ED92ACB"/>
    <w:rsid w:val="3F7D5B4C"/>
    <w:rsid w:val="3F9D61EE"/>
    <w:rsid w:val="406E72A4"/>
    <w:rsid w:val="410172C5"/>
    <w:rsid w:val="41285F8B"/>
    <w:rsid w:val="41E11E03"/>
    <w:rsid w:val="41F617B3"/>
    <w:rsid w:val="4206295C"/>
    <w:rsid w:val="43E066A9"/>
    <w:rsid w:val="44994855"/>
    <w:rsid w:val="4581088E"/>
    <w:rsid w:val="45FC03BF"/>
    <w:rsid w:val="461E795D"/>
    <w:rsid w:val="46647A66"/>
    <w:rsid w:val="476D46F8"/>
    <w:rsid w:val="48DA32E9"/>
    <w:rsid w:val="48E522B6"/>
    <w:rsid w:val="490A67FA"/>
    <w:rsid w:val="49F7687F"/>
    <w:rsid w:val="4B02599F"/>
    <w:rsid w:val="4B8B2F80"/>
    <w:rsid w:val="4BAB0429"/>
    <w:rsid w:val="4C3504DC"/>
    <w:rsid w:val="4CC96874"/>
    <w:rsid w:val="4D5F4AE3"/>
    <w:rsid w:val="4D9549A9"/>
    <w:rsid w:val="4DD5541C"/>
    <w:rsid w:val="4E797E26"/>
    <w:rsid w:val="4ECF7A46"/>
    <w:rsid w:val="5017429F"/>
    <w:rsid w:val="503A73A6"/>
    <w:rsid w:val="508A00C9"/>
    <w:rsid w:val="50D92DFE"/>
    <w:rsid w:val="50E90E4D"/>
    <w:rsid w:val="51704C1D"/>
    <w:rsid w:val="51A837F2"/>
    <w:rsid w:val="52383B54"/>
    <w:rsid w:val="52724BC5"/>
    <w:rsid w:val="52F26AC7"/>
    <w:rsid w:val="537B63EF"/>
    <w:rsid w:val="54491472"/>
    <w:rsid w:val="5488491F"/>
    <w:rsid w:val="548F7351"/>
    <w:rsid w:val="55654C60"/>
    <w:rsid w:val="558F7E43"/>
    <w:rsid w:val="559B0682"/>
    <w:rsid w:val="55AC6D33"/>
    <w:rsid w:val="55E93AE3"/>
    <w:rsid w:val="55F81F79"/>
    <w:rsid w:val="562D75AF"/>
    <w:rsid w:val="56FF2E93"/>
    <w:rsid w:val="579161E1"/>
    <w:rsid w:val="5794182D"/>
    <w:rsid w:val="58801DB1"/>
    <w:rsid w:val="592866D1"/>
    <w:rsid w:val="59633BAD"/>
    <w:rsid w:val="59D2009A"/>
    <w:rsid w:val="5AD703AE"/>
    <w:rsid w:val="5B48305A"/>
    <w:rsid w:val="5C750008"/>
    <w:rsid w:val="5C9F6CAA"/>
    <w:rsid w:val="5D0C307D"/>
    <w:rsid w:val="5E1D7B0C"/>
    <w:rsid w:val="5EF534F9"/>
    <w:rsid w:val="5F4065B6"/>
    <w:rsid w:val="5FC72F01"/>
    <w:rsid w:val="60A96349"/>
    <w:rsid w:val="60BF5B6D"/>
    <w:rsid w:val="60FA1790"/>
    <w:rsid w:val="610D4460"/>
    <w:rsid w:val="61456ECF"/>
    <w:rsid w:val="6192502F"/>
    <w:rsid w:val="619265B1"/>
    <w:rsid w:val="61E0223F"/>
    <w:rsid w:val="61EB2991"/>
    <w:rsid w:val="639D5F0D"/>
    <w:rsid w:val="64432611"/>
    <w:rsid w:val="64446389"/>
    <w:rsid w:val="646B1B68"/>
    <w:rsid w:val="64B928D3"/>
    <w:rsid w:val="64CA2D32"/>
    <w:rsid w:val="64F41B5D"/>
    <w:rsid w:val="66187ACD"/>
    <w:rsid w:val="66870535"/>
    <w:rsid w:val="66A51398"/>
    <w:rsid w:val="66E83943"/>
    <w:rsid w:val="671802D9"/>
    <w:rsid w:val="68030A35"/>
    <w:rsid w:val="684868E3"/>
    <w:rsid w:val="691722BE"/>
    <w:rsid w:val="6A7C4ACE"/>
    <w:rsid w:val="6ADE12E5"/>
    <w:rsid w:val="6B3E7FD6"/>
    <w:rsid w:val="6B832663"/>
    <w:rsid w:val="6B981494"/>
    <w:rsid w:val="6BB87D88"/>
    <w:rsid w:val="6C0048D0"/>
    <w:rsid w:val="6C111246"/>
    <w:rsid w:val="6C1256EA"/>
    <w:rsid w:val="6C461ECF"/>
    <w:rsid w:val="6CD40BF2"/>
    <w:rsid w:val="6CEA4950"/>
    <w:rsid w:val="6D2A6A64"/>
    <w:rsid w:val="6D3314B3"/>
    <w:rsid w:val="6E232492"/>
    <w:rsid w:val="6E557B10"/>
    <w:rsid w:val="6E962CD2"/>
    <w:rsid w:val="6F5D06C3"/>
    <w:rsid w:val="6F601648"/>
    <w:rsid w:val="6FE2671E"/>
    <w:rsid w:val="6FF00D41"/>
    <w:rsid w:val="70CD05BB"/>
    <w:rsid w:val="71866233"/>
    <w:rsid w:val="71DF0FEF"/>
    <w:rsid w:val="728026E4"/>
    <w:rsid w:val="7363682B"/>
    <w:rsid w:val="736E298E"/>
    <w:rsid w:val="73C31078"/>
    <w:rsid w:val="73C51294"/>
    <w:rsid w:val="73CB3227"/>
    <w:rsid w:val="73CF2113"/>
    <w:rsid w:val="74162D65"/>
    <w:rsid w:val="74253E9F"/>
    <w:rsid w:val="75D03F20"/>
    <w:rsid w:val="761D3536"/>
    <w:rsid w:val="77493F8A"/>
    <w:rsid w:val="775D6EE5"/>
    <w:rsid w:val="7A2111EE"/>
    <w:rsid w:val="7A752BA1"/>
    <w:rsid w:val="7A786D50"/>
    <w:rsid w:val="7A925C48"/>
    <w:rsid w:val="7AB81A37"/>
    <w:rsid w:val="7B656EB9"/>
    <w:rsid w:val="7BB26285"/>
    <w:rsid w:val="7C2E19A1"/>
    <w:rsid w:val="7D0F532E"/>
    <w:rsid w:val="7D3D1E9B"/>
    <w:rsid w:val="7D7B0C16"/>
    <w:rsid w:val="7E5C0A47"/>
    <w:rsid w:val="7E8578B0"/>
    <w:rsid w:val="7F0C2FFD"/>
    <w:rsid w:val="7F847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qFormat/>
    <w:uiPriority w:val="0"/>
    <w:pPr>
      <w:spacing w:after="120" w:afterLines="0" w:afterAutospacing="0"/>
    </w:pPr>
  </w:style>
  <w:style w:type="paragraph" w:styleId="4">
    <w:name w:val="Body Text Indent"/>
    <w:basedOn w:val="1"/>
    <w:next w:val="1"/>
    <w:qFormat/>
    <w:uiPriority w:val="0"/>
    <w:pPr>
      <w:ind w:firstLine="830" w:firstLineChars="352"/>
    </w:pPr>
    <w:rPr>
      <w:rFonts w:ascii="仿宋_GB2312" w:eastAsia="仿宋_GB2312" w:cs="仿宋_GB2312"/>
      <w:sz w:val="32"/>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w:basedOn w:val="3"/>
    <w:unhideWhenUsed/>
    <w:qFormat/>
    <w:uiPriority w:val="0"/>
    <w:pPr>
      <w:widowControl/>
      <w:spacing w:after="0"/>
      <w:ind w:firstLine="420" w:firstLineChars="200"/>
    </w:pPr>
    <w:rPr>
      <w:rFonts w:ascii="宋体" w:hAnsi="宋体" w:cs="宋体"/>
      <w:kern w:val="0"/>
      <w:szCs w:val="21"/>
    </w:rPr>
  </w:style>
  <w:style w:type="paragraph" w:styleId="7">
    <w:name w:val="Body Text First Indent 2"/>
    <w:basedOn w:val="4"/>
    <w:next w:val="1"/>
    <w:qFormat/>
    <w:uiPriority w:val="0"/>
    <w:pPr>
      <w:spacing w:after="120"/>
      <w:ind w:left="420" w:leftChars="200" w:firstLine="420" w:firstLineChars="200"/>
    </w:pPr>
    <w:rPr>
      <w:rFonts w:ascii="Times New Roman" w:eastAsia="宋体"/>
      <w:sz w:val="21"/>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font31"/>
    <w:basedOn w:val="10"/>
    <w:qFormat/>
    <w:uiPriority w:val="0"/>
    <w:rPr>
      <w:rFonts w:hint="eastAsia" w:ascii="宋体" w:hAnsi="宋体" w:eastAsia="宋体" w:cs="宋体"/>
      <w:color w:val="000000"/>
      <w:sz w:val="20"/>
      <w:szCs w:val="20"/>
      <w:u w:val="none"/>
    </w:rPr>
  </w:style>
  <w:style w:type="paragraph" w:customStyle="1" w:styleId="13">
    <w:name w:val="Table Paragraph"/>
    <w:basedOn w:val="1"/>
    <w:qFormat/>
    <w:uiPriority w:val="1"/>
    <w:rPr>
      <w:rFonts w:ascii="楷体" w:hAnsi="楷体" w:eastAsia="楷体" w:cs="楷体"/>
      <w:lang w:eastAsia="en-US" w:bidi="en-US"/>
    </w:rPr>
  </w:style>
  <w:style w:type="paragraph" w:styleId="14">
    <w:name w:val="List Paragraph"/>
    <w:basedOn w:val="1"/>
    <w:qFormat/>
    <w:uiPriority w:val="0"/>
    <w:pPr>
      <w:ind w:firstLine="420" w:firstLineChars="200"/>
    </w:pPr>
    <w:rPr>
      <w:rFonts w:ascii="Calibri" w:hAnsi="Calibri"/>
      <w:szCs w:val="22"/>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2250</Words>
  <Characters>2529</Characters>
  <Lines>116</Lines>
  <Paragraphs>32</Paragraphs>
  <TotalTime>60</TotalTime>
  <ScaleCrop>false</ScaleCrop>
  <LinksUpToDate>false</LinksUpToDate>
  <CharactersWithSpaces>2536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2025-01-15T01:17:00Z</dcterms:created>
  <dc:creator>刘阳</dc:creator>
  <cp:lastModifiedBy>zyzyqqq</cp:lastModifiedBy>
  <dcterms:modified xsi:type="dcterms:W3CDTF">2025-05-07T01:15:15Z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0B22CA7740C445028DFA503790D58791_13</vt:lpwstr>
  </property>
  <property fmtid="{D5CDD505-2E9C-101B-9397-08002B2CF9AE}" pid="4" name="KSOTemplateDocerSaveRecord">
    <vt:lpwstr>eyJoZGlkIjoiYTUzZDY3MzQ3M2UzMjY1NjBmYTJmNmI0N2ZjODk1Y2QiLCJ1c2VySWQiOiI1ODI0ODIzODAifQ==</vt:lpwstr>
  </property>
</Properties>
</file>