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eastAsia" w:ascii="宋体" w:hAnsi="宋体" w:eastAsia="宋体"/>
          <w:b/>
          <w:bCs/>
          <w:kern w:val="0"/>
          <w:sz w:val="32"/>
          <w:szCs w:val="32"/>
          <w:lang w:val="en-US" w:eastAsia="zh-CN"/>
        </w:rPr>
      </w:pPr>
      <w:r>
        <w:rPr>
          <w:rFonts w:hint="eastAsia" w:ascii="宋体" w:hAnsi="宋体"/>
          <w:b/>
          <w:bCs/>
          <w:kern w:val="0"/>
          <w:sz w:val="32"/>
          <w:szCs w:val="32"/>
        </w:rPr>
        <w:t>供应链运营实训平台及课程项目</w:t>
      </w:r>
      <w:r>
        <w:rPr>
          <w:rFonts w:hint="eastAsia" w:ascii="宋体" w:hAnsi="宋体"/>
          <w:b/>
          <w:bCs/>
          <w:kern w:val="0"/>
          <w:sz w:val="32"/>
          <w:szCs w:val="32"/>
          <w:lang w:val="en-US" w:eastAsia="zh-CN"/>
        </w:rPr>
        <w:t>采购</w:t>
      </w:r>
      <w:r>
        <w:rPr>
          <w:rFonts w:hint="eastAsia" w:ascii="宋体" w:hAnsi="宋体"/>
          <w:b/>
          <w:bCs/>
          <w:kern w:val="0"/>
          <w:sz w:val="32"/>
          <w:szCs w:val="32"/>
        </w:rPr>
        <w:t>清单</w:t>
      </w:r>
    </w:p>
    <w:tbl>
      <w:tblPr>
        <w:tblStyle w:val="8"/>
        <w:tblpPr w:leftFromText="180" w:rightFromText="180" w:vertAnchor="text" w:horzAnchor="page" w:tblpX="1082" w:tblpY="648"/>
        <w:tblOverlap w:val="never"/>
        <w:tblW w:w="4982" w:type="pct"/>
        <w:tblInd w:w="0" w:type="dxa"/>
        <w:tblLayout w:type="fixed"/>
        <w:tblCellMar>
          <w:top w:w="0" w:type="dxa"/>
          <w:left w:w="108" w:type="dxa"/>
          <w:bottom w:w="0" w:type="dxa"/>
          <w:right w:w="108" w:type="dxa"/>
        </w:tblCellMar>
      </w:tblPr>
      <w:tblGrid>
        <w:gridCol w:w="492"/>
        <w:gridCol w:w="637"/>
        <w:gridCol w:w="1001"/>
        <w:gridCol w:w="10164"/>
        <w:gridCol w:w="597"/>
        <w:gridCol w:w="572"/>
        <w:gridCol w:w="654"/>
        <w:gridCol w:w="723"/>
      </w:tblGrid>
      <w:tr w14:paraId="6EB2E676">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hint="default" w:ascii="宋体" w:hAnsi="宋体" w:eastAsia="宋体"/>
                <w:b/>
                <w:bCs/>
                <w:color w:val="auto"/>
                <w:szCs w:val="21"/>
                <w:highlight w:val="none"/>
                <w:lang w:val="en-US" w:eastAsia="zh-CN"/>
              </w:rPr>
            </w:pPr>
            <w:r>
              <w:rPr>
                <w:rFonts w:hint="eastAsia" w:ascii="宋体" w:hAnsi="宋体"/>
                <w:b/>
                <w:bCs/>
                <w:color w:val="auto"/>
                <w:kern w:val="0"/>
                <w:szCs w:val="21"/>
                <w:highlight w:val="none"/>
                <w:lang w:bidi="ar"/>
              </w:rPr>
              <w:t>参考品牌</w:t>
            </w:r>
            <w:r>
              <w:rPr>
                <w:rFonts w:hint="eastAsia" w:ascii="宋体" w:hAnsi="宋体"/>
                <w:b/>
                <w:bCs/>
                <w:color w:val="auto"/>
                <w:kern w:val="0"/>
                <w:szCs w:val="21"/>
                <w:highlight w:val="none"/>
                <w:lang w:val="en-US" w:eastAsia="zh-CN" w:bidi="ar"/>
              </w:rPr>
              <w:t>及型号</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单价（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210FA137">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BBD">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97C">
            <w:pPr>
              <w:widowControl/>
              <w:jc w:val="center"/>
              <w:textAlignment w:val="center"/>
              <w:rPr>
                <w:rFonts w:ascii="宋体" w:hAnsi="宋体"/>
                <w:color w:val="auto"/>
                <w:sz w:val="22"/>
                <w:highlight w:val="none"/>
              </w:rPr>
            </w:pPr>
            <w:r>
              <w:rPr>
                <w:rFonts w:hint="eastAsia" w:ascii="宋体" w:hAnsi="宋体"/>
                <w:color w:val="auto"/>
                <w:sz w:val="22"/>
                <w:highlight w:val="none"/>
              </w:rPr>
              <w:t>供应链运营实训平台及课程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C2A5">
            <w:pPr>
              <w:widowControl/>
              <w:jc w:val="center"/>
              <w:textAlignment w:val="center"/>
              <w:rPr>
                <w:rFonts w:hint="eastAsia" w:ascii="宋体" w:hAnsi="宋体"/>
                <w:color w:val="auto"/>
                <w:sz w:val="22"/>
                <w:highlight w:val="none"/>
              </w:rPr>
            </w:pPr>
            <w:r>
              <w:rPr>
                <w:rFonts w:hint="eastAsia" w:ascii="宋体" w:hAnsi="宋体"/>
                <w:color w:val="auto"/>
                <w:sz w:val="22"/>
                <w:highlight w:val="none"/>
                <w:lang w:val="en-US" w:eastAsia="zh-CN"/>
              </w:rPr>
              <w:t>品牌：</w:t>
            </w:r>
            <w:r>
              <w:rPr>
                <w:rFonts w:hint="eastAsia" w:ascii="宋体" w:hAnsi="宋体"/>
                <w:color w:val="auto"/>
                <w:sz w:val="22"/>
                <w:highlight w:val="none"/>
              </w:rPr>
              <w:t>络捷斯特</w:t>
            </w:r>
          </w:p>
          <w:p w14:paraId="5782DB3B">
            <w:pPr>
              <w:widowControl/>
              <w:jc w:val="center"/>
              <w:textAlignment w:val="center"/>
              <w:rPr>
                <w:rFonts w:ascii="宋体" w:hAnsi="宋体"/>
                <w:color w:val="auto"/>
                <w:sz w:val="22"/>
                <w:highlight w:val="none"/>
              </w:rPr>
            </w:pPr>
            <w:r>
              <w:rPr>
                <w:rFonts w:hint="eastAsia" w:ascii="宋体" w:hAnsi="宋体"/>
                <w:color w:val="auto"/>
                <w:sz w:val="22"/>
                <w:highlight w:val="none"/>
              </w:rPr>
              <w:t>型号：供应链传奇教学系统V1.0</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5129">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（一）供应链运营实验系统</w:t>
            </w:r>
          </w:p>
          <w:p w14:paraId="4114F76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供应链运营实验系统》基于供应链管理人才能力的“层级递进式”设计理念，依托SCOR模型，以全国节点城市为业务目标城市，将各个城市的多态化市场需求作为供应链持续发展的驱动力，根据供应链的采购管理、生产管理、运输管理以及市场管理等核心模块设置对应决策，1~5名学生以个人或团队的形式模拟经营生产型企业，围绕市场需求先确定生产计划，根据生产计划确定原材料采购进行产品生产，根据市场需求确定物流网络构建和发展规划，并合理运用融资模式辅助企业得到缓冲资金。同时以游戏化的表现方式吸引学生全身心的投入产品，投入供应链经营，结合各项指标数据分析，使其能够在游戏过程中深刻掌握供应链的采购决策、生产决策、物流网络规划、市场销售决策、金融决策，为供应链管理教学提供相应支持。</w:t>
            </w:r>
          </w:p>
          <w:p w14:paraId="4CA910B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一、技术要求</w:t>
            </w:r>
          </w:p>
          <w:p w14:paraId="3619EA9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1．系统基于 Spring 框架的 BS 架构体系，架构体系具有先进性，具有较高的稳定性和可靠性；</w:t>
            </w:r>
          </w:p>
          <w:p w14:paraId="0FE61D3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2．Spring 框架提供了广泛的功能模块，包含数据访问、事务管理、安全、消息等，能满足各种业务需求。可以方便地添加新的功能模块和组件，适应不断变化的业务发展；</w:t>
            </w:r>
          </w:p>
          <w:p w14:paraId="718B19A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3．系统界面具有简洁直观，信息展示清晰、操作便捷和一致性的特点；</w:t>
            </w:r>
          </w:p>
          <w:p w14:paraId="6A947CB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4．系统支持单机或者集群化部署，部署策略灵活，可以适应不同的基础设施场景；</w:t>
            </w:r>
          </w:p>
          <w:p w14:paraId="2925080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5．系统需具备完善的权限管理，例如：用户管理、角色管理、菜单权限等设置，可从登录界面、登录网址等区分不同端口、各类角色的登录，保障信息安全。</w:t>
            </w:r>
          </w:p>
          <w:p w14:paraId="5CD640D8">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二、教师端功能</w:t>
            </w:r>
          </w:p>
          <w:p w14:paraId="21464AE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1．系统具备提供学生账号新增及密码设置等管理功能；</w:t>
            </w:r>
          </w:p>
          <w:p w14:paraId="457A98D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2．系统需具备组队模拟练习功能，采用即时战略模式进行模拟对战，以天为单位，具备对游戏生命周期管控、状态设置等功能，保障教学正常进行；</w:t>
            </w:r>
          </w:p>
          <w:p w14:paraId="4ADCFA6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3．系统应能体现团队经营成果的好坏，评分项包括：总资产、产销比、库存周转率、市场占有率、订单满足率、投资回报率；</w:t>
            </w:r>
          </w:p>
          <w:p w14:paraId="330ED10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系统具备班级管理功能，包括班级信息列表展示、班级创建、班级删除、班级初始化、班级启动停止、班级开启暂停、班级信息修改、班级内企业融资、班级初始化信息参数修改等功能，对班级和学生有效管理。</w:t>
            </w:r>
          </w:p>
          <w:p w14:paraId="09A2AB8A">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三、学生端功能</w:t>
            </w:r>
          </w:p>
          <w:p w14:paraId="286B6A7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系统需要包含采购管理、生产管理、运输管理、市场管理、排行、数据分析、运营角色控制等主要功能，详细介绍如下：</w:t>
            </w:r>
          </w:p>
          <w:p w14:paraId="28BB521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采购管理：</w:t>
            </w:r>
          </w:p>
          <w:p w14:paraId="2EBF3FA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1．系统应能实现供应链中上游对下游供应商的对比选择，提供备选供应商信息，内容包括：供应商服务区域、提货价格、提前期、供应商所在区域等；</w:t>
            </w:r>
          </w:p>
          <w:p w14:paraId="54A43CF1">
            <w:pPr>
              <w:widowControl/>
              <w:jc w:val="left"/>
              <w:textAlignment w:val="center"/>
              <w:rPr>
                <w:rFonts w:hint="eastAsia" w:ascii="宋体" w:hAnsi="宋体" w:eastAsia="宋体"/>
                <w:color w:val="auto"/>
                <w:sz w:val="22"/>
                <w:szCs w:val="22"/>
                <w:highlight w:val="none"/>
                <w:lang w:eastAsia="zh-CN"/>
              </w:rPr>
            </w:pPr>
            <w:r>
              <w:rPr>
                <w:rFonts w:hint="eastAsia" w:ascii="宋体" w:hAnsi="宋体"/>
                <w:color w:val="auto"/>
                <w:sz w:val="22"/>
                <w:highlight w:val="none"/>
              </w:rPr>
              <w:t>2．</w:t>
            </w:r>
            <w:r>
              <w:rPr>
                <w:rFonts w:hint="eastAsia" w:ascii="宋体" w:hAnsi="宋体"/>
                <w:color w:val="auto"/>
                <w:sz w:val="22"/>
                <w:highlight w:val="none"/>
                <w:lang w:eastAsia="zh-CN"/>
              </w:rPr>
              <w:t>★</w:t>
            </w:r>
            <w:r>
              <w:rPr>
                <w:rFonts w:hint="eastAsia" w:ascii="宋体" w:hAnsi="宋体"/>
                <w:color w:val="auto"/>
                <w:sz w:val="22"/>
                <w:highlight w:val="none"/>
              </w:rPr>
              <w:t>系统能够模拟与原材料供应商的协议签订过程，包括供应商询价、供应商洽谈、供应商签约等，能够模拟原材料供应商的协议签订，协议内容包括提货价格、供货提前期、产品质量、供货准点率等；</w:t>
            </w:r>
            <w:r>
              <w:rPr>
                <w:rFonts w:hint="eastAsia" w:ascii="宋体" w:hAnsi="宋体"/>
                <w:color w:val="auto"/>
                <w:sz w:val="22"/>
                <w:szCs w:val="22"/>
                <w:highlight w:val="none"/>
                <w:lang w:eastAsia="zh-CN"/>
              </w:rPr>
              <w:t xml:space="preserve"> </w:t>
            </w:r>
          </w:p>
          <w:p w14:paraId="7754B0C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3．系统需提供供应商管理功能，具备已签约供应商和历史签约供应商信息展示查询及续约功能；</w:t>
            </w:r>
          </w:p>
          <w:p w14:paraId="5BE12DA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4．系统能实现对原材料采购过程的监控，跟踪采购订单的运输状态，查看采购申请信息；</w:t>
            </w:r>
          </w:p>
          <w:p w14:paraId="4A3EE92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w:t>
            </w:r>
            <w:r>
              <w:rPr>
                <w:rFonts w:hint="eastAsia" w:ascii="宋体" w:hAnsi="宋体"/>
                <w:color w:val="auto"/>
                <w:sz w:val="22"/>
                <w:highlight w:val="none"/>
                <w:lang w:eastAsia="zh-CN"/>
              </w:rPr>
              <w:t>★</w:t>
            </w:r>
            <w:r>
              <w:rPr>
                <w:rFonts w:hint="eastAsia" w:ascii="宋体" w:hAnsi="宋体"/>
                <w:color w:val="auto"/>
                <w:sz w:val="22"/>
                <w:highlight w:val="none"/>
              </w:rPr>
              <w:t>系统应提供采购所需信息，包括产品与原材料BOM比例信息、待付款信息、原材料库存信息等。</w:t>
            </w:r>
          </w:p>
          <w:p w14:paraId="5A5E80A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生产功能：</w:t>
            </w:r>
            <w:r>
              <w:rPr>
                <w:rFonts w:hint="eastAsia" w:ascii="宋体" w:hAnsi="宋体"/>
                <w:color w:val="auto"/>
                <w:sz w:val="22"/>
                <w:szCs w:val="22"/>
                <w:highlight w:val="none"/>
                <w:lang w:eastAsia="zh-CN"/>
              </w:rPr>
              <w:t xml:space="preserve"> </w:t>
            </w:r>
          </w:p>
          <w:p w14:paraId="39D1583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1．系统能够模拟实际工厂建设过程，具备工厂选址、生产线类型选择、生产线现金购买、生产线融资租赁、生产线研发、产成品仓库管理等功能，具备产成品仓库库存信息展示、产成品仓库扩容功能；</w:t>
            </w:r>
          </w:p>
          <w:p w14:paraId="46EF7A0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w:t>
            </w:r>
            <w:r>
              <w:rPr>
                <w:rFonts w:hint="eastAsia" w:ascii="宋体" w:hAnsi="宋体"/>
                <w:color w:val="auto"/>
                <w:sz w:val="22"/>
                <w:highlight w:val="none"/>
                <w:lang w:eastAsia="zh-CN"/>
              </w:rPr>
              <w:t>★</w:t>
            </w:r>
            <w:r>
              <w:rPr>
                <w:rFonts w:hint="eastAsia" w:ascii="宋体" w:hAnsi="宋体"/>
                <w:color w:val="auto"/>
                <w:sz w:val="22"/>
                <w:highlight w:val="none"/>
              </w:rPr>
              <w:t>系统能够制定生产计划并提供所需信息及辅助功能，包括生产线属性信息、原材料调拨功能、原材料采购申请功能、生产需求信息展示、生产线优化、生产线出售等功能，支持根据市场需求的变动（如商品种类、城市需求）随时调整生产计划，实现柔性生产。</w:t>
            </w:r>
            <w:r>
              <w:rPr>
                <w:rFonts w:hint="eastAsia" w:ascii="宋体" w:hAnsi="宋体"/>
                <w:color w:val="auto"/>
                <w:sz w:val="22"/>
                <w:szCs w:val="22"/>
                <w:highlight w:val="none"/>
                <w:lang w:eastAsia="zh-CN"/>
              </w:rPr>
              <w:t xml:space="preserve"> </w:t>
            </w:r>
          </w:p>
          <w:p w14:paraId="6E3073D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运输管理：</w:t>
            </w:r>
          </w:p>
          <w:p w14:paraId="0D11EF5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1．系统能够实现对订单的分批配送，能够使用多种不同参数的运输方式实现货物的配送，并能监控运输订单的完成状态，对运输信息进行查询，包括配送数量、配送方式、要求到货日期、供货进度等；</w:t>
            </w:r>
          </w:p>
          <w:p w14:paraId="3523FBF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w:t>
            </w:r>
            <w:r>
              <w:rPr>
                <w:rFonts w:hint="eastAsia" w:ascii="宋体" w:hAnsi="宋体"/>
                <w:color w:val="auto"/>
                <w:sz w:val="22"/>
                <w:highlight w:val="none"/>
                <w:lang w:eastAsia="zh-CN"/>
              </w:rPr>
              <w:t>★</w:t>
            </w:r>
            <w:r>
              <w:rPr>
                <w:rFonts w:hint="eastAsia" w:ascii="宋体" w:hAnsi="宋体"/>
                <w:color w:val="auto"/>
                <w:sz w:val="22"/>
                <w:highlight w:val="none"/>
              </w:rPr>
              <w:t>系统能够基于电子地图的城市节点展示工厂位置、仓库位置、仓库库存，实现物流网络的构建和发展，进行物料调拨。</w:t>
            </w:r>
            <w:r>
              <w:rPr>
                <w:rFonts w:hint="eastAsia" w:ascii="宋体" w:hAnsi="宋体"/>
                <w:color w:val="auto"/>
                <w:sz w:val="22"/>
                <w:szCs w:val="22"/>
                <w:highlight w:val="none"/>
                <w:lang w:eastAsia="zh-CN"/>
              </w:rPr>
              <w:t xml:space="preserve"> </w:t>
            </w:r>
          </w:p>
          <w:p w14:paraId="4C14D6A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市场管理：</w:t>
            </w:r>
          </w:p>
          <w:p w14:paraId="1FFDE59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w:t>
            </w:r>
            <w:r>
              <w:rPr>
                <w:rFonts w:hint="eastAsia" w:ascii="宋体" w:hAnsi="宋体"/>
                <w:color w:val="auto"/>
                <w:sz w:val="22"/>
                <w:highlight w:val="none"/>
                <w:lang w:eastAsia="zh-CN"/>
              </w:rPr>
              <w:t>★</w:t>
            </w:r>
            <w:r>
              <w:rPr>
                <w:rFonts w:hint="eastAsia" w:ascii="宋体" w:hAnsi="宋体"/>
                <w:color w:val="auto"/>
                <w:sz w:val="22"/>
                <w:highlight w:val="none"/>
              </w:rPr>
              <w:t>系统能够实现线上电商销售和线下投标销售两种模式，集合物流网络决策销售点的开拓，决策设置销售价格，最大化满足市场需求；</w:t>
            </w:r>
            <w:r>
              <w:rPr>
                <w:rFonts w:hint="eastAsia" w:ascii="宋体" w:hAnsi="宋体"/>
                <w:color w:val="auto"/>
                <w:sz w:val="22"/>
                <w:szCs w:val="22"/>
                <w:highlight w:val="none"/>
                <w:lang w:eastAsia="zh-CN"/>
              </w:rPr>
              <w:t xml:space="preserve"> </w:t>
            </w:r>
          </w:p>
          <w:p w14:paraId="5C41722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2．系统能够根据市场实际变动提供线下招标订单，有效模拟招标市场情况，能够决策设置线下投标价格，中标公告信息可自主查询，同时提供是否中标的信息提醒。</w:t>
            </w:r>
          </w:p>
          <w:p w14:paraId="2165230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供应链金融：</w:t>
            </w:r>
          </w:p>
          <w:p w14:paraId="739F192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w:t>
            </w:r>
            <w:r>
              <w:rPr>
                <w:rFonts w:hint="eastAsia" w:ascii="宋体" w:hAnsi="宋体"/>
                <w:color w:val="auto"/>
                <w:sz w:val="22"/>
                <w:highlight w:val="none"/>
                <w:lang w:eastAsia="zh-CN"/>
              </w:rPr>
              <w:t>★</w:t>
            </w:r>
            <w:r>
              <w:rPr>
                <w:rFonts w:hint="eastAsia" w:ascii="宋体" w:hAnsi="宋体"/>
                <w:color w:val="auto"/>
                <w:sz w:val="22"/>
                <w:highlight w:val="none"/>
              </w:rPr>
              <w:t>系统能够提供预付款融资、融资租赁、存货质押融资、保理融资四种供应链金融融资模式，并能够模拟融资合同签订，协议内容包括：金融机构、监管仓、融资金额、融资期限、融资利率、服务费率等，并能实时展示融资合同状态信息；</w:t>
            </w:r>
            <w:r>
              <w:rPr>
                <w:rFonts w:hint="eastAsia" w:ascii="宋体" w:hAnsi="宋体"/>
                <w:color w:val="auto"/>
                <w:sz w:val="22"/>
                <w:szCs w:val="22"/>
                <w:highlight w:val="none"/>
                <w:lang w:eastAsia="zh-CN"/>
              </w:rPr>
              <w:t xml:space="preserve"> </w:t>
            </w:r>
          </w:p>
          <w:p w14:paraId="16A1C49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2．系统具备融资失效记录、违约记录信息展示；</w:t>
            </w:r>
          </w:p>
          <w:p w14:paraId="425C543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w:t>
            </w:r>
            <w:r>
              <w:rPr>
                <w:rFonts w:hint="eastAsia" w:ascii="宋体" w:hAnsi="宋体"/>
                <w:color w:val="auto"/>
                <w:sz w:val="22"/>
                <w:highlight w:val="none"/>
                <w:lang w:eastAsia="zh-CN"/>
              </w:rPr>
              <w:t>★</w:t>
            </w:r>
            <w:r>
              <w:rPr>
                <w:rFonts w:hint="eastAsia" w:ascii="宋体" w:hAnsi="宋体"/>
                <w:color w:val="auto"/>
                <w:sz w:val="22"/>
                <w:highlight w:val="none"/>
              </w:rPr>
              <w:t>系统能在模拟运作过程中对团队财务指标进行实时分析，能够展示财务三张报表信息（资产负债表、利润表和现金流量表）。</w:t>
            </w:r>
            <w:r>
              <w:rPr>
                <w:rFonts w:hint="eastAsia" w:ascii="宋体" w:hAnsi="宋体"/>
                <w:color w:val="auto"/>
                <w:sz w:val="22"/>
                <w:szCs w:val="22"/>
                <w:highlight w:val="none"/>
                <w:lang w:eastAsia="zh-CN"/>
              </w:rPr>
              <w:t xml:space="preserve"> </w:t>
            </w:r>
          </w:p>
          <w:p w14:paraId="5589746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排行：</w:t>
            </w:r>
          </w:p>
          <w:p w14:paraId="3AA7E08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1．系统能够实时查看团队的运营指标并进行评分排行，评分指标包括总资产、市场占有率、产销比、库存周转率、订单满足率、投资回报率；</w:t>
            </w:r>
          </w:p>
          <w:p w14:paraId="009A2F5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w:t>
            </w:r>
            <w:r>
              <w:rPr>
                <w:rFonts w:hint="eastAsia" w:ascii="宋体" w:hAnsi="宋体"/>
                <w:color w:val="auto"/>
                <w:sz w:val="22"/>
                <w:highlight w:val="none"/>
                <w:lang w:eastAsia="zh-CN"/>
              </w:rPr>
              <w:t>★</w:t>
            </w:r>
            <w:r>
              <w:rPr>
                <w:rFonts w:hint="eastAsia" w:ascii="宋体" w:hAnsi="宋体"/>
                <w:color w:val="auto"/>
                <w:sz w:val="22"/>
                <w:highlight w:val="none"/>
              </w:rPr>
              <w:t>系统能够实时查看团队信用评分，排名指标包括净资产、市场占有率、偿债能力、运营能力、盈利能力。</w:t>
            </w:r>
            <w:r>
              <w:rPr>
                <w:rFonts w:hint="eastAsia" w:ascii="宋体" w:hAnsi="宋体"/>
                <w:color w:val="auto"/>
                <w:sz w:val="22"/>
                <w:szCs w:val="22"/>
                <w:highlight w:val="none"/>
                <w:lang w:eastAsia="zh-CN"/>
              </w:rPr>
              <w:t xml:space="preserve"> </w:t>
            </w:r>
          </w:p>
          <w:p w14:paraId="142D204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数据分析：</w:t>
            </w:r>
          </w:p>
          <w:p w14:paraId="03BB8E1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w:t>
            </w:r>
            <w:r>
              <w:rPr>
                <w:rFonts w:hint="eastAsia" w:ascii="宋体" w:hAnsi="宋体"/>
                <w:color w:val="auto"/>
                <w:sz w:val="22"/>
                <w:highlight w:val="none"/>
                <w:lang w:eastAsia="zh-CN"/>
              </w:rPr>
              <w:t>★</w:t>
            </w:r>
            <w:r>
              <w:rPr>
                <w:rFonts w:hint="eastAsia" w:ascii="宋体" w:hAnsi="宋体"/>
                <w:color w:val="auto"/>
                <w:sz w:val="22"/>
                <w:highlight w:val="none"/>
              </w:rPr>
              <w:t>系统能够提供市场背景信息辅助团队运营，包括案例介绍、市场需求数据折线图、城市建筑建造成本表、供应商信息资料、客户所在城市资料、不同融资模式中不同金融机构的基本利息信息、生产设备说明资料、融资规则介绍、产品原材料BOM数据等；</w:t>
            </w:r>
            <w:r>
              <w:rPr>
                <w:rFonts w:hint="eastAsia" w:ascii="宋体" w:hAnsi="宋体"/>
                <w:color w:val="auto"/>
                <w:sz w:val="22"/>
                <w:szCs w:val="22"/>
                <w:highlight w:val="none"/>
                <w:lang w:eastAsia="zh-CN"/>
              </w:rPr>
              <w:t xml:space="preserve"> </w:t>
            </w:r>
          </w:p>
          <w:p w14:paraId="41FBBB1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w:t>
            </w:r>
            <w:r>
              <w:rPr>
                <w:rFonts w:hint="eastAsia" w:ascii="宋体" w:hAnsi="宋体"/>
                <w:color w:val="auto"/>
                <w:sz w:val="22"/>
                <w:highlight w:val="none"/>
                <w:lang w:eastAsia="zh-CN"/>
              </w:rPr>
              <w:t>★</w:t>
            </w:r>
            <w:r>
              <w:rPr>
                <w:rFonts w:hint="eastAsia" w:ascii="宋体" w:hAnsi="宋体"/>
                <w:color w:val="auto"/>
                <w:sz w:val="22"/>
                <w:highlight w:val="none"/>
              </w:rPr>
              <w:t>系统能在模拟运作过程中对团队进行实时经营指标分析，包括总排行、财务数据分析、市场数据分析、采购数据分析、生产数据分析、仓储配送分析、每周趋势分析、招标数量清单、绩效数据分析。</w:t>
            </w:r>
          </w:p>
          <w:p w14:paraId="72E1A58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运营角色控制：</w:t>
            </w:r>
            <w:r>
              <w:rPr>
                <w:rFonts w:hint="eastAsia" w:ascii="宋体" w:hAnsi="宋体"/>
                <w:color w:val="auto"/>
                <w:sz w:val="22"/>
                <w:szCs w:val="22"/>
                <w:highlight w:val="none"/>
                <w:lang w:eastAsia="zh-CN"/>
              </w:rPr>
              <w:t xml:space="preserve"> </w:t>
            </w:r>
          </w:p>
          <w:p w14:paraId="317FFBF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1．系统应能实现企业中五个关键岗位之间的轮岗，包含采购总监、生产总监、物流总监、市场总监、融资总监。</w:t>
            </w:r>
          </w:p>
          <w:p w14:paraId="024CA01E">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五、其它功能</w:t>
            </w:r>
          </w:p>
          <w:p w14:paraId="4DDB41F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1．系统能够模拟供应链中生产型企业的整体运营过程，涵盖生产企业中的市场管理、采购管理、生产管理、运输管理、供应链金融等业务环节；</w:t>
            </w:r>
          </w:p>
          <w:p w14:paraId="75AA68F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2．系统应能基于电子地图实现工厂建造、仓库建造、仓库租赁、市场开通；</w:t>
            </w:r>
          </w:p>
          <w:p w14:paraId="08F6213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3．系统能够实现资产抵押的贷款功能，具备贷款金额、贷款期限、贷款利率等信息，同时展示还款信息；</w:t>
            </w:r>
          </w:p>
          <w:p w14:paraId="4BC22A7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4．系统能够展示班级当前实时在线人数，提供信号灯便于操作者查看网络情况；</w:t>
            </w:r>
          </w:p>
          <w:p w14:paraId="01E5E44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5．系统支持本地安装软件和在线直接访问软件功能并提供PC端登录功能；</w:t>
            </w:r>
          </w:p>
          <w:p w14:paraId="4EA36F9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6．系统需向实验者提供供应链关键节点具有指导性、带有决策性的数据信息；</w:t>
            </w:r>
          </w:p>
          <w:p w14:paraId="5591147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7．系统需为新手提供帮助指引，使实验者快速熟悉软件基本操作；</w:t>
            </w:r>
          </w:p>
          <w:p w14:paraId="65EAE0A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8．系统需在运营过程中能够提供消息实时提醒，内容包括交易、采购、生产、物流、金融、系统提示等类型。</w:t>
            </w:r>
          </w:p>
          <w:p w14:paraId="45C3364D">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六、配套啤酒游戏实验系统</w:t>
            </w:r>
          </w:p>
          <w:p w14:paraId="2634AEFB">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啤酒游戏实验系统应用于介绍和解释“牛鞭效应”现象，实验者分别扮演供应链中不同的角色并力求达成两个目标——个人目标是使自己扮演的角色成本最低、利润最大；总体目标是使得整体供应链的总体成本最小化。系统以制造行业的供应链为业务环境，设置了4个供应链上的角色，包括1个制造商、1个分销商、1个批发商、1个零售商，其中零售商向最终消费者提供服务。该实验由实验者分组协作完成，每个小组中的单个实验者分别扮演供应链上的某一个角色（消费者除外）；在最多30周内，根据下游的订货量（配置的实验数据）和自己当前的库存水平（包括现有库存和在途库存），决定是否要向上游订货（或生产），应订多少货（或应产多少货）。通过实验，深入了解牛鞭效应的形成过程及产生原理，寻找改善方法。</w:t>
            </w:r>
          </w:p>
          <w:p w14:paraId="20B4E159">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（一）技术要求</w:t>
            </w:r>
          </w:p>
          <w:p w14:paraId="07FB72FF">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1．系统基于 Spring 框架的 BS 架构体系，架构体系具有先进性，具有较高的稳定性和可靠性；</w:t>
            </w:r>
          </w:p>
          <w:p w14:paraId="3482281B">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2． Spring 框架提供了广泛的功能模块，包括数据访问、事务管理、安全、消息等，能满足各种业务需求。可以方便地添加新的功能模块和组件，适应不断变化的业务发展；</w:t>
            </w:r>
          </w:p>
          <w:p w14:paraId="584EFC61">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3． 系统界面具有简洁直观，信息展示清晰、操作便捷和一致性的特点；</w:t>
            </w:r>
          </w:p>
          <w:p w14:paraId="4B1FF6F7">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4． 系统支持单机或者集群化部署，部署策略灵活，可以适应不同的基础设施场景；</w:t>
            </w:r>
          </w:p>
          <w:p w14:paraId="530E7AAC">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5．系统需具备完善的权限管理，例如：用户管理、角色管理、菜单权限等设置保障信息安全。</w:t>
            </w:r>
          </w:p>
          <w:p w14:paraId="1698EF6A">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（二）系统核心功能</w:t>
            </w:r>
          </w:p>
          <w:p w14:paraId="61D35A9B">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1．系统需具备设置实验房间名称、实验组数、决策时长的功能；</w:t>
            </w:r>
          </w:p>
          <w:p w14:paraId="3E16FD4F">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2．系统需具备查看经营成本、利润情况的功能；</w:t>
            </w:r>
          </w:p>
          <w:p w14:paraId="7E2352E6">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3．系统需具备设置供应链长度（最大长度4）、供应周期的功能；</w:t>
            </w:r>
          </w:p>
          <w:p w14:paraId="41CDA4AD">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4．系统需具备设置消费者需求曲线、周数设置、信息透明度的功能；</w:t>
            </w:r>
          </w:p>
          <w:p w14:paraId="5281150A">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5．系统需具备模拟供应链上消费者、零售商、批发商、分销商、制造商五个重要角色组成完整业务链条完成模拟实验的功能；并具备通过模拟实验直观体会牛鞭效应对供应链上各阶段成员的影响效果的功能；</w:t>
            </w:r>
          </w:p>
          <w:p w14:paraId="219F6F34">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6．系统需具备根据下游的订货量（配置的实验数据）和自己当前的库存水平（包括现有库存和在途库存），决定是否要向上游订货（或生产），应订（或产）多少货的功能；</w:t>
            </w:r>
          </w:p>
          <w:p w14:paraId="6DDBCE9C">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7．系统需具备以图表形式反馈实验者的实验决策数据的功能；</w:t>
            </w:r>
          </w:p>
          <w:p w14:paraId="70E1AD71">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8．系统需具备体现竞争性学习特点的功能；</w:t>
            </w:r>
          </w:p>
          <w:p w14:paraId="0E043DD6">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9．系统需具备灵活在PC端和移动端对实验系统进行访问的功能；</w:t>
            </w:r>
          </w:p>
          <w:p w14:paraId="77B868F1">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10．系统需具备对实验数据进行配置和管理以形成不同实验难度的功能；</w:t>
            </w:r>
          </w:p>
          <w:p w14:paraId="0413B248">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11．系统需具备对经营过程参数和经营性参数两个部分进行配置的功能；</w:t>
            </w:r>
          </w:p>
          <w:p w14:paraId="15A96775">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12．系统需具备对消费者需求量、周数设置、信息透明度、供应链长度、经营成本及单箱利润业务数据进行配置的功能；</w:t>
            </w:r>
          </w:p>
          <w:p w14:paraId="5AD7A25A">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13．系统需具备将学生的实验历史数据导出至Excel的功能；</w:t>
            </w:r>
          </w:p>
          <w:p w14:paraId="765BC1E2">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14．系统需具备加入实验查看实验设置信息开始新实验或开始上次的实验数据继续实验的功能；</w:t>
            </w:r>
          </w:p>
          <w:p w14:paraId="6325EA1C">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15．系统需具备新建实验后即进入实验主界面的功能；</w:t>
            </w:r>
          </w:p>
          <w:p w14:paraId="036CD008">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16．系统需具备在实验者设置的时间内根据下游需求情况确定向上游的订货量以及向下游的发货量，并按周向前推进，实验结束后，系统自动展示实验结果的功能；</w:t>
            </w:r>
          </w:p>
          <w:p w14:paraId="15704EC5">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17．系统需具备查看某个实验的实验结果以及过程性数据的功能；</w:t>
            </w:r>
          </w:p>
          <w:p w14:paraId="26803B12">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18．系统需具备查看实验规则说明的功能；</w:t>
            </w:r>
          </w:p>
          <w:p w14:paraId="1A4F7100">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19．系统需具备对比经营结果的功能。</w:t>
            </w:r>
          </w:p>
          <w:p w14:paraId="73009240">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（三）教师端功能：</w:t>
            </w:r>
          </w:p>
          <w:p w14:paraId="40C2F172">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系统教师端需具备用户管理功能：</w:t>
            </w:r>
          </w:p>
          <w:p w14:paraId="6D43316F">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1．用户管理：系统需具备不同班级学生账号的新增、修改、删除，并能根据学生账号分组创建组长授权添加、修改、删除的功能，支持分批次班级授课。</w:t>
            </w:r>
          </w:p>
          <w:p w14:paraId="06DB7839">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七、配套热狗游戏实验系统</w:t>
            </w:r>
          </w:p>
          <w:p w14:paraId="05B39D2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热狗游戏实验系统应用于介绍和解释“生产瓶颈”现象，实验者通过模拟生产热狗，目标是在有限时间内尽可能的多制作产成品（热狗），同时最小化半成品的浪费。系统模拟了一条制造热狗的生产线，包含烘包、调料、烤肠、打包四个工序，每道工序对应不同的生产效率。实验者可独立或协作完成热狗制作，在制作过程中决策生产顺序以及生产数量。通过实验，体验生产活动，理解瓶颈理论原理，在生产过程中寻找影响效率的瓶颈点并思考改善方法。</w:t>
            </w:r>
          </w:p>
          <w:p w14:paraId="016C7A4A">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（一）</w:t>
            </w:r>
            <w:r>
              <w:rPr>
                <w:rFonts w:hint="default" w:ascii="宋体" w:hAnsi="宋体"/>
                <w:color w:val="auto"/>
                <w:sz w:val="22"/>
                <w:highlight w:val="none"/>
                <w:lang w:val="en-US" w:eastAsia="zh-CN"/>
              </w:rPr>
              <w:t>技术要求</w:t>
            </w:r>
          </w:p>
          <w:p w14:paraId="7C89E43B">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1．系统需基于 Spring 框架的 BS 架构体系，架构体系具有先进性，具有较高的稳定性和可靠性；</w:t>
            </w:r>
          </w:p>
          <w:p w14:paraId="52A5041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2． Spring 框架提供了广泛的功能模块，包括数据访问、事务管理、安全、消息等，能满足各种业务需求。可以方便地添加新的功能模块和组件，适应不断变化的业务发展；</w:t>
            </w:r>
          </w:p>
          <w:p w14:paraId="037BB88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3．系统界面具有简洁直观，信息展示清晰、操作便捷和一致性的特点；</w:t>
            </w:r>
          </w:p>
          <w:p w14:paraId="1B63E5E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4．系统支持单机或者集群化部署，部署策略灵活，可以适应不同的基础设施场景；</w:t>
            </w:r>
          </w:p>
          <w:p w14:paraId="7FD3C7E5">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5．系统需具备完善的权限管理，例如：用户管理、角色管理、菜单权限等设置保障信息安全。</w:t>
            </w:r>
          </w:p>
          <w:p w14:paraId="293C5BE1">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（二）</w:t>
            </w:r>
            <w:r>
              <w:rPr>
                <w:rFonts w:hint="default" w:ascii="宋体" w:hAnsi="宋体"/>
                <w:color w:val="auto"/>
                <w:sz w:val="22"/>
                <w:highlight w:val="none"/>
                <w:lang w:val="en-US" w:eastAsia="zh-CN"/>
              </w:rPr>
              <w:t>系统核心功能</w:t>
            </w:r>
          </w:p>
          <w:p w14:paraId="3E038D4A">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1．系统需具备设置实验模式、实验规模、生产方式、决策时长的功能；</w:t>
            </w:r>
          </w:p>
          <w:p w14:paraId="58C0D138">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2．系统需具备设置生产效率模式、优化效率、产耗配比情况的功能；</w:t>
            </w:r>
          </w:p>
          <w:p w14:paraId="6D09772B">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3．系统需包含烘包、调料、烤肠、打包四个工序；面包、调料、烤肠三个半成品；热狗一个产成品；</w:t>
            </w:r>
          </w:p>
          <w:p w14:paraId="3DED10EE">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4．系统需具备独立或协作体验实验的功能；</w:t>
            </w:r>
          </w:p>
          <w:p w14:paraId="101357F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5．系统需具备在实验者设置的时间内开展生产活动，决策生产工序（顺序）以及生产数量的功能；</w:t>
            </w:r>
          </w:p>
          <w:p w14:paraId="3EEDE8A7">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6．系统需具备反馈实验者的实验决策数据、统计数据分析生产瓶颈点的功能；</w:t>
            </w:r>
          </w:p>
          <w:p w14:paraId="39A2E5C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7．系统需具备根据不同的实验数据对应不同的生产效率，体现不同的实验难度的功能；</w:t>
            </w:r>
          </w:p>
          <w:p w14:paraId="72736F32">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8．系统需具备通过实验结果对比体现竞争性学习特点的功能；</w:t>
            </w:r>
          </w:p>
          <w:p w14:paraId="0DA757E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9．系统需具备灵活在PC端和移动端对实验系统进行访问的功能；</w:t>
            </w:r>
          </w:p>
          <w:p w14:paraId="4314EB6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10．系统需具备查看并将学生的实验历史数据导出至Excel的功能；</w:t>
            </w:r>
          </w:p>
          <w:p w14:paraId="02BBA67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11．系统需具备加入实验、查看实验设置信息、开始新实验的功能；</w:t>
            </w:r>
          </w:p>
          <w:p w14:paraId="10B96A69">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12．系统需具备新建实验或者载入实验后即进入实验主界面，在设置的时间内根据各个生产环节的效率以及劳动力情况，制定生产计划、决策生产顺序以及产量的功能；</w:t>
            </w:r>
          </w:p>
          <w:p w14:paraId="011D388E">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13．系统需具备查看实验规则说明的功能；</w:t>
            </w:r>
          </w:p>
          <w:p w14:paraId="35A70E40">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14．系统需具备查看某个实验所有参与实验者实验结果和实验数据的功能。</w:t>
            </w:r>
          </w:p>
          <w:p w14:paraId="717FE986">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（三）</w:t>
            </w:r>
            <w:r>
              <w:rPr>
                <w:rFonts w:hint="default" w:ascii="宋体" w:hAnsi="宋体"/>
                <w:color w:val="auto"/>
                <w:sz w:val="22"/>
                <w:highlight w:val="none"/>
                <w:lang w:val="en-US" w:eastAsia="zh-CN"/>
              </w:rPr>
              <w:t>教师端功能</w:t>
            </w:r>
          </w:p>
          <w:p w14:paraId="13CA385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系统教师端需具备用户管理功能：</w:t>
            </w:r>
          </w:p>
          <w:p w14:paraId="0082C6E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1．用户管理：系统需具备不同班级学生账号的新增、修改、删除，并能根据学生账号分组创建组长授权添加、修改、删除的功能，支持分批次班级授课。</w:t>
            </w:r>
          </w:p>
          <w:p w14:paraId="6D3AD7E8">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八、配套风险分担实验系统</w:t>
            </w:r>
          </w:p>
          <w:p w14:paraId="5D760EF3">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风险分担实验系统应聚焦“风险分担”的问题，通过模拟管理集中式仓储/分散式仓储系统，比较两者的绩效指标，体验是否分担风险对企业库存、成本和服务水平的影响。</w:t>
            </w:r>
          </w:p>
          <w:p w14:paraId="1A29F32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系统以销售企业的零售业务为背景，设置了集中式和分散式仓储两种模式。其中集中式仓储模式下有三个角色，包括1个工厂、1个中央仓库、3个门店；分散式仓储模式下有两个角色，包括1个工厂、3个门店。每个门店自带一个小型仓库，面向最终消费者提供销售服务。实验者以获取最大化的总利润为目标，在实验者设置30周内，根据末端消费者的需求情况，结合发货周期，在集中式仓储模式下决策中央仓库是否向工厂订货及订货数量、是否向门店发货，中央仓是否向门店发货及发货数量，在分散式仓储模式下决策门店是否向工厂订货及订货数量。通过实验，实验者可深入了解风险产生的原因以及通过设立多级库存减小风险的方法。</w:t>
            </w:r>
          </w:p>
          <w:p w14:paraId="408BCFED">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（一）</w:t>
            </w:r>
            <w:r>
              <w:rPr>
                <w:rFonts w:hint="default" w:ascii="宋体" w:hAnsi="宋体"/>
                <w:color w:val="auto"/>
                <w:sz w:val="22"/>
                <w:highlight w:val="none"/>
                <w:lang w:val="en-US" w:eastAsia="zh-CN"/>
              </w:rPr>
              <w:t>技术要求</w:t>
            </w:r>
          </w:p>
          <w:p w14:paraId="3B4E41A6">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1．系统需基于 Spring 框架的 BS 架构体系，架构体系具有先进性，具有较高的稳定性和可靠性；</w:t>
            </w:r>
          </w:p>
          <w:p w14:paraId="6A7FD1D2">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2．Spring 框架提供了广泛的功能模块，包括数据访问、事务管理、安全、消息等，能满足各种业务需求。可以方便地添加新的功能模块和组件，适应不断变化的业务发展；</w:t>
            </w:r>
          </w:p>
          <w:p w14:paraId="63D125EE">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3．系统界面具有简洁直观，信息展示清晰、操作便捷和一致性的特点；</w:t>
            </w:r>
          </w:p>
          <w:p w14:paraId="03CF2415">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4．系统支持单机或者集群化部署，部署策略灵活，可以适应不同的基础设施场景；</w:t>
            </w:r>
          </w:p>
          <w:p w14:paraId="226E347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5．系统需具备完善的权限管理，例如：用户管理、角色管理、菜单权限等设置保障信息安全。</w:t>
            </w:r>
          </w:p>
          <w:p w14:paraId="46E9D932">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（二）</w:t>
            </w:r>
            <w:r>
              <w:rPr>
                <w:rFonts w:hint="default" w:ascii="宋体" w:hAnsi="宋体"/>
                <w:color w:val="auto"/>
                <w:sz w:val="22"/>
                <w:highlight w:val="none"/>
                <w:lang w:val="en-US" w:eastAsia="zh-CN"/>
              </w:rPr>
              <w:t>系统核心功能</w:t>
            </w:r>
          </w:p>
          <w:p w14:paraId="7B19E2D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1．系统需具备设置实验房间名称、决策实验时长数据的功能；</w:t>
            </w:r>
          </w:p>
          <w:p w14:paraId="549D5B92">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2．系统需具备设置初始库存数量、在途库存数量、经营成本及销售数据的功能；</w:t>
            </w:r>
          </w:p>
          <w:p w14:paraId="2ECBDC26">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3．系统需包含集中式和分散式两种仓储模式；</w:t>
            </w:r>
          </w:p>
          <w:p w14:paraId="7E42342A">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4．系统需包含工厂、仓库、门店和客户，共四个角色；</w:t>
            </w:r>
          </w:p>
          <w:p w14:paraId="57BCB52F">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5．系统需具备通过对比体验不同模式下的风险应对情况，直观的体会多级仓储与单级仓储对企业库存、成本和服务水平影响的功能；</w:t>
            </w:r>
          </w:p>
          <w:p w14:paraId="17A723C0">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6．系统需具备根据下游的订货量（配置的实验数据）和各级仓库当前的库存水平（包括现有库存和在途库存），决定是否要向上游订货以及订多少货，是否要向下游发货以及发多少货的功能；</w:t>
            </w:r>
          </w:p>
          <w:p w14:paraId="009FC32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7．系统需具备以图表的形式反馈实验者实验决策数据的功能；</w:t>
            </w:r>
          </w:p>
          <w:p w14:paraId="5BC96CD2">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 xml:space="preserve">8．系统需具备根据图表数据分析库存堆积及缺货风险形成过程的功能。 </w:t>
            </w:r>
          </w:p>
          <w:p w14:paraId="43CEFD82">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9．系统需具备在PC端和移动端对实验系统进行访问的功能；</w:t>
            </w:r>
          </w:p>
          <w:p w14:paraId="0B178AC6">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10．系统需具备对实验数据进行配置和管理以形成不同的实验难度的功能；</w:t>
            </w:r>
          </w:p>
          <w:p w14:paraId="3A941FC0">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11．系统需具备对基础经营参数和经营过程参数进行配置的功能；</w:t>
            </w:r>
          </w:p>
          <w:p w14:paraId="4F2717DA">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12．系统需具备对库存数量（在途库存和当前库存）、经营成本（订货成本、库存成本）、销售价格业务数据、消费者需求量、需求周期内容进行设置的功能；</w:t>
            </w:r>
          </w:p>
          <w:p w14:paraId="3279A5DC">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13．系统需具备查看学生的实验结果，将学生的实验历史数据导出至Excel的功能；</w:t>
            </w:r>
          </w:p>
          <w:p w14:paraId="0361AEB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14．系统需具备加入实验查看实验设置信息开始新实验的功能；</w:t>
            </w:r>
          </w:p>
          <w:p w14:paraId="26E5E4E4">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15．系统需具备查看某个实验过程性数据的功能；</w:t>
            </w:r>
          </w:p>
          <w:p w14:paraId="55C347B1">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16．系统需具备查看实验规则说明的功能。</w:t>
            </w:r>
          </w:p>
          <w:p w14:paraId="70F70ECC">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（三）</w:t>
            </w:r>
            <w:r>
              <w:rPr>
                <w:rFonts w:hint="default" w:ascii="宋体" w:hAnsi="宋体"/>
                <w:color w:val="auto"/>
                <w:sz w:val="22"/>
                <w:highlight w:val="none"/>
                <w:lang w:val="en-US" w:eastAsia="zh-CN"/>
              </w:rPr>
              <w:t>教师端功能</w:t>
            </w:r>
          </w:p>
          <w:p w14:paraId="77CC9797">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系统教师端需具备用户管理功能：</w:t>
            </w:r>
          </w:p>
          <w:p w14:paraId="2EAFA5E4">
            <w:pPr>
              <w:widowControl/>
              <w:jc w:val="left"/>
              <w:textAlignment w:val="center"/>
              <w:rPr>
                <w:rFonts w:hint="default" w:ascii="宋体" w:hAnsi="宋体"/>
                <w:color w:val="auto"/>
                <w:sz w:val="22"/>
                <w:highlight w:val="none"/>
                <w:lang w:val="en-US" w:eastAsia="zh-CN"/>
              </w:rPr>
            </w:pPr>
            <w:r>
              <w:rPr>
                <w:rFonts w:hint="default" w:ascii="宋体" w:hAnsi="宋体"/>
                <w:color w:val="auto"/>
                <w:sz w:val="22"/>
                <w:highlight w:val="none"/>
                <w:lang w:val="en-US" w:eastAsia="zh-CN"/>
              </w:rPr>
              <w:t>1．用户管理：系统需具备不同班级学生账号的新增、修改、删除，并能根据学生账号分组创建组长授权添加、修改、删除的功能，支持分批次班级授课．</w:t>
            </w:r>
          </w:p>
          <w:p w14:paraId="3CCEDE8B">
            <w:pPr>
              <w:widowControl/>
              <w:jc w:val="left"/>
              <w:textAlignment w:val="center"/>
              <w:rPr>
                <w:rFonts w:hint="eastAsia" w:ascii="宋体" w:hAnsi="宋体"/>
                <w:color w:val="auto"/>
                <w:sz w:val="22"/>
                <w:highlight w:val="none"/>
                <w:lang w:val="en-US" w:eastAsia="zh-CN"/>
              </w:rPr>
            </w:pPr>
            <w:r>
              <w:rPr>
                <w:rFonts w:hint="eastAsia" w:ascii="宋体" w:hAnsi="宋体"/>
                <w:color w:val="auto"/>
                <w:sz w:val="22"/>
                <w:highlight w:val="none"/>
                <w:lang w:val="en-US" w:eastAsia="zh-CN"/>
              </w:rPr>
              <w:t>九、其他要求</w:t>
            </w:r>
          </w:p>
          <w:p w14:paraId="60E3EC03">
            <w:pPr>
              <w:widowControl/>
              <w:jc w:val="left"/>
              <w:textAlignment w:val="center"/>
              <w:rPr>
                <w:rFonts w:hint="default" w:ascii="宋体" w:hAnsi="宋体"/>
                <w:color w:val="auto"/>
                <w:sz w:val="22"/>
                <w:highlight w:val="none"/>
                <w:lang w:val="en-US" w:eastAsia="zh-CN"/>
              </w:rPr>
            </w:pPr>
            <w:r>
              <w:rPr>
                <w:rFonts w:hint="eastAsia" w:ascii="宋体" w:hAnsi="宋体"/>
                <w:color w:val="auto"/>
                <w:sz w:val="22"/>
                <w:highlight w:val="none"/>
                <w:lang w:val="en-US" w:eastAsia="zh-CN"/>
              </w:rPr>
              <w:t>协助采购人完成供应链管理师赛项培训。</w:t>
            </w:r>
          </w:p>
          <w:p w14:paraId="2ED1B406">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（二）《供应链运营实战》课程</w:t>
            </w:r>
          </w:p>
          <w:p w14:paraId="702195E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1.课程建设要求</w:t>
            </w:r>
          </w:p>
          <w:p w14:paraId="05EFB38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（1）每个实验任务均包括任务介绍、建议学时、知识点。</w:t>
            </w:r>
          </w:p>
          <w:p w14:paraId="28644FF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（2）包含任务引入、任务实施、任务考核、任务反馈四个核心内容。</w:t>
            </w:r>
          </w:p>
          <w:p w14:paraId="327CAEA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（3）实验任务部署在实验课程平台上，实现与教师讲解、学生自学、实验支撑系统的自动链接。</w:t>
            </w:r>
          </w:p>
          <w:p w14:paraId="18EA23D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（4）每个任务含数字化教学内容一套（包括任务对应的ppt、讲义）。</w:t>
            </w:r>
          </w:p>
          <w:p w14:paraId="0369972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2.实验课程内容</w:t>
            </w:r>
          </w:p>
          <w:p w14:paraId="7AF25DD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（1）围绕供应链协同运营，采用模拟经营、角色扮演、实战对抗的方式。</w:t>
            </w:r>
          </w:p>
          <w:p w14:paraId="722D4F8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（2）加强学生对供应链运营管理的兴趣，掌握供应链运营的核心要点。</w:t>
            </w:r>
          </w:p>
          <w:p w14:paraId="5FC6408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（3）培养学生系统性、全局性的思考与决策能力、团队协作与沟通能力。</w:t>
            </w:r>
          </w:p>
          <w:p w14:paraId="696CC99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（4）主要实验任务和内容：</w:t>
            </w:r>
          </w:p>
          <w:tbl>
            <w:tblPr>
              <w:tblStyle w:val="8"/>
              <w:tblW w:w="5000" w:type="pct"/>
              <w:tblInd w:w="0" w:type="dxa"/>
              <w:tblLayout w:type="fixed"/>
              <w:tblCellMar>
                <w:top w:w="0" w:type="dxa"/>
                <w:left w:w="108" w:type="dxa"/>
                <w:bottom w:w="0" w:type="dxa"/>
                <w:right w:w="108" w:type="dxa"/>
              </w:tblCellMar>
            </w:tblPr>
            <w:tblGrid>
              <w:gridCol w:w="890"/>
              <w:gridCol w:w="2358"/>
              <w:gridCol w:w="5812"/>
              <w:gridCol w:w="888"/>
            </w:tblGrid>
            <w:tr w14:paraId="1868BF86">
              <w:tblPrEx>
                <w:tblCellMar>
                  <w:top w:w="0" w:type="dxa"/>
                  <w:left w:w="108" w:type="dxa"/>
                  <w:bottom w:w="0" w:type="dxa"/>
                  <w:right w:w="108" w:type="dxa"/>
                </w:tblCellMar>
              </w:tblPrEx>
              <w:trPr>
                <w:trHeight w:val="280" w:hRule="atLeast"/>
              </w:trPr>
              <w:tc>
                <w:tcPr>
                  <w:tcW w:w="447" w:type="pct"/>
                  <w:tcBorders>
                    <w:top w:val="single" w:color="auto" w:sz="4" w:space="0"/>
                    <w:left w:val="single" w:color="auto" w:sz="4" w:space="0"/>
                    <w:bottom w:val="single" w:color="auto" w:sz="4" w:space="0"/>
                    <w:right w:val="single" w:color="auto" w:sz="4" w:space="0"/>
                  </w:tcBorders>
                  <w:noWrap/>
                  <w:vAlign w:val="center"/>
                </w:tcPr>
                <w:p w14:paraId="7292321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85" w:type="pct"/>
                  <w:tcBorders>
                    <w:top w:val="single" w:color="auto" w:sz="4" w:space="0"/>
                    <w:left w:val="nil"/>
                    <w:bottom w:val="single" w:color="auto" w:sz="4" w:space="0"/>
                    <w:right w:val="single" w:color="auto" w:sz="4" w:space="0"/>
                  </w:tcBorders>
                  <w:noWrap/>
                  <w:vAlign w:val="center"/>
                </w:tcPr>
                <w:p w14:paraId="42507B2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实验任务</w:t>
                  </w:r>
                </w:p>
              </w:tc>
              <w:tc>
                <w:tcPr>
                  <w:tcW w:w="2922" w:type="pct"/>
                  <w:tcBorders>
                    <w:top w:val="single" w:color="auto" w:sz="4" w:space="0"/>
                    <w:left w:val="nil"/>
                    <w:bottom w:val="single" w:color="auto" w:sz="4" w:space="0"/>
                    <w:right w:val="single" w:color="auto" w:sz="4" w:space="0"/>
                  </w:tcBorders>
                  <w:noWrap w:val="0"/>
                  <w:vAlign w:val="center"/>
                </w:tcPr>
                <w:p w14:paraId="1D8B1E4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任务内容及要求</w:t>
                  </w:r>
                </w:p>
              </w:tc>
              <w:tc>
                <w:tcPr>
                  <w:tcW w:w="447" w:type="pct"/>
                  <w:tcBorders>
                    <w:top w:val="single" w:color="auto" w:sz="4" w:space="0"/>
                    <w:left w:val="nil"/>
                    <w:bottom w:val="single" w:color="auto" w:sz="4" w:space="0"/>
                    <w:right w:val="single" w:color="auto" w:sz="4" w:space="0"/>
                  </w:tcBorders>
                  <w:noWrap/>
                  <w:vAlign w:val="center"/>
                </w:tcPr>
                <w:p w14:paraId="269D1B8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课时</w:t>
                  </w:r>
                </w:p>
              </w:tc>
            </w:tr>
            <w:tr w14:paraId="5ABA44A8">
              <w:tblPrEx>
                <w:tblCellMar>
                  <w:top w:w="0" w:type="dxa"/>
                  <w:left w:w="108" w:type="dxa"/>
                  <w:bottom w:w="0" w:type="dxa"/>
                  <w:right w:w="108" w:type="dxa"/>
                </w:tblCellMar>
              </w:tblPrEx>
              <w:trPr>
                <w:trHeight w:val="260" w:hRule="atLeast"/>
              </w:trPr>
              <w:tc>
                <w:tcPr>
                  <w:tcW w:w="447" w:type="pct"/>
                  <w:tcBorders>
                    <w:top w:val="nil"/>
                    <w:left w:val="single" w:color="auto" w:sz="4" w:space="0"/>
                    <w:bottom w:val="single" w:color="auto" w:sz="4" w:space="0"/>
                    <w:right w:val="single" w:color="auto" w:sz="4" w:space="0"/>
                  </w:tcBorders>
                  <w:noWrap/>
                  <w:vAlign w:val="center"/>
                </w:tcPr>
                <w:p w14:paraId="53C11A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85" w:type="pct"/>
                  <w:tcBorders>
                    <w:top w:val="nil"/>
                    <w:left w:val="nil"/>
                    <w:bottom w:val="single" w:color="auto" w:sz="4" w:space="0"/>
                    <w:right w:val="single" w:color="auto" w:sz="4" w:space="0"/>
                  </w:tcBorders>
                  <w:noWrap/>
                  <w:vAlign w:val="center"/>
                </w:tcPr>
                <w:p w14:paraId="3006AD9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组建运营团队</w:t>
                  </w:r>
                </w:p>
              </w:tc>
              <w:tc>
                <w:tcPr>
                  <w:tcW w:w="2922" w:type="pct"/>
                  <w:tcBorders>
                    <w:top w:val="nil"/>
                    <w:left w:val="nil"/>
                    <w:bottom w:val="single" w:color="auto" w:sz="4" w:space="0"/>
                    <w:right w:val="single" w:color="auto" w:sz="4" w:space="0"/>
                  </w:tcBorders>
                  <w:noWrap w:val="0"/>
                  <w:vAlign w:val="center"/>
                </w:tcPr>
                <w:p w14:paraId="5D81440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才是企业制胜的关键。在创业初期，需要组建企业核心的运营团队，完成从原材料采购开始，到产品生产制造、运输、销售，最终将产品送达客户的全流程的各项决策，以高效地达到企业的经营目标。该任务深入理解供应链团队组建、协作运营的重要性，并且能够了解采购、生产、物流、市场各个业务的主要职能。</w:t>
                  </w:r>
                </w:p>
              </w:tc>
              <w:tc>
                <w:tcPr>
                  <w:tcW w:w="447" w:type="pct"/>
                  <w:tcBorders>
                    <w:top w:val="nil"/>
                    <w:left w:val="nil"/>
                    <w:bottom w:val="single" w:color="auto" w:sz="4" w:space="0"/>
                    <w:right w:val="single" w:color="auto" w:sz="4" w:space="0"/>
                  </w:tcBorders>
                  <w:noWrap/>
                  <w:vAlign w:val="center"/>
                </w:tcPr>
                <w:p w14:paraId="260DD47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09BB4F42">
              <w:tblPrEx>
                <w:tblCellMar>
                  <w:top w:w="0" w:type="dxa"/>
                  <w:left w:w="108" w:type="dxa"/>
                  <w:bottom w:w="0" w:type="dxa"/>
                  <w:right w:w="108" w:type="dxa"/>
                </w:tblCellMar>
              </w:tblPrEx>
              <w:trPr>
                <w:trHeight w:val="260" w:hRule="atLeast"/>
              </w:trPr>
              <w:tc>
                <w:tcPr>
                  <w:tcW w:w="447" w:type="pct"/>
                  <w:tcBorders>
                    <w:top w:val="nil"/>
                    <w:left w:val="single" w:color="auto" w:sz="4" w:space="0"/>
                    <w:bottom w:val="single" w:color="auto" w:sz="4" w:space="0"/>
                    <w:right w:val="single" w:color="auto" w:sz="4" w:space="0"/>
                  </w:tcBorders>
                  <w:noWrap/>
                  <w:vAlign w:val="center"/>
                </w:tcPr>
                <w:p w14:paraId="003AA92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85" w:type="pct"/>
                  <w:tcBorders>
                    <w:top w:val="nil"/>
                    <w:left w:val="nil"/>
                    <w:bottom w:val="single" w:color="auto" w:sz="4" w:space="0"/>
                    <w:right w:val="single" w:color="auto" w:sz="4" w:space="0"/>
                  </w:tcBorders>
                  <w:noWrap/>
                  <w:vAlign w:val="center"/>
                </w:tcPr>
                <w:p w14:paraId="70CEF7F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制定运营策略</w:t>
                  </w:r>
                </w:p>
              </w:tc>
              <w:tc>
                <w:tcPr>
                  <w:tcW w:w="2922" w:type="pct"/>
                  <w:tcBorders>
                    <w:top w:val="nil"/>
                    <w:left w:val="nil"/>
                    <w:bottom w:val="single" w:color="auto" w:sz="4" w:space="0"/>
                    <w:right w:val="single" w:color="auto" w:sz="4" w:space="0"/>
                  </w:tcBorders>
                  <w:noWrap w:val="0"/>
                  <w:vAlign w:val="center"/>
                </w:tcPr>
                <w:p w14:paraId="0D1F4D4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（1）市场需求分析：依据不同城市、不同产品的订单量分析市场需求波动；</w:t>
                  </w:r>
                </w:p>
                <w:p w14:paraId="0E0A15C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（2）产品品类规划：结合市场需求和企业经营策略（MTO/MTS）对产品进行综合规划；</w:t>
                  </w:r>
                </w:p>
                <w:p w14:paraId="76B355E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（3）工厂/仓库选址：依据市场需求与城市建造成本等因素合理选址；</w:t>
                  </w:r>
                </w:p>
                <w:p w14:paraId="1CD0C27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（4）供应商选择：依据供货提前期、残损率、准点率、原材料价格等因素综合选取合适的供应商；</w:t>
                  </w:r>
                </w:p>
                <w:p w14:paraId="71C49C0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（5）制定生产计划：综合考虑市场需求波动、产品品类规划及企业生产能力，制定合理的生产计划；</w:t>
                  </w:r>
                </w:p>
                <w:p w14:paraId="5092E63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（6）制定采购计划：结合采购策略和生产计划确定采购计划；</w:t>
                  </w:r>
                </w:p>
                <w:p w14:paraId="1A22B2C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（7）库存控制：合理控制与管理库存水平，以达到减少库存成本，提高库存周转率；</w:t>
                  </w:r>
                </w:p>
                <w:p w14:paraId="1EEDD9C2">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（8）销售管理：依据产品市场需求分布和企业战略经营，开通市场，并考虑产品生产成本等因素制定营销策略；</w:t>
                  </w:r>
                </w:p>
                <w:p w14:paraId="34CFA07C">
                  <w:pPr>
                    <w:rPr>
                      <w:rFonts w:hint="eastAsia" w:ascii="仿宋" w:hAnsi="仿宋" w:eastAsia="仿宋" w:cs="仿宋"/>
                      <w:color w:val="auto"/>
                      <w:highlight w:val="none"/>
                    </w:rPr>
                  </w:pPr>
                  <w:r>
                    <w:rPr>
                      <w:rFonts w:hint="eastAsia" w:ascii="仿宋" w:hAnsi="仿宋" w:eastAsia="仿宋" w:cs="仿宋"/>
                      <w:color w:val="auto"/>
                      <w:szCs w:val="21"/>
                      <w:highlight w:val="none"/>
                    </w:rPr>
                    <w:t>（9）配送计划：考虑订单配送时间、现有产品库存及运输方式等因素，依据现有订单、工厂及仓库所在城市的运输距离，制定合理的配送计划；</w:t>
                  </w:r>
                </w:p>
              </w:tc>
              <w:tc>
                <w:tcPr>
                  <w:tcW w:w="447" w:type="pct"/>
                  <w:tcBorders>
                    <w:top w:val="nil"/>
                    <w:left w:val="nil"/>
                    <w:bottom w:val="single" w:color="auto" w:sz="4" w:space="0"/>
                    <w:right w:val="single" w:color="auto" w:sz="4" w:space="0"/>
                  </w:tcBorders>
                  <w:noWrap/>
                  <w:vAlign w:val="center"/>
                </w:tcPr>
                <w:p w14:paraId="6000ED0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F34C8E2">
              <w:tblPrEx>
                <w:tblCellMar>
                  <w:top w:w="0" w:type="dxa"/>
                  <w:left w:w="108" w:type="dxa"/>
                  <w:bottom w:w="0" w:type="dxa"/>
                  <w:right w:w="108" w:type="dxa"/>
                </w:tblCellMar>
              </w:tblPrEx>
              <w:trPr>
                <w:trHeight w:val="260" w:hRule="atLeast"/>
              </w:trPr>
              <w:tc>
                <w:tcPr>
                  <w:tcW w:w="447" w:type="pct"/>
                  <w:tcBorders>
                    <w:top w:val="nil"/>
                    <w:left w:val="single" w:color="auto" w:sz="4" w:space="0"/>
                    <w:bottom w:val="single" w:color="auto" w:sz="4" w:space="0"/>
                    <w:right w:val="single" w:color="auto" w:sz="4" w:space="0"/>
                  </w:tcBorders>
                  <w:noWrap/>
                  <w:vAlign w:val="center"/>
                </w:tcPr>
                <w:p w14:paraId="12DC2A5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85" w:type="pct"/>
                  <w:tcBorders>
                    <w:top w:val="nil"/>
                    <w:left w:val="nil"/>
                    <w:bottom w:val="single" w:color="auto" w:sz="4" w:space="0"/>
                    <w:right w:val="single" w:color="auto" w:sz="4" w:space="0"/>
                  </w:tcBorders>
                  <w:noWrap/>
                  <w:vAlign w:val="center"/>
                </w:tcPr>
                <w:p w14:paraId="005375B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供应链综合运营</w:t>
                  </w:r>
                </w:p>
              </w:tc>
              <w:tc>
                <w:tcPr>
                  <w:tcW w:w="2922" w:type="pct"/>
                  <w:tcBorders>
                    <w:top w:val="nil"/>
                    <w:left w:val="nil"/>
                    <w:bottom w:val="single" w:color="auto" w:sz="4" w:space="0"/>
                    <w:right w:val="single" w:color="auto" w:sz="4" w:space="0"/>
                  </w:tcBorders>
                  <w:noWrap w:val="0"/>
                  <w:vAlign w:val="center"/>
                </w:tcPr>
                <w:p w14:paraId="039D856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链综合运营分析，通过总资产、市场占有率、产销比、库存周转率、订单满足率、投资回报率六大评价指标进行分析对比，找出问题与决策。使用户深刻理解、掌握供应链与供应链管理知识与技能，培养用户统筹计划与运营能力、提升用户团队协作与沟通等综合能力。</w:t>
                  </w:r>
                </w:p>
              </w:tc>
              <w:tc>
                <w:tcPr>
                  <w:tcW w:w="447" w:type="pct"/>
                  <w:tcBorders>
                    <w:top w:val="nil"/>
                    <w:left w:val="nil"/>
                    <w:bottom w:val="single" w:color="auto" w:sz="4" w:space="0"/>
                    <w:right w:val="single" w:color="auto" w:sz="4" w:space="0"/>
                  </w:tcBorders>
                  <w:noWrap/>
                  <w:vAlign w:val="center"/>
                </w:tcPr>
                <w:p w14:paraId="30C6AA9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r>
            <w:tr w14:paraId="31EB64AE">
              <w:tblPrEx>
                <w:tblCellMar>
                  <w:top w:w="0" w:type="dxa"/>
                  <w:left w:w="108" w:type="dxa"/>
                  <w:bottom w:w="0" w:type="dxa"/>
                  <w:right w:w="108" w:type="dxa"/>
                </w:tblCellMar>
              </w:tblPrEx>
              <w:trPr>
                <w:trHeight w:val="260" w:hRule="atLeast"/>
              </w:trPr>
              <w:tc>
                <w:tcPr>
                  <w:tcW w:w="4553" w:type="pct"/>
                  <w:gridSpan w:val="3"/>
                  <w:tcBorders>
                    <w:top w:val="single" w:color="auto" w:sz="4" w:space="0"/>
                    <w:left w:val="single" w:color="auto" w:sz="4" w:space="0"/>
                    <w:bottom w:val="single" w:color="auto" w:sz="4" w:space="0"/>
                    <w:right w:val="single" w:color="auto" w:sz="4" w:space="0"/>
                  </w:tcBorders>
                  <w:noWrap/>
                  <w:vAlign w:val="center"/>
                </w:tcPr>
                <w:p w14:paraId="4151D98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447" w:type="pct"/>
                  <w:tcBorders>
                    <w:top w:val="single" w:color="auto" w:sz="4" w:space="0"/>
                    <w:left w:val="nil"/>
                    <w:bottom w:val="single" w:color="auto" w:sz="4" w:space="0"/>
                    <w:right w:val="single" w:color="auto" w:sz="4" w:space="0"/>
                  </w:tcBorders>
                  <w:noWrap/>
                  <w:vAlign w:val="center"/>
                </w:tcPr>
                <w:p w14:paraId="2A5878F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r>
            <w:tr w14:paraId="7F12F2D1">
              <w:tblPrEx>
                <w:tblCellMar>
                  <w:top w:w="0" w:type="dxa"/>
                  <w:left w:w="108" w:type="dxa"/>
                  <w:bottom w:w="0" w:type="dxa"/>
                  <w:right w:w="108" w:type="dxa"/>
                </w:tblCellMar>
              </w:tblPrEx>
              <w:trPr>
                <w:trHeight w:val="260" w:hRule="atLeast"/>
              </w:trPr>
              <w:tc>
                <w:tcPr>
                  <w:tcW w:w="4553" w:type="pct"/>
                  <w:gridSpan w:val="3"/>
                  <w:tcBorders>
                    <w:top w:val="single" w:color="auto" w:sz="4" w:space="0"/>
                    <w:left w:val="single" w:color="auto" w:sz="4" w:space="0"/>
                    <w:bottom w:val="single" w:color="auto" w:sz="4" w:space="0"/>
                    <w:right w:val="single" w:color="auto" w:sz="4" w:space="0"/>
                  </w:tcBorders>
                  <w:noWrap/>
                  <w:vAlign w:val="top"/>
                </w:tcPr>
                <w:p w14:paraId="6980BF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）课</w:t>
                  </w:r>
                  <w:r>
                    <w:rPr>
                      <w:rFonts w:hint="eastAsia" w:ascii="宋体" w:hAnsi="宋体" w:eastAsia="宋体" w:cs="宋体"/>
                      <w:color w:val="auto"/>
                      <w:szCs w:val="21"/>
                      <w:highlight w:val="none"/>
                      <w:lang w:val="en-US" w:eastAsia="zh-CN"/>
                    </w:rPr>
                    <w:t>程</w:t>
                  </w:r>
                  <w:r>
                    <w:rPr>
                      <w:rFonts w:hint="eastAsia" w:ascii="宋体" w:hAnsi="宋体" w:eastAsia="宋体" w:cs="宋体"/>
                      <w:color w:val="auto"/>
                      <w:szCs w:val="21"/>
                      <w:highlight w:val="none"/>
                    </w:rPr>
                    <w:t>需提供线上平台，要求如下：提供满足课程学习的平台一套，平台满足物流管理、物流工程、供应链管理、大数据管理等相关专业的在线教学、课程管理、在线实训课程学习、在线实训等人才培养工作需求。</w:t>
                  </w:r>
                </w:p>
                <w:p w14:paraId="475F96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①教师授课功能：支持授课老师创建课堂，根据情况可进行创建课程，选择课程分为院校课程、自建课程、共享课程。支持授课老师根据自身情况控制教学进度，支持发布学生章节，同时可设置学生是否可见此章节资源；学生学习功能：学生端可进入课堂，查看课程内容，进入实训系统操作。</w:t>
                  </w:r>
                  <w:r>
                    <w:rPr>
                      <w:rFonts w:hint="eastAsia" w:ascii="宋体" w:hAnsi="宋体" w:cs="宋体"/>
                      <w:color w:val="auto"/>
                      <w:szCs w:val="21"/>
                      <w:highlight w:val="none"/>
                      <w:lang w:eastAsia="zh-CN"/>
                    </w:rPr>
                    <w:t xml:space="preserve"> </w:t>
                  </w:r>
                </w:p>
                <w:p w14:paraId="3D2B46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②学生章节测验功能：支持在学生课程界面进行章节测验操作，进入测验时系统会提示测验时长、答题次数、题目数量等基本信息；进入测验进行线上答题，需按规定时长交卷；</w:t>
                  </w:r>
                  <w:r>
                    <w:rPr>
                      <w:rFonts w:hint="eastAsia" w:ascii="宋体" w:hAnsi="宋体" w:cs="宋体"/>
                      <w:color w:val="auto"/>
                      <w:szCs w:val="21"/>
                      <w:highlight w:val="none"/>
                      <w:lang w:eastAsia="zh-CN"/>
                    </w:rPr>
                    <w:t xml:space="preserve"> </w:t>
                  </w:r>
                </w:p>
                <w:p w14:paraId="413446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③章节测验自动判分功能：支持在线参与测验答题交卷后自动判分功能；成绩管理功能：支持教师设置实训成绩权重、成绩等级等，支持作业在线批阅功能；</w:t>
                  </w:r>
                  <w:r>
                    <w:rPr>
                      <w:rFonts w:hint="eastAsia" w:ascii="宋体" w:hAnsi="宋体" w:cs="宋体"/>
                      <w:color w:val="auto"/>
                      <w:szCs w:val="21"/>
                      <w:highlight w:val="none"/>
                      <w:lang w:eastAsia="zh-CN"/>
                    </w:rPr>
                    <w:t xml:space="preserve"> </w:t>
                  </w:r>
                </w:p>
                <w:p w14:paraId="37C02F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④实训报告：支持根据测验、实训系统回传成绩等，自动输出学习报告，导出的完整报告，至少包含培训信息、课程概述（包含课程资源培训测验等时长或数量）、课程详情（包含模块、任务、资源、学时等）、学习详情（包含学员基础信息和学习进度，资源学习，测验完成数，签到等统计）；通过教师身份进入进行中的课堂；可对课堂进行备课、授课、课后管理、学员管理、课堂设置、取消发布等教学功能；其中课后管理需要包含作业测验管理、成绩管理、学情统计分析管理（此功能包含模块数量、任务数量、教学资源、企业课程、课堂活动、实验实训、作业及测验等数据可视化；同时总学习时长是按照每日学习人数和分钟进行可视化分析、任务学习时长按照人数和分钟进行可视化分析）、课程画像、学习任务报告等。教师创建的课程学生可通过邀请码进入，也可扫描二维码加入课堂，通过更新邀请码和二维码自动生成可达到课程不变邀请不同的学员加入。</w:t>
                  </w:r>
                  <w:r>
                    <w:rPr>
                      <w:rFonts w:hint="eastAsia" w:ascii="宋体" w:hAnsi="宋体" w:cs="宋体"/>
                      <w:color w:val="auto"/>
                      <w:szCs w:val="21"/>
                      <w:highlight w:val="none"/>
                      <w:lang w:eastAsia="zh-CN"/>
                    </w:rPr>
                    <w:t xml:space="preserve"> </w:t>
                  </w:r>
                </w:p>
                <w:p w14:paraId="677E66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（6）要求以上课程以任务式编制，每个任务包含学习目标、任务发布、知识准备、知识测评、任务实施、任务拓展，对接软件的学习任务嵌入在线软件，无需下载，可以实现在线练习。</w:t>
                  </w:r>
                </w:p>
                <w:p w14:paraId="4D6394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①学习目标：根据学习任务内容，总结通过本节学习任务所应该达到的知识能力目标。</w:t>
                  </w:r>
                  <w:r>
                    <w:rPr>
                      <w:rFonts w:hint="eastAsia" w:ascii="宋体" w:hAnsi="宋体" w:cs="宋体"/>
                      <w:color w:val="auto"/>
                      <w:szCs w:val="21"/>
                      <w:highlight w:val="none"/>
                      <w:lang w:eastAsia="zh-CN"/>
                    </w:rPr>
                    <w:t xml:space="preserve"> </w:t>
                  </w:r>
                </w:p>
                <w:p w14:paraId="735C1F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②任务发布：以案例形式发布本节需要完成的任务内容。</w:t>
                  </w:r>
                  <w:r>
                    <w:rPr>
                      <w:rFonts w:hint="eastAsia" w:ascii="宋体" w:hAnsi="宋体" w:cs="宋体"/>
                      <w:color w:val="auto"/>
                      <w:szCs w:val="21"/>
                      <w:highlight w:val="none"/>
                      <w:lang w:eastAsia="zh-CN"/>
                    </w:rPr>
                    <w:t xml:space="preserve"> </w:t>
                  </w:r>
                </w:p>
                <w:p w14:paraId="45D04B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③知识准备：本节学习任务需要掌握的知识点与技能点。</w:t>
                  </w:r>
                  <w:r>
                    <w:rPr>
                      <w:rFonts w:hint="eastAsia" w:ascii="宋体" w:hAnsi="宋体" w:cs="宋体"/>
                      <w:color w:val="auto"/>
                      <w:szCs w:val="21"/>
                      <w:highlight w:val="none"/>
                      <w:lang w:eastAsia="zh-CN"/>
                    </w:rPr>
                    <w:t xml:space="preserve"> </w:t>
                  </w:r>
                </w:p>
                <w:p w14:paraId="78BAE2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④知识测评：以单元测验的形式检测学生对本节学习任务知识内容的掌握情况，考核形式主要是客观题。</w:t>
                  </w:r>
                  <w:r>
                    <w:rPr>
                      <w:rFonts w:hint="eastAsia" w:ascii="宋体" w:hAnsi="宋体" w:cs="宋体"/>
                      <w:color w:val="auto"/>
                      <w:szCs w:val="21"/>
                      <w:highlight w:val="none"/>
                      <w:lang w:eastAsia="zh-CN"/>
                    </w:rPr>
                    <w:t xml:space="preserve"> </w:t>
                  </w:r>
                </w:p>
                <w:p w14:paraId="79FCCD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⑤任务实施：规定在工作场景中所需的工作步骤。</w:t>
                  </w:r>
                  <w:r>
                    <w:rPr>
                      <w:rFonts w:hint="eastAsia" w:ascii="宋体" w:hAnsi="宋体" w:cs="宋体"/>
                      <w:color w:val="auto"/>
                      <w:szCs w:val="21"/>
                      <w:highlight w:val="none"/>
                      <w:lang w:eastAsia="zh-CN"/>
                    </w:rPr>
                    <w:t xml:space="preserve"> </w:t>
                  </w:r>
                </w:p>
                <w:p w14:paraId="090297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⑥任务拓展： 通过任务学习，设计新的案例满足学生技能练习。</w:t>
                  </w:r>
                  <w:r>
                    <w:rPr>
                      <w:rFonts w:hint="eastAsia" w:ascii="宋体" w:hAnsi="宋体" w:cs="宋体"/>
                      <w:color w:val="auto"/>
                      <w:szCs w:val="21"/>
                      <w:highlight w:val="none"/>
                      <w:lang w:eastAsia="zh-CN"/>
                    </w:rPr>
                    <w:t xml:space="preserve"> </w:t>
                  </w:r>
                </w:p>
              </w:tc>
              <w:tc>
                <w:tcPr>
                  <w:tcW w:w="447" w:type="pct"/>
                  <w:tcBorders>
                    <w:top w:val="single" w:color="auto" w:sz="4" w:space="0"/>
                    <w:left w:val="nil"/>
                    <w:bottom w:val="single" w:color="auto" w:sz="4" w:space="0"/>
                    <w:right w:val="single" w:color="auto" w:sz="4" w:space="0"/>
                  </w:tcBorders>
                  <w:noWrap/>
                  <w:vAlign w:val="center"/>
                </w:tcPr>
                <w:p w14:paraId="31CD0FF4">
                  <w:pPr>
                    <w:jc w:val="center"/>
                    <w:rPr>
                      <w:rFonts w:hint="eastAsia" w:ascii="仿宋" w:hAnsi="仿宋" w:eastAsia="仿宋" w:cs="仿宋"/>
                      <w:color w:val="auto"/>
                      <w:szCs w:val="21"/>
                      <w:highlight w:val="none"/>
                    </w:rPr>
                  </w:pPr>
                </w:p>
              </w:tc>
            </w:tr>
          </w:tbl>
          <w:p w14:paraId="784E77FE">
            <w:pPr>
              <w:widowControl/>
              <w:jc w:val="left"/>
              <w:textAlignment w:val="center"/>
              <w:rPr>
                <w:rFonts w:hint="eastAsia" w:ascii="宋体" w:hAnsi="宋体"/>
                <w:color w:val="auto"/>
                <w:sz w:val="22"/>
                <w:highlight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1BE">
            <w:pPr>
              <w:widowControl/>
              <w:jc w:val="center"/>
              <w:textAlignment w:val="center"/>
              <w:rPr>
                <w:rFonts w:ascii="宋体" w:hAnsi="宋体"/>
                <w:color w:val="auto"/>
                <w:sz w:val="22"/>
                <w:highlight w:val="none"/>
              </w:rPr>
            </w:pPr>
            <w:r>
              <w:rPr>
                <w:rFonts w:hint="eastAsia" w:ascii="宋体" w:hAnsi="宋体"/>
                <w:color w:val="auto"/>
                <w:kern w:val="0"/>
                <w:sz w:val="22"/>
                <w:highlight w:val="none"/>
                <w:lang w:bidi="ar"/>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4881">
            <w:pPr>
              <w:widowControl/>
              <w:jc w:val="center"/>
              <w:textAlignment w:val="center"/>
              <w:rPr>
                <w:rFonts w:ascii="宋体" w:hAnsi="宋体"/>
                <w:color w:val="auto"/>
                <w:sz w:val="22"/>
                <w:highlight w:val="none"/>
              </w:rPr>
            </w:pPr>
            <w:r>
              <w:rPr>
                <w:rFonts w:hint="eastAsia" w:ascii="宋体" w:hAnsi="宋体"/>
                <w:color w:val="auto"/>
                <w:kern w:val="0"/>
                <w:sz w:val="22"/>
                <w:highlight w:val="none"/>
                <w:lang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7617">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19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FD7">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19</w:t>
            </w:r>
          </w:p>
        </w:tc>
      </w:tr>
      <w:tr w14:paraId="785DC736">
        <w:tblPrEx>
          <w:tblCellMar>
            <w:top w:w="0" w:type="dxa"/>
            <w:left w:w="108" w:type="dxa"/>
            <w:bottom w:w="0" w:type="dxa"/>
            <w:right w:w="108" w:type="dxa"/>
          </w:tblCellMar>
        </w:tblPrEx>
        <w:trPr>
          <w:trHeight w:val="600" w:hRule="atLeast"/>
        </w:trPr>
        <w:tc>
          <w:tcPr>
            <w:tcW w:w="453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F12077">
            <w:pPr>
              <w:widowControl/>
              <w:jc w:val="center"/>
              <w:textAlignment w:val="center"/>
              <w:rPr>
                <w:rFonts w:hint="eastAsia" w:ascii="宋体" w:hAnsi="宋体"/>
                <w:color w:val="auto"/>
                <w:kern w:val="0"/>
                <w:sz w:val="22"/>
                <w:highlight w:val="none"/>
                <w:lang w:bidi="ar"/>
              </w:rPr>
            </w:pPr>
            <w:r>
              <w:rPr>
                <w:rFonts w:hint="eastAsia" w:ascii="宋体" w:hAnsi="宋体"/>
                <w:color w:val="auto"/>
                <w:sz w:val="22"/>
                <w:highlight w:val="none"/>
                <w:lang w:val="en-US" w:eastAsia="zh-CN"/>
              </w:rPr>
              <w:t>合计：</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E1AB">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19</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AB7C">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19</w:t>
            </w:r>
          </w:p>
        </w:tc>
      </w:tr>
    </w:tbl>
    <w:p w14:paraId="635FEDAA">
      <w:r>
        <w:br w:type="page"/>
      </w:r>
    </w:p>
    <w:tbl>
      <w:tblPr>
        <w:tblStyle w:val="8"/>
        <w:tblpPr w:leftFromText="180" w:rightFromText="180" w:vertAnchor="text" w:horzAnchor="page" w:tblpXSpec="center" w:tblpY="445"/>
        <w:tblOverlap w:val="never"/>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38"/>
        <w:gridCol w:w="12088"/>
      </w:tblGrid>
      <w:tr w14:paraId="5294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l2br w:val="nil"/>
              <w:tr2bl w:val="nil"/>
            </w:tcBorders>
            <w:vAlign w:val="center"/>
          </w:tcPr>
          <w:p w14:paraId="01E58B13">
            <w:pPr>
              <w:pStyle w:val="3"/>
              <w:keepNext w:val="0"/>
              <w:keepLines w:val="0"/>
              <w:pageBreakBefore w:val="0"/>
              <w:kinsoku/>
              <w:wordWrap/>
              <w:overflowPunct/>
              <w:topLinePunct w:val="0"/>
              <w:autoSpaceDE/>
              <w:autoSpaceDN/>
              <w:bidi w:val="0"/>
              <w:adjustRightInd/>
              <w:snapToGrid/>
              <w:spacing w:after="0" w:line="360" w:lineRule="exact"/>
              <w:rPr>
                <w:rFonts w:ascii="宋体" w:hAnsi="宋体" w:eastAsia="宋体" w:cs="宋体"/>
                <w:bCs/>
                <w:color w:val="auto"/>
                <w:sz w:val="21"/>
                <w:szCs w:val="21"/>
                <w:highlight w:val="none"/>
              </w:rPr>
            </w:pPr>
            <w:r>
              <w:rPr>
                <w:rFonts w:hint="eastAsia" w:ascii="宋体" w:hAnsi="宋体"/>
                <w:bCs/>
                <w:snapToGrid w:val="0"/>
                <w:color w:val="auto"/>
                <w:kern w:val="0"/>
                <w:szCs w:val="21"/>
                <w:highlight w:val="none"/>
                <w:lang w:eastAsia="zh-CN"/>
              </w:rPr>
              <w:t>★</w:t>
            </w:r>
            <w:r>
              <w:rPr>
                <w:rFonts w:hint="eastAsia" w:ascii="宋体" w:hAnsi="宋体" w:eastAsia="宋体" w:cs="宋体"/>
                <w:b/>
                <w:color w:val="auto"/>
                <w:kern w:val="0"/>
                <w:sz w:val="21"/>
                <w:szCs w:val="21"/>
                <w:highlight w:val="none"/>
              </w:rPr>
              <w:t>二、商务服务要求</w:t>
            </w:r>
          </w:p>
        </w:tc>
      </w:tr>
      <w:tr w14:paraId="3DCF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 w:type="pct"/>
            <w:tcBorders>
              <w:tl2br w:val="nil"/>
              <w:tr2bl w:val="nil"/>
            </w:tcBorders>
            <w:vAlign w:val="center"/>
          </w:tcPr>
          <w:p w14:paraId="7AA3CAC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52" w:type="pct"/>
            <w:tcBorders>
              <w:tl2br w:val="nil"/>
              <w:tr2bl w:val="nil"/>
            </w:tcBorders>
            <w:vAlign w:val="center"/>
          </w:tcPr>
          <w:p w14:paraId="371E9EAA">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合同签订期</w:t>
            </w:r>
          </w:p>
        </w:tc>
        <w:tc>
          <w:tcPr>
            <w:tcW w:w="4068" w:type="pct"/>
            <w:tcBorders>
              <w:tl2br w:val="nil"/>
              <w:tr2bl w:val="nil"/>
            </w:tcBorders>
            <w:vAlign w:val="center"/>
          </w:tcPr>
          <w:p w14:paraId="68BE192F">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olor w:val="auto"/>
                <w:highlight w:val="none"/>
              </w:rPr>
              <w:t>自成交公告发出之日起</w:t>
            </w:r>
            <w:r>
              <w:rPr>
                <w:rFonts w:ascii="宋体" w:hAnsi="宋体"/>
                <w:color w:val="auto"/>
                <w:highlight w:val="none"/>
                <w:u w:val="single"/>
              </w:rPr>
              <w:t xml:space="preserve"> </w:t>
            </w:r>
            <w:r>
              <w:rPr>
                <w:rFonts w:hint="eastAsia" w:ascii="宋体" w:hAnsi="宋体"/>
                <w:color w:val="auto"/>
                <w:highlight w:val="none"/>
                <w:u w:val="single"/>
                <w:lang w:val="en-US" w:eastAsia="zh-CN"/>
              </w:rPr>
              <w:t>7</w:t>
            </w:r>
            <w:r>
              <w:rPr>
                <w:rFonts w:ascii="宋体" w:hAnsi="宋体"/>
                <w:color w:val="auto"/>
                <w:highlight w:val="none"/>
                <w:u w:val="single"/>
              </w:rPr>
              <w:t xml:space="preserve"> </w:t>
            </w:r>
            <w:r>
              <w:rPr>
                <w:rFonts w:hint="eastAsia" w:ascii="宋体" w:hAnsi="宋体"/>
                <w:color w:val="auto"/>
                <w:highlight w:val="none"/>
              </w:rPr>
              <w:t>个日历日内。</w:t>
            </w:r>
          </w:p>
        </w:tc>
      </w:tr>
      <w:tr w14:paraId="3DF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78" w:type="pct"/>
            <w:tcBorders>
              <w:tl2br w:val="nil"/>
              <w:tr2bl w:val="nil"/>
            </w:tcBorders>
            <w:vAlign w:val="center"/>
          </w:tcPr>
          <w:p w14:paraId="037CBE4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652" w:type="pct"/>
            <w:tcBorders>
              <w:tl2br w:val="nil"/>
              <w:tr2bl w:val="nil"/>
            </w:tcBorders>
            <w:vAlign w:val="center"/>
          </w:tcPr>
          <w:p w14:paraId="15815D81">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交货时间及地点</w:t>
            </w:r>
          </w:p>
        </w:tc>
        <w:tc>
          <w:tcPr>
            <w:tcW w:w="4068" w:type="pct"/>
            <w:tcBorders>
              <w:tl2br w:val="nil"/>
              <w:tr2bl w:val="nil"/>
            </w:tcBorders>
            <w:vAlign w:val="center"/>
          </w:tcPr>
          <w:p w14:paraId="43095961">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ascii="宋体" w:hAnsi="宋体"/>
                <w:color w:val="auto"/>
                <w:highlight w:val="none"/>
              </w:rPr>
              <w:t>1.</w:t>
            </w:r>
            <w:r>
              <w:rPr>
                <w:rFonts w:hint="eastAsia" w:ascii="宋体"/>
                <w:color w:val="auto"/>
                <w:szCs w:val="21"/>
                <w:highlight w:val="none"/>
              </w:rPr>
              <w:t xml:space="preserve"> 交货期：合同签订之</w:t>
            </w:r>
            <w:r>
              <w:rPr>
                <w:rFonts w:hint="eastAsia" w:ascii="宋体" w:hAnsi="宋体" w:eastAsia="宋体" w:cs="宋体"/>
                <w:b w:val="0"/>
                <w:bCs w:val="0"/>
                <w:color w:val="auto"/>
                <w:szCs w:val="21"/>
                <w:highlight w:val="none"/>
              </w:rPr>
              <w:t>日起</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个工作日内交货并安装调试</w:t>
            </w:r>
            <w:r>
              <w:rPr>
                <w:rFonts w:hint="eastAsia" w:ascii="宋体"/>
                <w:color w:val="auto"/>
                <w:szCs w:val="21"/>
                <w:highlight w:val="none"/>
              </w:rPr>
              <w:t>完毕。</w:t>
            </w:r>
          </w:p>
          <w:p w14:paraId="769F7698">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ascii="宋体" w:hAnsi="宋体"/>
                <w:color w:val="auto"/>
                <w:highlight w:val="none"/>
              </w:rPr>
              <w:t xml:space="preserve">2. </w:t>
            </w:r>
            <w:r>
              <w:rPr>
                <w:rFonts w:hint="eastAsia" w:ascii="宋体" w:hAnsi="宋体"/>
                <w:color w:val="auto"/>
                <w:highlight w:val="none"/>
              </w:rPr>
              <w:t>交货地点：广西</w:t>
            </w:r>
            <w:r>
              <w:rPr>
                <w:rFonts w:ascii="宋体" w:hAnsi="宋体"/>
                <w:color w:val="auto"/>
                <w:highlight w:val="none"/>
                <w:u w:val="single"/>
              </w:rPr>
              <w:t xml:space="preserve"> </w:t>
            </w:r>
            <w:r>
              <w:rPr>
                <w:rFonts w:hint="eastAsia" w:ascii="宋体" w:hAnsi="宋体"/>
                <w:color w:val="auto"/>
                <w:highlight w:val="none"/>
                <w:u w:val="single"/>
              </w:rPr>
              <w:t>南宁市</w:t>
            </w:r>
            <w:r>
              <w:rPr>
                <w:rFonts w:ascii="宋体" w:hAnsi="宋体"/>
                <w:color w:val="auto"/>
                <w:highlight w:val="none"/>
                <w:u w:val="single"/>
              </w:rPr>
              <w:t xml:space="preserve"> </w:t>
            </w:r>
            <w:r>
              <w:rPr>
                <w:rFonts w:hint="eastAsia" w:ascii="宋体" w:hAnsi="宋体"/>
                <w:color w:val="auto"/>
                <w:highlight w:val="none"/>
              </w:rPr>
              <w:t>采购人指定地</w:t>
            </w:r>
            <w:r>
              <w:rPr>
                <w:rFonts w:hint="eastAsia" w:ascii="宋体" w:hAnsi="宋体"/>
                <w:color w:val="auto"/>
                <w:highlight w:val="none"/>
                <w:lang w:eastAsia="zh-CN"/>
              </w:rPr>
              <w:t>点</w:t>
            </w:r>
            <w:r>
              <w:rPr>
                <w:rFonts w:hint="eastAsia" w:ascii="宋体" w:hAnsi="宋体"/>
                <w:color w:val="auto"/>
                <w:highlight w:val="none"/>
              </w:rPr>
              <w:t>。</w:t>
            </w:r>
          </w:p>
        </w:tc>
      </w:tr>
      <w:tr w14:paraId="193F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 w:type="pct"/>
            <w:tcBorders>
              <w:tl2br w:val="nil"/>
              <w:tr2bl w:val="nil"/>
            </w:tcBorders>
            <w:vAlign w:val="center"/>
          </w:tcPr>
          <w:p w14:paraId="19F6D1C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652" w:type="pct"/>
            <w:tcBorders>
              <w:tl2br w:val="nil"/>
              <w:tr2bl w:val="nil"/>
            </w:tcBorders>
            <w:vAlign w:val="center"/>
          </w:tcPr>
          <w:p w14:paraId="563245EA">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质保期</w:t>
            </w:r>
          </w:p>
        </w:tc>
        <w:tc>
          <w:tcPr>
            <w:tcW w:w="4068" w:type="pct"/>
            <w:tcBorders>
              <w:tl2br w:val="nil"/>
              <w:tr2bl w:val="nil"/>
            </w:tcBorders>
            <w:shd w:val="clear" w:color="auto" w:fill="auto"/>
            <w:vAlign w:val="center"/>
          </w:tcPr>
          <w:p w14:paraId="281BA471">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软件</w:t>
            </w:r>
            <w:r>
              <w:rPr>
                <w:rFonts w:hint="eastAsia" w:asciiTheme="minorEastAsia" w:hAnsiTheme="minorEastAsia" w:eastAsiaTheme="minorEastAsia" w:cstheme="minorEastAsia"/>
                <w:color w:val="auto"/>
                <w:sz w:val="21"/>
                <w:szCs w:val="21"/>
                <w:highlight w:val="none"/>
                <w:lang w:val="en-US" w:eastAsia="zh-CN"/>
              </w:rPr>
              <w:t>及资源</w:t>
            </w:r>
            <w:r>
              <w:rPr>
                <w:rFonts w:hint="eastAsia" w:asciiTheme="minorEastAsia" w:hAnsiTheme="minorEastAsia" w:eastAsiaTheme="minorEastAsia" w:cstheme="minorEastAsia"/>
                <w:color w:val="auto"/>
                <w:sz w:val="21"/>
                <w:szCs w:val="21"/>
                <w:highlight w:val="none"/>
                <w:lang w:eastAsia="zh-CN"/>
              </w:rPr>
              <w:t>供应商应提供永久使用授权，</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Theme="minorEastAsia" w:hAnsiTheme="minorEastAsia" w:eastAsiaTheme="minorEastAsia" w:cstheme="minorEastAsia"/>
                <w:color w:val="auto"/>
                <w:sz w:val="21"/>
                <w:szCs w:val="21"/>
                <w:highlight w:val="none"/>
              </w:rPr>
              <w:t>不少于</w:t>
            </w:r>
            <w:r>
              <w:rPr>
                <w:rFonts w:hint="eastAsia" w:asciiTheme="minorEastAsia" w:hAnsi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的免费</w:t>
            </w:r>
            <w:r>
              <w:rPr>
                <w:rFonts w:hint="eastAsia" w:asciiTheme="minorEastAsia" w:hAnsiTheme="minorEastAsia" w:eastAsiaTheme="minorEastAsia" w:cstheme="minorEastAsia"/>
                <w:color w:val="auto"/>
                <w:sz w:val="21"/>
                <w:szCs w:val="21"/>
                <w:highlight w:val="none"/>
              </w:rPr>
              <w:t>质保</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rPr>
              <w:t>验收合格之日起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w:t>
            </w:r>
            <w:r>
              <w:rPr>
                <w:rFonts w:hint="eastAsia" w:asciiTheme="minorEastAsia" w:hAnsiTheme="minorEastAsia" w:eastAsiaTheme="minorEastAsia" w:cstheme="minorEastAsia"/>
                <w:color w:val="auto"/>
                <w:sz w:val="21"/>
                <w:szCs w:val="21"/>
                <w:highlight w:val="none"/>
              </w:rPr>
              <w:t>技术参数中有特别指明质保期的按</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shd w:val="clear"/>
                <w:lang w:eastAsia="zh-CN"/>
              </w:rPr>
              <w:t>质保期内</w:t>
            </w:r>
            <w:r>
              <w:rPr>
                <w:rFonts w:hint="eastAsia" w:asciiTheme="minorEastAsia" w:hAnsiTheme="minorEastAsia" w:eastAsiaTheme="minorEastAsia" w:cstheme="minorEastAsia"/>
                <w:color w:val="auto"/>
                <w:sz w:val="21"/>
                <w:szCs w:val="21"/>
                <w:highlight w:val="none"/>
                <w:shd w:val="clear"/>
                <w:lang w:val="en-US" w:eastAsia="zh-CN"/>
              </w:rPr>
              <w:t>同版本同模块免费升级</w:t>
            </w:r>
            <w:r>
              <w:rPr>
                <w:rFonts w:hint="eastAsia" w:asciiTheme="minorEastAsia" w:hAnsiTheme="minorEastAsia" w:cstheme="minorEastAsia"/>
                <w:color w:val="auto"/>
                <w:sz w:val="21"/>
                <w:szCs w:val="21"/>
                <w:highlight w:val="none"/>
                <w:shd w:val="clear"/>
                <w:lang w:val="en-US" w:eastAsia="zh-CN"/>
              </w:rPr>
              <w:t>、免费</w:t>
            </w:r>
            <w:r>
              <w:rPr>
                <w:rFonts w:hint="eastAsia" w:asciiTheme="minorEastAsia" w:hAnsiTheme="minorEastAsia" w:eastAsiaTheme="minorEastAsia" w:cstheme="minorEastAsia"/>
                <w:color w:val="auto"/>
                <w:sz w:val="21"/>
                <w:szCs w:val="21"/>
                <w:highlight w:val="none"/>
                <w:shd w:val="clear"/>
                <w:lang w:val="en-US" w:eastAsia="zh-CN"/>
              </w:rPr>
              <w:t>维护软件；质</w:t>
            </w:r>
            <w:r>
              <w:rPr>
                <w:rFonts w:hint="eastAsia" w:asciiTheme="minorEastAsia" w:hAnsiTheme="minorEastAsia" w:eastAsiaTheme="minorEastAsia" w:cstheme="minorEastAsia"/>
                <w:color w:val="auto"/>
                <w:sz w:val="21"/>
                <w:szCs w:val="21"/>
                <w:highlight w:val="none"/>
                <w:lang w:val="en-US" w:eastAsia="zh-CN"/>
              </w:rPr>
              <w:t>保期满提供终身技术支持服务。</w:t>
            </w:r>
          </w:p>
        </w:tc>
      </w:tr>
      <w:tr w14:paraId="3B0C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 w:type="pct"/>
            <w:tcBorders>
              <w:tl2br w:val="nil"/>
              <w:tr2bl w:val="nil"/>
            </w:tcBorders>
            <w:vAlign w:val="center"/>
          </w:tcPr>
          <w:p w14:paraId="2981FEB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652" w:type="pct"/>
            <w:tcBorders>
              <w:tl2br w:val="nil"/>
              <w:tr2bl w:val="nil"/>
            </w:tcBorders>
            <w:vAlign w:val="center"/>
          </w:tcPr>
          <w:p w14:paraId="5772422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产品质量保证及售后服务要求</w:t>
            </w:r>
          </w:p>
        </w:tc>
        <w:tc>
          <w:tcPr>
            <w:tcW w:w="4068" w:type="pct"/>
            <w:tcBorders>
              <w:tl2br w:val="nil"/>
              <w:tr2bl w:val="nil"/>
            </w:tcBorders>
            <w:shd w:val="clear" w:color="auto" w:fill="auto"/>
            <w:vAlign w:val="top"/>
          </w:tcPr>
          <w:p w14:paraId="32D2DE15">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szCs w:val="21"/>
                <w:highlight w:val="none"/>
              </w:rPr>
              <w:t>供应商所投产品必须能实质性响应采购要求（所投产品应完全满足或优于采购参数要求），供货时能按照采购需求的要求提供厂家</w:t>
            </w:r>
            <w:r>
              <w:rPr>
                <w:rFonts w:hint="eastAsia" w:ascii="宋体" w:hAnsi="宋体"/>
                <w:szCs w:val="21"/>
                <w:highlight w:val="none"/>
                <w:lang w:val="en-US" w:eastAsia="zh-CN"/>
              </w:rPr>
              <w:t>授权</w:t>
            </w:r>
            <w:r>
              <w:rPr>
                <w:rFonts w:hint="eastAsia" w:ascii="宋体" w:hAnsi="宋体"/>
                <w:szCs w:val="21"/>
                <w:highlight w:val="none"/>
              </w:rPr>
              <w:t>证明和售后服务承诺书原件</w:t>
            </w:r>
            <w:r>
              <w:rPr>
                <w:rFonts w:hint="eastAsia" w:ascii="宋体" w:hAnsi="宋体"/>
                <w:szCs w:val="21"/>
                <w:highlight w:val="none"/>
                <w:lang w:eastAsia="zh-CN"/>
              </w:rPr>
              <w:t>（</w:t>
            </w:r>
            <w:r>
              <w:rPr>
                <w:rFonts w:hint="eastAsia" w:ascii="宋体" w:hAnsi="宋体"/>
                <w:szCs w:val="21"/>
                <w:highlight w:val="none"/>
                <w:lang w:val="en-US" w:eastAsia="zh-CN"/>
              </w:rPr>
              <w:t>加盖厂家公章和供应商公章</w:t>
            </w:r>
            <w:r>
              <w:rPr>
                <w:rFonts w:hint="eastAsia" w:ascii="宋体" w:hAnsi="宋体"/>
                <w:szCs w:val="21"/>
                <w:highlight w:val="none"/>
                <w:lang w:eastAsia="zh-CN"/>
              </w:rPr>
              <w:t>）</w:t>
            </w:r>
            <w:r>
              <w:rPr>
                <w:rFonts w:hint="eastAsia" w:ascii="宋体" w:hAnsi="宋体"/>
                <w:szCs w:val="21"/>
                <w:highlight w:val="none"/>
              </w:rPr>
              <w:t>，避免假冒伪劣产品。</w:t>
            </w:r>
            <w:r>
              <w:rPr>
                <w:rFonts w:hint="eastAsia" w:asciiTheme="minorEastAsia" w:hAnsiTheme="minorEastAsia" w:cstheme="minorEastAsia"/>
                <w:szCs w:val="21"/>
                <w:highlight w:val="none"/>
              </w:rPr>
              <w:t>对不能满足参数要求虚假响应，或者签订合同后15个日历日内无法交付使用的，采购人可作废标处理，并依法向供应商追究违约责任。</w:t>
            </w:r>
          </w:p>
          <w:p w14:paraId="05F3A798">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2、本次采购货物必须是供货商免费送货上门提供安装调试及操作培训，免费送货上门，交货地点为广西区内采购人指定地点，不接受物流快递发货以及电话指导安装。</w:t>
            </w:r>
          </w:p>
          <w:p w14:paraId="29BBE844">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bookmarkStart w:id="0" w:name="_GoBack"/>
            <w:bookmarkEnd w:id="0"/>
            <w:r>
              <w:rPr>
                <w:rFonts w:hint="eastAsia" w:ascii="宋体" w:hAnsi="宋体" w:eastAsia="宋体" w:cs="宋体"/>
                <w:szCs w:val="21"/>
                <w:highlight w:val="none"/>
                <w:lang w:val="en-US" w:eastAsia="zh-CN"/>
              </w:rPr>
              <w:t>、按国家“三包”政策或厂家承诺提供售后服务，服务内容包括但不限于：</w:t>
            </w:r>
          </w:p>
          <w:p w14:paraId="01AC9578">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 咨询：系统服务期内，向用户提供各种与产品相关的免费技术咨询服务（包括热线服务），包括热线电话，电子邮件（7×24），传真等方式。</w:t>
            </w:r>
          </w:p>
          <w:p w14:paraId="4BE133B0">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（2）软件升级：在服务期内，免费提供版本升级、产品换代更新。服务期满后，提供对相关软件升级提醒服务，协助制订升级计划，提供关于新版本改进性能的培训，远程或现场指导软件升级。</w:t>
            </w:r>
          </w:p>
          <w:p w14:paraId="7103E85C">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（3）远程支持——采用电话指导或远程登录、电子邮件等方式提供技术支持。</w:t>
            </w:r>
          </w:p>
          <w:p w14:paraId="7F0BE431">
            <w:pPr>
              <w:keepNext w:val="0"/>
              <w:keepLines w:val="0"/>
              <w:pageBreakBefore w:val="0"/>
              <w:widowControl/>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（4）现场技术服务——当远程支持无法解决用户问题时，指派技术人员提供现场技术服务。</w:t>
            </w:r>
          </w:p>
          <w:p w14:paraId="048D9777">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color w:val="auto"/>
                <w:highlight w:val="none"/>
              </w:rPr>
            </w:pPr>
            <w:r>
              <w:rPr>
                <w:rFonts w:hint="eastAsia" w:ascii="宋体" w:hAnsi="宋体" w:eastAsia="宋体" w:cs="宋体"/>
                <w:szCs w:val="21"/>
                <w:highlight w:val="none"/>
                <w:lang w:val="en-US" w:eastAsia="zh-CN"/>
              </w:rPr>
              <w:t>（5）故障响应时间：成交供应商收到采购人的故障维修通知2小时内到达现场进行维修维护，4小时内排除故障，特殊故障第一时间以书面形式通知采购人并制定维修方案及确定故障排除的时间。</w:t>
            </w:r>
          </w:p>
        </w:tc>
      </w:tr>
      <w:tr w14:paraId="105B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 w:type="pct"/>
            <w:tcBorders>
              <w:tl2br w:val="nil"/>
              <w:tr2bl w:val="nil"/>
            </w:tcBorders>
            <w:vAlign w:val="center"/>
          </w:tcPr>
          <w:p w14:paraId="7CB9D03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652" w:type="pct"/>
            <w:tcBorders>
              <w:tl2br w:val="nil"/>
              <w:tr2bl w:val="nil"/>
            </w:tcBorders>
            <w:vAlign w:val="center"/>
          </w:tcPr>
          <w:p w14:paraId="0598A947">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付款方式</w:t>
            </w:r>
          </w:p>
        </w:tc>
        <w:tc>
          <w:tcPr>
            <w:tcW w:w="4068" w:type="pct"/>
            <w:tcBorders>
              <w:tl2br w:val="nil"/>
              <w:tr2bl w:val="nil"/>
            </w:tcBorders>
            <w:vAlign w:val="center"/>
          </w:tcPr>
          <w:p w14:paraId="59E4AF66">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全部</w:t>
            </w:r>
            <w:r>
              <w:rPr>
                <w:rFonts w:hint="eastAsia" w:ascii="宋体" w:hAnsi="宋体" w:cs="宋体"/>
                <w:color w:val="auto"/>
                <w:highlight w:val="none"/>
                <w:lang w:eastAsia="zh-CN"/>
              </w:rPr>
              <w:t>货物</w:t>
            </w:r>
            <w:r>
              <w:rPr>
                <w:rFonts w:hint="eastAsia" w:ascii="宋体" w:hAnsi="宋体" w:cs="宋体"/>
                <w:color w:val="auto"/>
                <w:highlight w:val="none"/>
              </w:rPr>
              <w:t>服务</w:t>
            </w:r>
            <w:r>
              <w:rPr>
                <w:rFonts w:hint="eastAsia" w:ascii="宋体" w:hAnsi="宋体" w:cs="宋体"/>
                <w:color w:val="auto"/>
                <w:highlight w:val="none"/>
                <w:lang w:eastAsia="zh-CN"/>
              </w:rPr>
              <w:t>交付并</w:t>
            </w:r>
            <w:r>
              <w:rPr>
                <w:rFonts w:hint="eastAsia" w:ascii="宋体" w:hAnsi="宋体" w:cs="宋体"/>
                <w:color w:val="auto"/>
                <w:highlight w:val="none"/>
              </w:rPr>
              <w:t>安装、调试完毕，经采购人最终验收合格后，甲方在10个工作日内一次性支付</w:t>
            </w:r>
            <w:r>
              <w:rPr>
                <w:rFonts w:hint="eastAsia" w:ascii="宋体" w:hAnsi="宋体" w:cs="宋体"/>
                <w:color w:val="auto"/>
                <w:highlight w:val="none"/>
                <w:lang w:eastAsia="zh-CN"/>
              </w:rPr>
              <w:t>全部合同货款</w:t>
            </w:r>
            <w:r>
              <w:rPr>
                <w:rFonts w:hint="eastAsia" w:ascii="宋体" w:hAnsi="宋体" w:cs="宋体"/>
                <w:color w:val="auto"/>
                <w:highlight w:val="none"/>
              </w:rPr>
              <w:t>给乙方。</w:t>
            </w:r>
          </w:p>
        </w:tc>
      </w:tr>
      <w:tr w14:paraId="53DFF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278" w:type="pct"/>
            <w:tcBorders>
              <w:tl2br w:val="nil"/>
              <w:tr2bl w:val="nil"/>
            </w:tcBorders>
            <w:vAlign w:val="center"/>
          </w:tcPr>
          <w:p w14:paraId="1B26343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val="en-US" w:eastAsia="zh-CN"/>
              </w:rPr>
              <w:t>6</w:t>
            </w:r>
          </w:p>
        </w:tc>
        <w:tc>
          <w:tcPr>
            <w:tcW w:w="652" w:type="pct"/>
            <w:tcBorders>
              <w:tl2br w:val="nil"/>
              <w:tr2bl w:val="nil"/>
            </w:tcBorders>
            <w:vAlign w:val="center"/>
          </w:tcPr>
          <w:p w14:paraId="7A01982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实施和安装要求</w:t>
            </w:r>
          </w:p>
        </w:tc>
        <w:tc>
          <w:tcPr>
            <w:tcW w:w="4068" w:type="pct"/>
            <w:tcBorders>
              <w:tl2br w:val="nil"/>
              <w:tr2bl w:val="nil"/>
            </w:tcBorders>
            <w:vAlign w:val="center"/>
          </w:tcPr>
          <w:p w14:paraId="3E801EBD">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1.合同生效后【</w:t>
            </w:r>
            <w:r>
              <w:rPr>
                <w:rFonts w:hint="eastAsia" w:ascii="宋体" w:hAnsi="宋体"/>
                <w:color w:val="auto"/>
                <w:highlight w:val="none"/>
                <w:lang w:val="en-US" w:eastAsia="zh-CN"/>
              </w:rPr>
              <w:t>10</w:t>
            </w:r>
            <w:r>
              <w:rPr>
                <w:rFonts w:hint="eastAsia" w:ascii="宋体" w:hAnsi="宋体"/>
                <w:color w:val="auto"/>
                <w:highlight w:val="none"/>
              </w:rPr>
              <w:t>】个工作日内，供应商应将产品交付至采购人指定地点，开通授权登录账号，提供现场安装调试服务、操作培训、技术指导等，并提交产品相关操作指南和使用说明书（如有）。</w:t>
            </w:r>
          </w:p>
          <w:p w14:paraId="57371DF3">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2.根据采购要求提供项目安装调试服务，确保所提供的货物或服务满足采购人使用要求，质量合格；</w:t>
            </w:r>
          </w:p>
          <w:p w14:paraId="41A1609A">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3．供应商必须服从甲方现场负责人的指挥，按指定地点进行安装调试，安装过程中的所有安全保障由供应商自行负责；</w:t>
            </w:r>
          </w:p>
          <w:p w14:paraId="434597A6">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Cs/>
                <w:color w:val="auto"/>
                <w:szCs w:val="21"/>
                <w:highlight w:val="none"/>
              </w:rPr>
            </w:pPr>
            <w:r>
              <w:rPr>
                <w:rFonts w:hint="eastAsia" w:ascii="宋体" w:hAnsi="宋体"/>
                <w:color w:val="auto"/>
                <w:highlight w:val="none"/>
              </w:rPr>
              <w:t>4.严格按竞标产品的安装规范要求进行安装，确保安全。</w:t>
            </w:r>
          </w:p>
        </w:tc>
      </w:tr>
      <w:tr w14:paraId="540C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278" w:type="pct"/>
            <w:tcBorders>
              <w:tl2br w:val="nil"/>
              <w:tr2bl w:val="nil"/>
            </w:tcBorders>
            <w:shd w:val="clear" w:color="auto" w:fill="auto"/>
            <w:vAlign w:val="center"/>
          </w:tcPr>
          <w:p w14:paraId="16A5ACF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7</w:t>
            </w:r>
          </w:p>
        </w:tc>
        <w:tc>
          <w:tcPr>
            <w:tcW w:w="652" w:type="pct"/>
            <w:tcBorders>
              <w:tl2br w:val="nil"/>
              <w:tr2bl w:val="nil"/>
            </w:tcBorders>
            <w:shd w:val="clear" w:color="auto" w:fill="auto"/>
            <w:vAlign w:val="center"/>
          </w:tcPr>
          <w:p w14:paraId="20C6AAD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highlight w:val="none"/>
              </w:rPr>
              <w:t>验收要求</w:t>
            </w:r>
          </w:p>
        </w:tc>
        <w:tc>
          <w:tcPr>
            <w:tcW w:w="4068" w:type="pct"/>
            <w:tcBorders>
              <w:tl2br w:val="nil"/>
              <w:tr2bl w:val="nil"/>
            </w:tcBorders>
            <w:shd w:val="clear" w:color="auto" w:fill="auto"/>
            <w:vAlign w:val="center"/>
          </w:tcPr>
          <w:p w14:paraId="3AE46E5D">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1.成交供应商按采购人指定的安装地点，</w:t>
            </w:r>
            <w:r>
              <w:rPr>
                <w:rFonts w:hint="eastAsia" w:ascii="宋体" w:hAnsi="宋体"/>
                <w:color w:val="auto"/>
                <w:highlight w:val="none"/>
                <w:lang w:eastAsia="zh-CN"/>
              </w:rPr>
              <w:t>在采购约定时间内</w:t>
            </w:r>
            <w:r>
              <w:rPr>
                <w:rFonts w:hint="eastAsia" w:ascii="宋体" w:hAnsi="宋体"/>
                <w:color w:val="auto"/>
                <w:highlight w:val="none"/>
              </w:rPr>
              <w:t>完成安装与调试、现场培训等。</w:t>
            </w:r>
          </w:p>
          <w:p w14:paraId="00774FD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2.成交供应商提出书面验收申请，经采购人同意后共同组织验收，签写相应验收意见并签名确认。验收时，</w:t>
            </w:r>
            <w:r>
              <w:rPr>
                <w:rFonts w:hint="eastAsia" w:ascii="宋体" w:hAnsi="宋体"/>
                <w:color w:val="auto"/>
                <w:szCs w:val="21"/>
                <w:highlight w:val="none"/>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highlight w:val="none"/>
              </w:rPr>
              <w:t>如对验收存在异议的，可聘请第三方按合同约定组织验收。</w:t>
            </w:r>
          </w:p>
          <w:p w14:paraId="1A1AD223">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3.项目验收合格，项目约定产品或服务才正式交接，交接完毕，才作为项目的最终验收。</w:t>
            </w:r>
          </w:p>
          <w:p w14:paraId="14ED29C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olor w:val="auto"/>
                <w:highlight w:val="none"/>
              </w:rPr>
              <w:t>4.验收费用：验收所产生的劳务费、检验费及相关发生的全部费用均由成交供应商承担。</w:t>
            </w:r>
          </w:p>
        </w:tc>
      </w:tr>
      <w:tr w14:paraId="5BA5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78" w:type="pct"/>
            <w:tcBorders>
              <w:tl2br w:val="nil"/>
              <w:tr2bl w:val="nil"/>
            </w:tcBorders>
            <w:vAlign w:val="center"/>
          </w:tcPr>
          <w:p w14:paraId="57831A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w:t>
            </w:r>
          </w:p>
        </w:tc>
        <w:tc>
          <w:tcPr>
            <w:tcW w:w="652" w:type="pct"/>
            <w:tcBorders>
              <w:tl2br w:val="nil"/>
              <w:tr2bl w:val="nil"/>
            </w:tcBorders>
            <w:vAlign w:val="center"/>
          </w:tcPr>
          <w:p w14:paraId="0BE672B5">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其他要求</w:t>
            </w:r>
          </w:p>
        </w:tc>
        <w:tc>
          <w:tcPr>
            <w:tcW w:w="4068" w:type="pct"/>
            <w:tcBorders>
              <w:tl2br w:val="nil"/>
              <w:tr2bl w:val="nil"/>
            </w:tcBorders>
            <w:vAlign w:val="center"/>
          </w:tcPr>
          <w:p w14:paraId="27710509">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shd w:val="clear"/>
              </w:rPr>
              <w:t>1、本项目的技术参数要求必须实质性响应，不允许负偏离。</w:t>
            </w:r>
            <w:r>
              <w:rPr>
                <w:rFonts w:hint="eastAsia" w:ascii="宋体" w:hAnsi="宋体"/>
                <w:color w:val="auto"/>
                <w:highlight w:val="none"/>
              </w:rPr>
              <w:t>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5880ED3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olor w:val="auto"/>
                <w:highlight w:val="none"/>
              </w:rPr>
            </w:pPr>
            <w:r>
              <w:rPr>
                <w:rFonts w:hint="eastAsia" w:ascii="宋体" w:hAnsi="宋体"/>
                <w:color w:val="auto"/>
                <w:highlight w:val="none"/>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002D45BA"/>
    <w:sectPr>
      <w:pgSz w:w="16838" w:h="11906" w:orient="landscape"/>
      <w:pgMar w:top="1247" w:right="1080" w:bottom="124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2069E6"/>
    <w:rsid w:val="023F2212"/>
    <w:rsid w:val="02497534"/>
    <w:rsid w:val="026E0D49"/>
    <w:rsid w:val="02B00BF5"/>
    <w:rsid w:val="02D41B01"/>
    <w:rsid w:val="03304250"/>
    <w:rsid w:val="03D01339"/>
    <w:rsid w:val="0442138C"/>
    <w:rsid w:val="04910CAA"/>
    <w:rsid w:val="04966335"/>
    <w:rsid w:val="04DA0DBE"/>
    <w:rsid w:val="04E43544"/>
    <w:rsid w:val="04FC088E"/>
    <w:rsid w:val="052E28C8"/>
    <w:rsid w:val="06277B8D"/>
    <w:rsid w:val="0664493D"/>
    <w:rsid w:val="069C7F67"/>
    <w:rsid w:val="06F57F75"/>
    <w:rsid w:val="071874D5"/>
    <w:rsid w:val="071F7265"/>
    <w:rsid w:val="08103916"/>
    <w:rsid w:val="08404F36"/>
    <w:rsid w:val="09181FD0"/>
    <w:rsid w:val="098A1833"/>
    <w:rsid w:val="0A36214C"/>
    <w:rsid w:val="0A4A5BF8"/>
    <w:rsid w:val="0AA3355A"/>
    <w:rsid w:val="0AB37C41"/>
    <w:rsid w:val="0AB7508A"/>
    <w:rsid w:val="0AE72A95"/>
    <w:rsid w:val="0AFF481A"/>
    <w:rsid w:val="0B870B9C"/>
    <w:rsid w:val="0BC1638D"/>
    <w:rsid w:val="0BD22349"/>
    <w:rsid w:val="0BE36304"/>
    <w:rsid w:val="0BE856C8"/>
    <w:rsid w:val="0D693500"/>
    <w:rsid w:val="0D7C0FEF"/>
    <w:rsid w:val="0DF76608"/>
    <w:rsid w:val="0EA53D44"/>
    <w:rsid w:val="0EEC1973"/>
    <w:rsid w:val="0F13514E"/>
    <w:rsid w:val="0F20786F"/>
    <w:rsid w:val="0FE20AF7"/>
    <w:rsid w:val="10516B48"/>
    <w:rsid w:val="10700716"/>
    <w:rsid w:val="10CB0144"/>
    <w:rsid w:val="11056D1C"/>
    <w:rsid w:val="11EE5A02"/>
    <w:rsid w:val="126521DA"/>
    <w:rsid w:val="12E35D86"/>
    <w:rsid w:val="14B0798A"/>
    <w:rsid w:val="14CD18FF"/>
    <w:rsid w:val="150F1F18"/>
    <w:rsid w:val="15415E49"/>
    <w:rsid w:val="1565422D"/>
    <w:rsid w:val="158C6C91"/>
    <w:rsid w:val="15C55FA9"/>
    <w:rsid w:val="161672D6"/>
    <w:rsid w:val="162E2871"/>
    <w:rsid w:val="169F45B2"/>
    <w:rsid w:val="170574C9"/>
    <w:rsid w:val="173E0892"/>
    <w:rsid w:val="17AD77C6"/>
    <w:rsid w:val="17C52D61"/>
    <w:rsid w:val="17E416FE"/>
    <w:rsid w:val="17F90C5D"/>
    <w:rsid w:val="180A2E6A"/>
    <w:rsid w:val="185F4F64"/>
    <w:rsid w:val="19E25E4D"/>
    <w:rsid w:val="19FB6C07"/>
    <w:rsid w:val="1A703458"/>
    <w:rsid w:val="1AA650CC"/>
    <w:rsid w:val="1BC34054"/>
    <w:rsid w:val="1C341886"/>
    <w:rsid w:val="1CF83EBA"/>
    <w:rsid w:val="1CFC0FD3"/>
    <w:rsid w:val="1D6123B0"/>
    <w:rsid w:val="1D8334A3"/>
    <w:rsid w:val="1E4569AA"/>
    <w:rsid w:val="1EBA1146"/>
    <w:rsid w:val="20711CD8"/>
    <w:rsid w:val="20AA346D"/>
    <w:rsid w:val="21747CD2"/>
    <w:rsid w:val="217F21D3"/>
    <w:rsid w:val="21D73DBD"/>
    <w:rsid w:val="21EA7F94"/>
    <w:rsid w:val="220B7F0B"/>
    <w:rsid w:val="224156DA"/>
    <w:rsid w:val="224B0307"/>
    <w:rsid w:val="22737F8A"/>
    <w:rsid w:val="22E53BE8"/>
    <w:rsid w:val="2329689A"/>
    <w:rsid w:val="238A585A"/>
    <w:rsid w:val="238C0BD7"/>
    <w:rsid w:val="23A61397"/>
    <w:rsid w:val="23C6233B"/>
    <w:rsid w:val="23EF1892"/>
    <w:rsid w:val="23FA65E1"/>
    <w:rsid w:val="241A61E3"/>
    <w:rsid w:val="247578BD"/>
    <w:rsid w:val="24F66C50"/>
    <w:rsid w:val="254E083A"/>
    <w:rsid w:val="255F69BB"/>
    <w:rsid w:val="26633F17"/>
    <w:rsid w:val="26887D7C"/>
    <w:rsid w:val="26A34BB6"/>
    <w:rsid w:val="270513CC"/>
    <w:rsid w:val="2753038A"/>
    <w:rsid w:val="289B3D96"/>
    <w:rsid w:val="29BD1AEA"/>
    <w:rsid w:val="29FB0EEE"/>
    <w:rsid w:val="2B3C33A4"/>
    <w:rsid w:val="2B9D316E"/>
    <w:rsid w:val="2C1A1476"/>
    <w:rsid w:val="2C313484"/>
    <w:rsid w:val="2C5536B8"/>
    <w:rsid w:val="2C9A6113"/>
    <w:rsid w:val="2C9D3849"/>
    <w:rsid w:val="2CC15D95"/>
    <w:rsid w:val="2CD07727"/>
    <w:rsid w:val="2CD535EF"/>
    <w:rsid w:val="2EC675C3"/>
    <w:rsid w:val="2F9514AB"/>
    <w:rsid w:val="2FE73821"/>
    <w:rsid w:val="2FF47EBC"/>
    <w:rsid w:val="302F0099"/>
    <w:rsid w:val="30B11C7D"/>
    <w:rsid w:val="30B61FF7"/>
    <w:rsid w:val="30C36E11"/>
    <w:rsid w:val="30E12562"/>
    <w:rsid w:val="311F752F"/>
    <w:rsid w:val="31465D97"/>
    <w:rsid w:val="31992E3D"/>
    <w:rsid w:val="32247DFE"/>
    <w:rsid w:val="323A4620"/>
    <w:rsid w:val="325F5E35"/>
    <w:rsid w:val="32867865"/>
    <w:rsid w:val="32D14858"/>
    <w:rsid w:val="33B201E6"/>
    <w:rsid w:val="33CF6FEA"/>
    <w:rsid w:val="33D463AE"/>
    <w:rsid w:val="34531AA2"/>
    <w:rsid w:val="35E16A2E"/>
    <w:rsid w:val="36985DB9"/>
    <w:rsid w:val="36AD5148"/>
    <w:rsid w:val="37755E86"/>
    <w:rsid w:val="37E34E12"/>
    <w:rsid w:val="38BF65E6"/>
    <w:rsid w:val="38D9696E"/>
    <w:rsid w:val="390F2A93"/>
    <w:rsid w:val="397A79F8"/>
    <w:rsid w:val="39C3314D"/>
    <w:rsid w:val="3A40479E"/>
    <w:rsid w:val="3AAB781D"/>
    <w:rsid w:val="3B5E449F"/>
    <w:rsid w:val="3C574020"/>
    <w:rsid w:val="3CBF4A61"/>
    <w:rsid w:val="3CCA034E"/>
    <w:rsid w:val="3D674597"/>
    <w:rsid w:val="3DAE7C70"/>
    <w:rsid w:val="3DE713D4"/>
    <w:rsid w:val="3DF31B27"/>
    <w:rsid w:val="3E131550"/>
    <w:rsid w:val="3ED92ACB"/>
    <w:rsid w:val="3F7D5B4C"/>
    <w:rsid w:val="3F9D61EE"/>
    <w:rsid w:val="406E72A4"/>
    <w:rsid w:val="410172C5"/>
    <w:rsid w:val="41285F8B"/>
    <w:rsid w:val="41E11E03"/>
    <w:rsid w:val="41F617B3"/>
    <w:rsid w:val="4206295C"/>
    <w:rsid w:val="43E066A9"/>
    <w:rsid w:val="44994855"/>
    <w:rsid w:val="4581088E"/>
    <w:rsid w:val="45FC03BF"/>
    <w:rsid w:val="461E795D"/>
    <w:rsid w:val="46647A66"/>
    <w:rsid w:val="476D46F8"/>
    <w:rsid w:val="48DA32E9"/>
    <w:rsid w:val="48E522B6"/>
    <w:rsid w:val="490A67FA"/>
    <w:rsid w:val="49F7687F"/>
    <w:rsid w:val="4B02599F"/>
    <w:rsid w:val="4B8B2F80"/>
    <w:rsid w:val="4C3504DC"/>
    <w:rsid w:val="4CC96874"/>
    <w:rsid w:val="4D5F4AE3"/>
    <w:rsid w:val="4D9549A9"/>
    <w:rsid w:val="4DD5541C"/>
    <w:rsid w:val="4E797E26"/>
    <w:rsid w:val="4ECF7A46"/>
    <w:rsid w:val="503A73A6"/>
    <w:rsid w:val="508A00C9"/>
    <w:rsid w:val="50D92DFE"/>
    <w:rsid w:val="50E90E4D"/>
    <w:rsid w:val="51704C1D"/>
    <w:rsid w:val="51A837F2"/>
    <w:rsid w:val="52383B54"/>
    <w:rsid w:val="52F26AC7"/>
    <w:rsid w:val="537B63EF"/>
    <w:rsid w:val="54491472"/>
    <w:rsid w:val="5488491F"/>
    <w:rsid w:val="548F7351"/>
    <w:rsid w:val="55654C60"/>
    <w:rsid w:val="558F7E43"/>
    <w:rsid w:val="559B0682"/>
    <w:rsid w:val="55AC6D33"/>
    <w:rsid w:val="55E93AE3"/>
    <w:rsid w:val="55F81F79"/>
    <w:rsid w:val="562D75AF"/>
    <w:rsid w:val="56FF2E93"/>
    <w:rsid w:val="579161E1"/>
    <w:rsid w:val="5794182D"/>
    <w:rsid w:val="58801DB1"/>
    <w:rsid w:val="592866D1"/>
    <w:rsid w:val="59633BAD"/>
    <w:rsid w:val="5AD703AE"/>
    <w:rsid w:val="5B48305A"/>
    <w:rsid w:val="5C750008"/>
    <w:rsid w:val="5C9F6CAA"/>
    <w:rsid w:val="5D0C307D"/>
    <w:rsid w:val="5E1D7B0C"/>
    <w:rsid w:val="5EF534F9"/>
    <w:rsid w:val="5F4065B6"/>
    <w:rsid w:val="5FC72F01"/>
    <w:rsid w:val="60A96349"/>
    <w:rsid w:val="60BF5B6D"/>
    <w:rsid w:val="610D4460"/>
    <w:rsid w:val="6192502F"/>
    <w:rsid w:val="619265B1"/>
    <w:rsid w:val="61E0223F"/>
    <w:rsid w:val="61EB2991"/>
    <w:rsid w:val="639D5F0D"/>
    <w:rsid w:val="64432611"/>
    <w:rsid w:val="64446389"/>
    <w:rsid w:val="646B1B68"/>
    <w:rsid w:val="64B928D3"/>
    <w:rsid w:val="64CA2D32"/>
    <w:rsid w:val="64F41B5D"/>
    <w:rsid w:val="66187ACD"/>
    <w:rsid w:val="66870535"/>
    <w:rsid w:val="66A51398"/>
    <w:rsid w:val="66E83943"/>
    <w:rsid w:val="68030A35"/>
    <w:rsid w:val="684868E3"/>
    <w:rsid w:val="691722BE"/>
    <w:rsid w:val="6A7C4ACE"/>
    <w:rsid w:val="6ADE12E5"/>
    <w:rsid w:val="6B3E7FD6"/>
    <w:rsid w:val="6B981494"/>
    <w:rsid w:val="6BB87D88"/>
    <w:rsid w:val="6C0048D0"/>
    <w:rsid w:val="6C111246"/>
    <w:rsid w:val="6C1256EA"/>
    <w:rsid w:val="6C461ECF"/>
    <w:rsid w:val="6CD40BF2"/>
    <w:rsid w:val="6CEA4950"/>
    <w:rsid w:val="6D2A6A64"/>
    <w:rsid w:val="6D3314B3"/>
    <w:rsid w:val="6E232492"/>
    <w:rsid w:val="6E557B10"/>
    <w:rsid w:val="6E962CD2"/>
    <w:rsid w:val="6F5D06C3"/>
    <w:rsid w:val="6F601648"/>
    <w:rsid w:val="6FE2671E"/>
    <w:rsid w:val="6FF00D41"/>
    <w:rsid w:val="71866233"/>
    <w:rsid w:val="71DF0FEF"/>
    <w:rsid w:val="728026E4"/>
    <w:rsid w:val="7363682B"/>
    <w:rsid w:val="736E298E"/>
    <w:rsid w:val="73C31078"/>
    <w:rsid w:val="73C51294"/>
    <w:rsid w:val="73CB3227"/>
    <w:rsid w:val="73CF2113"/>
    <w:rsid w:val="74162D65"/>
    <w:rsid w:val="74253E9F"/>
    <w:rsid w:val="75D03F20"/>
    <w:rsid w:val="761D3536"/>
    <w:rsid w:val="77493F8A"/>
    <w:rsid w:val="775D6EE5"/>
    <w:rsid w:val="7A2111EE"/>
    <w:rsid w:val="7A752BA1"/>
    <w:rsid w:val="7A786D50"/>
    <w:rsid w:val="7A925C48"/>
    <w:rsid w:val="7AB81A37"/>
    <w:rsid w:val="7B656EB9"/>
    <w:rsid w:val="7BB26285"/>
    <w:rsid w:val="7C2E19A1"/>
    <w:rsid w:val="7D0F532E"/>
    <w:rsid w:val="7D3D1E9B"/>
    <w:rsid w:val="7D7B0C16"/>
    <w:rsid w:val="7E5C0A47"/>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qFormat/>
    <w:uiPriority w:val="0"/>
    <w:pPr>
      <w:spacing w:after="120" w:afterLines="0" w:afterAutospacing="0"/>
    </w:pPr>
  </w:style>
  <w:style w:type="paragraph" w:styleId="4">
    <w:name w:val="Body Text Indent"/>
    <w:basedOn w:val="1"/>
    <w:next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unhideWhenUsed/>
    <w:qFormat/>
    <w:uiPriority w:val="0"/>
    <w:pPr>
      <w:widowControl/>
      <w:spacing w:after="0"/>
      <w:ind w:firstLine="420" w:firstLineChars="200"/>
    </w:pPr>
    <w:rPr>
      <w:rFonts w:ascii="宋体" w:hAnsi="宋体" w:cs="宋体"/>
      <w:kern w:val="0"/>
      <w:szCs w:val="21"/>
    </w:rPr>
  </w:style>
  <w:style w:type="paragraph" w:styleId="7">
    <w:name w:val="Body Text First Indent 2"/>
    <w:basedOn w:val="4"/>
    <w:next w:val="1"/>
    <w:qFormat/>
    <w:uiPriority w:val="0"/>
    <w:pPr>
      <w:spacing w:after="120"/>
      <w:ind w:left="420" w:leftChars="200" w:firstLine="420" w:firstLineChars="200"/>
    </w:pPr>
    <w:rPr>
      <w:rFonts w:ascii="Times New Roman" w:eastAsia="宋体"/>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font31"/>
    <w:basedOn w:val="10"/>
    <w:qFormat/>
    <w:uiPriority w:val="0"/>
    <w:rPr>
      <w:rFonts w:hint="eastAsia" w:ascii="宋体" w:hAnsi="宋体" w:eastAsia="宋体" w:cs="宋体"/>
      <w:color w:val="000000"/>
      <w:sz w:val="20"/>
      <w:szCs w:val="20"/>
      <w:u w:val="none"/>
    </w:rPr>
  </w:style>
  <w:style w:type="paragraph" w:customStyle="1" w:styleId="13">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10176</Words>
  <Characters>10301</Characters>
  <Lines>116</Lines>
  <Paragraphs>32</Paragraphs>
  <TotalTime>3</TotalTime>
  <ScaleCrop>false</ScaleCrop>
  <LinksUpToDate>false</LinksUpToDate>
  <CharactersWithSpaces>10354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dcterms:modified xsi:type="dcterms:W3CDTF">2025-04-25T10:08:58Z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0B22CA7740C445028DFA503790D58791_13</vt:lpwstr>
  </property>
  <property fmtid="{D5CDD505-2E9C-101B-9397-08002B2CF9AE}" pid="4" name="KSOTemplateDocerSaveRecord">
    <vt:lpwstr>eyJoZGlkIjoiYTUzZDY3MzQ3M2UzMjY1NjBmYTJmNmI0N2ZjODk1Y2QiLCJ1c2VySWQiOiI1ODI0ODIzODAifQ==</vt:lpwstr>
  </property>
</Properties>
</file>