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A9C4D">
      <w:pPr>
        <w:jc w:val="center"/>
        <w:rPr>
          <w:b/>
          <w:bCs/>
          <w:sz w:val="32"/>
          <w:szCs w:val="32"/>
        </w:rPr>
      </w:pPr>
      <w:r>
        <w:rPr>
          <w:rFonts w:hint="eastAsia"/>
          <w:b/>
          <w:bCs/>
          <w:sz w:val="32"/>
          <w:szCs w:val="32"/>
        </w:rPr>
        <w:t>电气自动化专业群工业互联网育训基地建设项目购置清单（空调、一体机、家具）</w:t>
      </w:r>
    </w:p>
    <w:tbl>
      <w:tblPr>
        <w:tblStyle w:val="8"/>
        <w:tblW w:w="15318"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90"/>
        <w:gridCol w:w="981"/>
        <w:gridCol w:w="889"/>
        <w:gridCol w:w="7170"/>
        <w:gridCol w:w="783"/>
        <w:gridCol w:w="767"/>
        <w:gridCol w:w="950"/>
        <w:gridCol w:w="1100"/>
        <w:gridCol w:w="1888"/>
      </w:tblGrid>
      <w:tr w14:paraId="1DB5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98" w:hRule="atLeast"/>
        </w:trPr>
        <w:tc>
          <w:tcPr>
            <w:tcW w:w="790" w:type="dxa"/>
            <w:vAlign w:val="center"/>
          </w:tcPr>
          <w:p w14:paraId="26D97CA1">
            <w:pPr>
              <w:jc w:val="center"/>
              <w:textAlignment w:val="center"/>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序号</w:t>
            </w:r>
          </w:p>
        </w:tc>
        <w:tc>
          <w:tcPr>
            <w:tcW w:w="981" w:type="dxa"/>
            <w:vAlign w:val="center"/>
          </w:tcPr>
          <w:p w14:paraId="7F41AB42">
            <w:pPr>
              <w:jc w:val="center"/>
              <w:textAlignment w:val="center"/>
              <w:rPr>
                <w:b/>
                <w:color w:val="000000" w:themeColor="text1"/>
                <w:lang w:bidi="ar"/>
                <w14:textFill>
                  <w14:solidFill>
                    <w14:schemeClr w14:val="tx1"/>
                  </w14:solidFill>
                </w14:textFill>
              </w:rPr>
            </w:pPr>
            <w:r>
              <w:rPr>
                <w:rFonts w:hint="eastAsia"/>
                <w:sz w:val="22"/>
              </w:rPr>
              <w:t>货物名称</w:t>
            </w:r>
          </w:p>
        </w:tc>
        <w:tc>
          <w:tcPr>
            <w:tcW w:w="889" w:type="dxa"/>
            <w:vAlign w:val="center"/>
          </w:tcPr>
          <w:p w14:paraId="6FFFC4DB">
            <w:pPr>
              <w:jc w:val="center"/>
              <w:textAlignment w:val="center"/>
              <w:rPr>
                <w:sz w:val="22"/>
              </w:rPr>
            </w:pPr>
            <w:r>
              <w:rPr>
                <w:rFonts w:hint="eastAsia"/>
                <w:sz w:val="22"/>
              </w:rPr>
              <w:t>参考品牌</w:t>
            </w:r>
          </w:p>
        </w:tc>
        <w:tc>
          <w:tcPr>
            <w:tcW w:w="7170" w:type="dxa"/>
            <w:vAlign w:val="center"/>
          </w:tcPr>
          <w:p w14:paraId="295853C3">
            <w:pPr>
              <w:jc w:val="center"/>
              <w:rPr>
                <w:b/>
                <w:color w:val="000000" w:themeColor="text1"/>
                <w:lang w:bidi="ar"/>
                <w14:textFill>
                  <w14:solidFill>
                    <w14:schemeClr w14:val="tx1"/>
                  </w14:solidFill>
                </w14:textFill>
              </w:rPr>
            </w:pPr>
            <w:r>
              <w:rPr>
                <w:rFonts w:hint="eastAsia"/>
                <w:sz w:val="22"/>
              </w:rPr>
              <w:t>型号规格或配置技术参数</w:t>
            </w:r>
          </w:p>
        </w:tc>
        <w:tc>
          <w:tcPr>
            <w:tcW w:w="783" w:type="dxa"/>
            <w:shd w:val="clear" w:color="auto" w:fill="auto"/>
            <w:vAlign w:val="center"/>
          </w:tcPr>
          <w:p w14:paraId="70DE729B">
            <w:pPr>
              <w:jc w:val="center"/>
              <w:textAlignment w:val="center"/>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单位</w:t>
            </w:r>
          </w:p>
        </w:tc>
        <w:tc>
          <w:tcPr>
            <w:tcW w:w="767" w:type="dxa"/>
            <w:vAlign w:val="center"/>
          </w:tcPr>
          <w:p w14:paraId="69A8D6F7">
            <w:pPr>
              <w:jc w:val="center"/>
              <w:textAlignment w:val="center"/>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数量</w:t>
            </w:r>
          </w:p>
        </w:tc>
        <w:tc>
          <w:tcPr>
            <w:tcW w:w="950" w:type="dxa"/>
            <w:shd w:val="clear" w:color="auto" w:fill="auto"/>
            <w:vAlign w:val="center"/>
          </w:tcPr>
          <w:p w14:paraId="3152B1FF">
            <w:pPr>
              <w:jc w:val="center"/>
              <w:textAlignment w:val="center"/>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单价</w:t>
            </w:r>
          </w:p>
          <w:p w14:paraId="22CCBA1F">
            <w:pPr>
              <w:jc w:val="center"/>
              <w:textAlignment w:val="center"/>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（元）</w:t>
            </w:r>
          </w:p>
        </w:tc>
        <w:tc>
          <w:tcPr>
            <w:tcW w:w="1100" w:type="dxa"/>
            <w:shd w:val="clear" w:color="auto" w:fill="auto"/>
            <w:vAlign w:val="center"/>
          </w:tcPr>
          <w:p w14:paraId="115876ED">
            <w:pPr>
              <w:jc w:val="center"/>
              <w:textAlignment w:val="center"/>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合计(元)</w:t>
            </w:r>
          </w:p>
        </w:tc>
        <w:tc>
          <w:tcPr>
            <w:tcW w:w="1888" w:type="dxa"/>
            <w:vAlign w:val="center"/>
          </w:tcPr>
          <w:p w14:paraId="2DF68E5B">
            <w:pPr>
              <w:jc w:val="center"/>
              <w:textAlignment w:val="center"/>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备注</w:t>
            </w:r>
          </w:p>
        </w:tc>
      </w:tr>
      <w:tr w14:paraId="2813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790" w:type="dxa"/>
            <w:vAlign w:val="center"/>
          </w:tcPr>
          <w:p w14:paraId="119DE11D">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1</w:t>
            </w:r>
          </w:p>
        </w:tc>
        <w:tc>
          <w:tcPr>
            <w:tcW w:w="981" w:type="dxa"/>
            <w:vAlign w:val="center"/>
          </w:tcPr>
          <w:p w14:paraId="41675D32">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空调</w:t>
            </w:r>
          </w:p>
        </w:tc>
        <w:tc>
          <w:tcPr>
            <w:tcW w:w="889" w:type="dxa"/>
            <w:vAlign w:val="center"/>
          </w:tcPr>
          <w:p w14:paraId="4F3ED9A0">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格力、美的、海尔</w:t>
            </w:r>
            <w:r>
              <w:rPr>
                <w:rFonts w:hint="eastAsia"/>
                <w:sz w:val="22"/>
                <w:lang w:bidi="ar"/>
              </w:rPr>
              <w:t>等同档次及以上品牌</w:t>
            </w:r>
          </w:p>
        </w:tc>
        <w:tc>
          <w:tcPr>
            <w:tcW w:w="7170" w:type="dxa"/>
            <w:vAlign w:val="center"/>
          </w:tcPr>
          <w:p w14:paraId="4F8007B1">
            <w:pPr>
              <w:textAlignment w:val="center"/>
              <w:rPr>
                <w:bCs/>
                <w:color w:val="000000" w:themeColor="text1"/>
                <w:lang w:bidi="ar"/>
                <w14:textFill>
                  <w14:solidFill>
                    <w14:schemeClr w14:val="tx1"/>
                  </w14:solidFill>
                </w14:textFill>
              </w:rPr>
            </w:pPr>
            <w:r>
              <w:rPr>
                <w:rFonts w:hint="eastAsia"/>
                <w:color w:val="000000"/>
                <w:sz w:val="22"/>
                <w:szCs w:val="22"/>
                <w:lang w:bidi="ar"/>
              </w:rPr>
              <w:t>产品类型：变频柜机 冷暖类型</w:t>
            </w:r>
            <w:r>
              <w:rPr>
                <w:rFonts w:hint="eastAsia"/>
                <w:color w:val="000000"/>
                <w:sz w:val="22"/>
                <w:szCs w:val="22"/>
                <w:lang w:bidi="ar"/>
              </w:rPr>
              <w:br w:type="textWrapping"/>
            </w:r>
            <w:r>
              <w:rPr>
                <w:rFonts w:hint="eastAsia"/>
                <w:color w:val="000000"/>
                <w:sz w:val="22"/>
                <w:szCs w:val="22"/>
                <w:lang w:bidi="ar"/>
              </w:rPr>
              <w:t>匹数 3匹</w:t>
            </w:r>
            <w:r>
              <w:rPr>
                <w:rFonts w:hint="eastAsia"/>
                <w:color w:val="000000"/>
                <w:sz w:val="22"/>
                <w:szCs w:val="22"/>
                <w:lang w:bidi="ar"/>
              </w:rPr>
              <w:br w:type="textWrapping"/>
            </w:r>
            <w:r>
              <w:rPr>
                <w:rFonts w:hint="eastAsia"/>
                <w:color w:val="000000"/>
                <w:sz w:val="22"/>
                <w:szCs w:val="22"/>
                <w:lang w:bidi="ar"/>
              </w:rPr>
              <w:t>能效等级 ：二级 制冷量 7.29(kw)</w:t>
            </w:r>
            <w:r>
              <w:rPr>
                <w:rFonts w:hint="eastAsia"/>
                <w:color w:val="000000"/>
                <w:sz w:val="22"/>
                <w:szCs w:val="22"/>
                <w:lang w:bidi="ar"/>
              </w:rPr>
              <w:br w:type="textWrapping"/>
            </w:r>
            <w:r>
              <w:rPr>
                <w:rFonts w:hint="eastAsia"/>
                <w:color w:val="000000"/>
                <w:sz w:val="22"/>
                <w:szCs w:val="22"/>
                <w:lang w:bidi="ar"/>
              </w:rPr>
              <w:t>制冷功率2350 (w)</w:t>
            </w:r>
            <w:r>
              <w:rPr>
                <w:rFonts w:hint="eastAsia"/>
                <w:color w:val="000000"/>
                <w:sz w:val="22"/>
                <w:szCs w:val="22"/>
                <w:lang w:bidi="ar"/>
              </w:rPr>
              <w:br w:type="textWrapping"/>
            </w:r>
            <w:r>
              <w:rPr>
                <w:rFonts w:hint="eastAsia"/>
                <w:color w:val="000000"/>
                <w:sz w:val="22"/>
                <w:szCs w:val="22"/>
                <w:lang w:bidi="ar"/>
              </w:rPr>
              <w:t>制热功率2860 (w)</w:t>
            </w:r>
            <w:r>
              <w:rPr>
                <w:rFonts w:hint="eastAsia"/>
                <w:color w:val="000000"/>
                <w:sz w:val="22"/>
                <w:szCs w:val="22"/>
                <w:lang w:bidi="ar"/>
              </w:rPr>
              <w:br w:type="textWrapping"/>
            </w:r>
            <w:r>
              <w:rPr>
                <w:rFonts w:hint="eastAsia"/>
                <w:color w:val="000000"/>
                <w:sz w:val="22"/>
                <w:szCs w:val="22"/>
                <w:lang w:bidi="ar"/>
              </w:rPr>
              <w:t>内机尺寸(长*宽*高)510X1750X315 (mm)</w:t>
            </w:r>
            <w:r>
              <w:rPr>
                <w:rFonts w:hint="eastAsia"/>
                <w:color w:val="000000"/>
                <w:sz w:val="22"/>
                <w:szCs w:val="22"/>
                <w:lang w:bidi="ar"/>
              </w:rPr>
              <w:br w:type="textWrapping"/>
            </w:r>
            <w:r>
              <w:rPr>
                <w:rFonts w:hint="eastAsia"/>
                <w:color w:val="000000"/>
                <w:sz w:val="22"/>
                <w:szCs w:val="22"/>
                <w:lang w:bidi="ar"/>
              </w:rPr>
              <w:t>外机尺寸(长*宽*高) 940X673X342(mm)</w:t>
            </w:r>
            <w:r>
              <w:rPr>
                <w:rFonts w:hint="eastAsia"/>
                <w:color w:val="000000"/>
                <w:sz w:val="22"/>
                <w:szCs w:val="22"/>
                <w:lang w:bidi="ar"/>
              </w:rPr>
              <w:br w:type="textWrapping"/>
            </w:r>
            <w:r>
              <w:rPr>
                <w:rFonts w:hint="eastAsia"/>
                <w:color w:val="000000"/>
                <w:sz w:val="22"/>
                <w:szCs w:val="22"/>
                <w:lang w:bidi="ar"/>
              </w:rPr>
              <w:t>产品功能   电辅加热、独立除湿</w:t>
            </w:r>
            <w:r>
              <w:rPr>
                <w:rFonts w:hint="eastAsia"/>
                <w:color w:val="000000"/>
                <w:sz w:val="22"/>
                <w:szCs w:val="22"/>
                <w:lang w:bidi="ar"/>
              </w:rPr>
              <w:br w:type="textWrapping"/>
            </w:r>
            <w:r>
              <w:rPr>
                <w:rFonts w:hint="eastAsia"/>
                <w:color w:val="000000"/>
                <w:sz w:val="22"/>
                <w:szCs w:val="22"/>
                <w:lang w:bidi="ar"/>
              </w:rPr>
              <w:t>质保时间  72 (个月)</w:t>
            </w:r>
          </w:p>
        </w:tc>
        <w:tc>
          <w:tcPr>
            <w:tcW w:w="783" w:type="dxa"/>
            <w:shd w:val="clear" w:color="auto" w:fill="auto"/>
            <w:vAlign w:val="center"/>
          </w:tcPr>
          <w:p w14:paraId="78F4626D">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台</w:t>
            </w:r>
          </w:p>
        </w:tc>
        <w:tc>
          <w:tcPr>
            <w:tcW w:w="767" w:type="dxa"/>
            <w:vAlign w:val="center"/>
          </w:tcPr>
          <w:p w14:paraId="14E227D2">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2</w:t>
            </w:r>
          </w:p>
        </w:tc>
        <w:tc>
          <w:tcPr>
            <w:tcW w:w="950" w:type="dxa"/>
            <w:shd w:val="clear" w:color="auto" w:fill="auto"/>
            <w:vAlign w:val="center"/>
          </w:tcPr>
          <w:p w14:paraId="5A24E023">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7000</w:t>
            </w:r>
          </w:p>
        </w:tc>
        <w:tc>
          <w:tcPr>
            <w:tcW w:w="1100" w:type="dxa"/>
            <w:shd w:val="clear" w:color="auto" w:fill="auto"/>
            <w:vAlign w:val="center"/>
          </w:tcPr>
          <w:p w14:paraId="1F0E4A0C">
            <w:pPr>
              <w:jc w:val="center"/>
              <w:textAlignment w:val="center"/>
              <w:rPr>
                <w:bCs/>
                <w:color w:val="000000" w:themeColor="text1"/>
                <w:lang w:bidi="ar"/>
                <w14:textFill>
                  <w14:solidFill>
                    <w14:schemeClr w14:val="tx1"/>
                  </w14:solidFill>
                </w14:textFill>
              </w:rPr>
            </w:pPr>
            <w:r>
              <w:rPr>
                <w:rFonts w:hint="eastAsia" w:ascii="等线" w:hAnsi="等线" w:eastAsia="等线" w:cs="等线"/>
                <w:color w:val="000000"/>
                <w:sz w:val="22"/>
                <w:szCs w:val="22"/>
                <w:lang w:bidi="ar"/>
              </w:rPr>
              <w:t xml:space="preserve">14000 </w:t>
            </w:r>
          </w:p>
        </w:tc>
        <w:tc>
          <w:tcPr>
            <w:tcW w:w="1888" w:type="dxa"/>
            <w:vAlign w:val="center"/>
          </w:tcPr>
          <w:p w14:paraId="5BB7812D">
            <w:pPr>
              <w:jc w:val="center"/>
              <w:rPr>
                <w:bCs/>
                <w:color w:val="000000" w:themeColor="text1"/>
                <w:lang w:bidi="ar"/>
                <w14:textFill>
                  <w14:solidFill>
                    <w14:schemeClr w14:val="tx1"/>
                  </w14:solidFill>
                </w14:textFill>
              </w:rPr>
            </w:pPr>
          </w:p>
        </w:tc>
      </w:tr>
      <w:tr w14:paraId="6FC4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4" w:hRule="atLeast"/>
        </w:trPr>
        <w:tc>
          <w:tcPr>
            <w:tcW w:w="790" w:type="dxa"/>
            <w:vAlign w:val="center"/>
          </w:tcPr>
          <w:p w14:paraId="237DCEE9">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2</w:t>
            </w:r>
          </w:p>
        </w:tc>
        <w:tc>
          <w:tcPr>
            <w:tcW w:w="981" w:type="dxa"/>
            <w:vAlign w:val="center"/>
          </w:tcPr>
          <w:p w14:paraId="1702FC02">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教学一体机智慧黑板</w:t>
            </w:r>
          </w:p>
        </w:tc>
        <w:tc>
          <w:tcPr>
            <w:tcW w:w="889" w:type="dxa"/>
            <w:vAlign w:val="center"/>
          </w:tcPr>
          <w:p w14:paraId="0C1B6B33">
            <w:pPr>
              <w:jc w:val="center"/>
              <w:textAlignment w:val="center"/>
              <w:rPr>
                <w:bCs/>
                <w:color w:val="000000" w:themeColor="text1"/>
                <w:lang w:bidi="ar"/>
                <w14:textFill>
                  <w14:solidFill>
                    <w14:schemeClr w14:val="tx1"/>
                  </w14:solidFill>
                </w14:textFill>
              </w:rPr>
            </w:pPr>
            <w:r>
              <w:rPr>
                <w:rFonts w:hint="eastAsia"/>
                <w:sz w:val="22"/>
                <w:lang w:bidi="ar"/>
              </w:rPr>
              <w:t>希沃、联想、海信等同档次及以上品牌</w:t>
            </w:r>
          </w:p>
        </w:tc>
        <w:tc>
          <w:tcPr>
            <w:tcW w:w="7170" w:type="dxa"/>
            <w:vAlign w:val="center"/>
          </w:tcPr>
          <w:p w14:paraId="1A1CDB9F">
            <w:pPr>
              <w:textAlignment w:val="center"/>
              <w:rPr>
                <w:sz w:val="20"/>
                <w:szCs w:val="20"/>
              </w:rPr>
            </w:pPr>
            <w:r>
              <w:rPr>
                <w:rFonts w:hint="eastAsia"/>
                <w:sz w:val="20"/>
                <w:szCs w:val="20"/>
              </w:rPr>
              <w:t>该配置包含一体机1台，一体机支架1副，智能笔1支。</w:t>
            </w:r>
          </w:p>
          <w:p w14:paraId="178DCEC5">
            <w:pPr>
              <w:textAlignment w:val="center"/>
              <w:rPr>
                <w:sz w:val="20"/>
                <w:szCs w:val="20"/>
              </w:rPr>
            </w:pPr>
            <w:r>
              <w:rPr>
                <w:rFonts w:hint="eastAsia"/>
                <w:b/>
                <w:bCs/>
                <w:sz w:val="20"/>
                <w:szCs w:val="20"/>
              </w:rPr>
              <w:t>一、整体设计</w:t>
            </w:r>
            <w:r>
              <w:rPr>
                <w:rFonts w:hint="eastAsia"/>
                <w:sz w:val="20"/>
                <w:szCs w:val="20"/>
              </w:rPr>
              <w:br w:type="textWrapping"/>
            </w:r>
            <w:r>
              <w:rPr>
                <w:rFonts w:hint="eastAsia"/>
                <w:sz w:val="20"/>
                <w:szCs w:val="20"/>
              </w:rPr>
              <w:t>1、整机采用一体设计，外部无任何可见内部功能模块连接线。整机采用全金属外壳设计，边角采用弧形设计，表面无尖锐边缘或凸起。</w:t>
            </w:r>
            <w:r>
              <w:rPr>
                <w:rFonts w:hint="eastAsia"/>
                <w:sz w:val="20"/>
                <w:szCs w:val="20"/>
              </w:rPr>
              <w:br w:type="textWrapping"/>
            </w:r>
            <w:r>
              <w:rPr>
                <w:rFonts w:hint="eastAsia"/>
                <w:sz w:val="20"/>
                <w:szCs w:val="20"/>
              </w:rPr>
              <w:t>2、整机采用86英寸超高清LED液晶屏，显示比例16:9，分辨率3840×2160。</w:t>
            </w:r>
            <w:r>
              <w:rPr>
                <w:rFonts w:hint="eastAsia"/>
                <w:sz w:val="20"/>
                <w:szCs w:val="20"/>
              </w:rPr>
              <w:br w:type="textWrapping"/>
            </w:r>
            <w:r>
              <w:rPr>
                <w:rFonts w:hint="eastAsia"/>
                <w:sz w:val="20"/>
                <w:szCs w:val="20"/>
              </w:rPr>
              <w:t>整机采用全物理钢化玻璃，钢化玻璃表面硬度≥9H，支持防眩光功能，玻璃表面采用纳米材料镀膜环保工艺，书写更加顺滑，防眩光效果更加优异。</w:t>
            </w:r>
            <w:r>
              <w:rPr>
                <w:rFonts w:hint="eastAsia"/>
                <w:sz w:val="20"/>
                <w:szCs w:val="20"/>
              </w:rPr>
              <w:br w:type="textWrapping"/>
            </w:r>
            <w:r>
              <w:rPr>
                <w:rFonts w:hint="eastAsia"/>
                <w:sz w:val="20"/>
                <w:szCs w:val="20"/>
              </w:rPr>
              <w:t>3、前置按键：整机具备至少6个前置按键，可实现开关机、调出中控菜单、音量+/-、护眼、录屏操作。</w:t>
            </w:r>
            <w:r>
              <w:rPr>
                <w:rFonts w:hint="eastAsia"/>
                <w:sz w:val="20"/>
                <w:szCs w:val="20"/>
              </w:rPr>
              <w:br w:type="textWrapping"/>
            </w:r>
            <w:r>
              <w:rPr>
                <w:rFonts w:hint="eastAsia"/>
                <w:sz w:val="20"/>
                <w:szCs w:val="20"/>
              </w:rPr>
              <w:t>4、★设备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投标文件中须提供具有CMA或CNAS认证资质的第三方检测机构出具的该功能检测报告复印件）</w:t>
            </w:r>
            <w:r>
              <w:rPr>
                <w:rFonts w:hint="eastAsia"/>
                <w:sz w:val="20"/>
                <w:szCs w:val="20"/>
              </w:rPr>
              <w:br w:type="textWrapping"/>
            </w:r>
            <w:r>
              <w:rPr>
                <w:rFonts w:hint="eastAsia"/>
                <w:sz w:val="20"/>
                <w:szCs w:val="20"/>
              </w:rPr>
              <w:t>5、整机接口：侧置输入接口具备≥2路HDMI、≥1路RS232、≥1路USB接口。侧置输出接口具备≥1路音频输出、≥1路触控USB输出。前置输入接口≥3路USB接口（包含1路Type-C、2路USB）</w:t>
            </w:r>
            <w:r>
              <w:rPr>
                <w:rFonts w:hint="eastAsia"/>
                <w:sz w:val="20"/>
                <w:szCs w:val="20"/>
              </w:rPr>
              <w:br w:type="textWrapping"/>
            </w:r>
            <w:r>
              <w:rPr>
                <w:rFonts w:hint="eastAsia"/>
                <w:b/>
                <w:bCs/>
                <w:sz w:val="20"/>
                <w:szCs w:val="20"/>
              </w:rPr>
              <w:t>二、电脑模块</w:t>
            </w:r>
            <w:r>
              <w:rPr>
                <w:rFonts w:hint="eastAsia"/>
                <w:sz w:val="20"/>
                <w:szCs w:val="20"/>
              </w:rPr>
              <w:br w:type="textWrapping"/>
            </w:r>
            <w:r>
              <w:rPr>
                <w:rFonts w:hint="eastAsia"/>
                <w:sz w:val="20"/>
                <w:szCs w:val="20"/>
              </w:rPr>
              <w:t>6、搭载Intel酷睿系列 i5或以上CPU，配置8GB DDR4或以上内存，配置256 GB或以上SSD固态硬盘。</w:t>
            </w:r>
            <w:r>
              <w:rPr>
                <w:rFonts w:hint="eastAsia"/>
                <w:sz w:val="20"/>
                <w:szCs w:val="20"/>
              </w:rPr>
              <w:br w:type="textWrapping"/>
            </w:r>
            <w:r>
              <w:rPr>
                <w:rFonts w:hint="eastAsia"/>
                <w:sz w:val="20"/>
                <w:szCs w:val="20"/>
              </w:rPr>
              <w:t>7、和整机的连接采用万兆级接口，传输速率≥10Gbps。（投标文件中须提供具有CMA或CNAS认证资质的第三方检测机构出具的该功能检测报告复印件）</w:t>
            </w:r>
            <w:r>
              <w:rPr>
                <w:rFonts w:hint="eastAsia"/>
                <w:sz w:val="20"/>
                <w:szCs w:val="20"/>
              </w:rPr>
              <w:br w:type="textWrapping"/>
            </w:r>
            <w:r>
              <w:rPr>
                <w:rFonts w:hint="eastAsia"/>
                <w:sz w:val="20"/>
                <w:szCs w:val="20"/>
              </w:rPr>
              <w:t>8、和整机的连接接口针脚数≤40pin。</w:t>
            </w:r>
            <w:r>
              <w:rPr>
                <w:rFonts w:hint="eastAsia"/>
                <w:sz w:val="20"/>
                <w:szCs w:val="20"/>
              </w:rPr>
              <w:br w:type="textWrapping"/>
            </w:r>
            <w:r>
              <w:rPr>
                <w:rFonts w:hint="eastAsia"/>
                <w:sz w:val="20"/>
                <w:szCs w:val="20"/>
              </w:rPr>
              <w:t>9、采用按压式卡扣，无需工具就可快速拆卸电脑模块。（投标文件中须提供具有CMA或CNAS认证资质的第三方检测机构出具的该功能检测报告复印件）</w:t>
            </w:r>
            <w:r>
              <w:rPr>
                <w:rFonts w:hint="eastAsia"/>
                <w:sz w:val="20"/>
                <w:szCs w:val="20"/>
              </w:rPr>
              <w:br w:type="textWrapping"/>
            </w:r>
            <w:r>
              <w:rPr>
                <w:rFonts w:hint="eastAsia"/>
                <w:sz w:val="20"/>
                <w:szCs w:val="20"/>
              </w:rPr>
              <w:t>10、具有独立非外扩展的视频输出接口：≥1路HDMI 。</w:t>
            </w:r>
            <w:r>
              <w:rPr>
                <w:rFonts w:hint="eastAsia"/>
                <w:sz w:val="20"/>
                <w:szCs w:val="20"/>
              </w:rPr>
              <w:br w:type="textWrapping"/>
            </w:r>
            <w:r>
              <w:rPr>
                <w:rFonts w:hint="eastAsia"/>
                <w:sz w:val="20"/>
                <w:szCs w:val="20"/>
              </w:rPr>
              <w:t>11、具有独立非外扩展的电脑USB接口：≥3路USB。</w:t>
            </w:r>
            <w:r>
              <w:rPr>
                <w:rFonts w:hint="eastAsia"/>
                <w:sz w:val="20"/>
                <w:szCs w:val="20"/>
              </w:rPr>
              <w:br w:type="textWrapping"/>
            </w:r>
            <w:r>
              <w:rPr>
                <w:rFonts w:hint="eastAsia"/>
                <w:sz w:val="20"/>
                <w:szCs w:val="20"/>
              </w:rPr>
              <w:t>12、具有标准PC防盗锁孔。</w:t>
            </w:r>
            <w:r>
              <w:rPr>
                <w:rFonts w:hint="eastAsia"/>
                <w:sz w:val="20"/>
                <w:szCs w:val="20"/>
              </w:rPr>
              <w:br w:type="textWrapping"/>
            </w:r>
            <w:r>
              <w:rPr>
                <w:rFonts w:hint="eastAsia"/>
                <w:b/>
                <w:bCs/>
                <w:sz w:val="20"/>
                <w:szCs w:val="20"/>
              </w:rPr>
              <w:t>三、护眼显示</w:t>
            </w:r>
            <w:r>
              <w:rPr>
                <w:rFonts w:hint="eastAsia"/>
                <w:sz w:val="20"/>
                <w:szCs w:val="20"/>
              </w:rPr>
              <w:br w:type="textWrapping"/>
            </w:r>
            <w:r>
              <w:rPr>
                <w:rFonts w:hint="eastAsia"/>
                <w:sz w:val="20"/>
                <w:szCs w:val="20"/>
              </w:rPr>
              <w:t>13、★整机背光系统支持DC调光方式，多级亮度调节，支持白颜色背景下最暗亮度≤100nit，用于提升显示对比度。（投标文件中须提供具有CMA或CNAS认证资质的第三方检测机构出具的该功能检测报告复印件）</w:t>
            </w:r>
            <w:r>
              <w:rPr>
                <w:rFonts w:hint="eastAsia"/>
                <w:sz w:val="20"/>
                <w:szCs w:val="20"/>
              </w:rPr>
              <w:br w:type="textWrapping"/>
            </w:r>
            <w:r>
              <w:rPr>
                <w:rFonts w:hint="eastAsia"/>
                <w:sz w:val="20"/>
                <w:szCs w:val="20"/>
              </w:rPr>
              <w:t>14、低蓝光：蓝光占比（有害蓝光415～455nm能量综合）/（整体蓝光400～500能量综合）＜50%，低蓝光保护显示不偏色、不泛黄。</w:t>
            </w:r>
            <w:r>
              <w:rPr>
                <w:rFonts w:hint="eastAsia"/>
                <w:sz w:val="20"/>
                <w:szCs w:val="20"/>
              </w:rPr>
              <w:br w:type="textWrapping"/>
            </w:r>
            <w:r>
              <w:rPr>
                <w:rFonts w:hint="eastAsia"/>
                <w:sz w:val="20"/>
                <w:szCs w:val="20"/>
              </w:rPr>
              <w:t>15、★整机系统支持手势上滑调出人工智能画质调节模式（AI-PQ），在安卓通道下可根据屏幕内容自动调节画质参数，当屏幕出现人物、建筑、夜景等元素时，自动调整对比度、饱和度、锐利度、色调色相值、高光/阴影。（投标文件中须提供具有CMA或CNAS认证资质的第三方检测机构出具的该功能检测报告复印件）</w:t>
            </w:r>
            <w:r>
              <w:rPr>
                <w:rFonts w:hint="eastAsia"/>
                <w:sz w:val="20"/>
                <w:szCs w:val="20"/>
              </w:rPr>
              <w:br w:type="textWrapping"/>
            </w:r>
            <w:r>
              <w:rPr>
                <w:rFonts w:hint="eastAsia"/>
                <w:sz w:val="20"/>
                <w:szCs w:val="20"/>
              </w:rPr>
              <w:t>16、★整机全通道支持纸质护眼模式，可实现画面纹理的实时调整；支持纸质纹理：牛皮纸、素描纸、宣纸、水彩纸、水纹纸；支持透明度调节；支持色温调节；纸质护眼模式下，显示画面各像素点灰度不规则，减少背景干扰。（投标文件中须提供具有CMA或CNAS认证资质的第三方检测机构出具的该功能检测报告复印件）</w:t>
            </w:r>
            <w:r>
              <w:rPr>
                <w:rFonts w:hint="eastAsia"/>
                <w:sz w:val="20"/>
                <w:szCs w:val="20"/>
              </w:rPr>
              <w:br w:type="textWrapping"/>
            </w:r>
            <w:r>
              <w:rPr>
                <w:rFonts w:hint="eastAsia"/>
                <w:sz w:val="20"/>
                <w:szCs w:val="20"/>
              </w:rPr>
              <w:t>17、整机能感应并自动调节屏幕亮度来达到在不同光照环境下的不同亮度显示效果，此功能可自行开启或关闭。</w:t>
            </w:r>
            <w:r>
              <w:rPr>
                <w:rFonts w:hint="eastAsia"/>
                <w:sz w:val="20"/>
                <w:szCs w:val="20"/>
              </w:rPr>
              <w:br w:type="textWrapping"/>
            </w:r>
            <w:r>
              <w:rPr>
                <w:rFonts w:hint="eastAsia"/>
                <w:b/>
                <w:bCs/>
                <w:sz w:val="20"/>
                <w:szCs w:val="20"/>
              </w:rPr>
              <w:t>四、教学音频</w:t>
            </w:r>
            <w:r>
              <w:rPr>
                <w:rFonts w:hint="eastAsia"/>
                <w:sz w:val="20"/>
                <w:szCs w:val="20"/>
              </w:rPr>
              <w:br w:type="textWrapping"/>
            </w:r>
            <w:r>
              <w:rPr>
                <w:rFonts w:hint="eastAsia"/>
                <w:sz w:val="20"/>
                <w:szCs w:val="20"/>
              </w:rPr>
              <w:t>18、★整机内置2.2声道扬声器，位于设备上边框，顶置朝前发声，前朝向10W高音扬声器2个，上朝向20W中低音扬声器2个，额定总功率60W。（投标文件中须提供具有CMA或CNAS认证资质的第三方检测机构出具的该功能检测报告复印件）</w:t>
            </w:r>
            <w:r>
              <w:rPr>
                <w:rFonts w:hint="eastAsia"/>
                <w:sz w:val="20"/>
                <w:szCs w:val="20"/>
              </w:rPr>
              <w:br w:type="textWrapping"/>
            </w:r>
            <w:r>
              <w:rPr>
                <w:rFonts w:hint="eastAsia"/>
                <w:sz w:val="20"/>
                <w:szCs w:val="20"/>
              </w:rPr>
              <w:t>19、整机内置扬声器采用缝隙发声技术，喇叭采用槽式开口设计，不大于5.8mm。（投标文件中须提供具有CMA或CNAS认证资质的第三方检测机构出具的该功能检测报告复印件）</w:t>
            </w:r>
            <w:r>
              <w:rPr>
                <w:rFonts w:hint="eastAsia"/>
                <w:sz w:val="20"/>
                <w:szCs w:val="20"/>
              </w:rPr>
              <w:br w:type="textWrapping"/>
            </w:r>
            <w:r>
              <w:rPr>
                <w:rFonts w:hint="eastAsia"/>
                <w:sz w:val="20"/>
                <w:szCs w:val="20"/>
              </w:rPr>
              <w:t>20、整机内置非独立外扩展的4阵列麦克风，可用于对教室环境音频进行采集，麦克风拾音距离≥12米。</w:t>
            </w:r>
            <w:r>
              <w:rPr>
                <w:rFonts w:hint="eastAsia"/>
                <w:sz w:val="20"/>
                <w:szCs w:val="20"/>
              </w:rPr>
              <w:br w:type="textWrapping"/>
            </w:r>
            <w:r>
              <w:rPr>
                <w:rFonts w:hint="eastAsia"/>
                <w:sz w:val="20"/>
                <w:szCs w:val="20"/>
              </w:rPr>
              <w:t>21、★支持标准、听力、观影和AI空间感知音效模式，AI空间感知音效模式可通过内置麦克风采集教室物理环境声音，自动生成符合当前教室物理环境的频段、音量、音效。（投标文件中须提供具有CMA或CNAS认证资质的第三方检测机构出具的该功能检测报告复印件）</w:t>
            </w:r>
            <w:r>
              <w:rPr>
                <w:rFonts w:hint="eastAsia"/>
                <w:sz w:val="20"/>
                <w:szCs w:val="20"/>
              </w:rPr>
              <w:br w:type="textWrapping"/>
            </w:r>
            <w:r>
              <w:rPr>
                <w:rFonts w:hint="eastAsia"/>
                <w:b/>
                <w:bCs/>
                <w:sz w:val="20"/>
                <w:szCs w:val="20"/>
              </w:rPr>
              <w:t>五、画面采集</w:t>
            </w:r>
            <w:r>
              <w:rPr>
                <w:rFonts w:hint="eastAsia"/>
                <w:sz w:val="20"/>
                <w:szCs w:val="20"/>
              </w:rPr>
              <w:br w:type="textWrapping"/>
            </w:r>
            <w:r>
              <w:rPr>
                <w:rFonts w:hint="eastAsia"/>
                <w:sz w:val="20"/>
                <w:szCs w:val="20"/>
              </w:rPr>
              <w:t>22、整机上边框内置非独立摄像头，采用一体化集成设计，可拍摄≥1300万像素数的照片，可拍摄输出4K分辨率的视频，摄像头对角线视场角≥120度。</w:t>
            </w:r>
            <w:r>
              <w:rPr>
                <w:rFonts w:hint="eastAsia"/>
                <w:sz w:val="20"/>
                <w:szCs w:val="20"/>
              </w:rPr>
              <w:br w:type="textWrapping"/>
            </w:r>
            <w:r>
              <w:rPr>
                <w:rFonts w:hint="eastAsia"/>
                <w:sz w:val="20"/>
                <w:szCs w:val="20"/>
              </w:rPr>
              <w:t>23、整机支持通过人脸识别进行登录账号。（投标文件中须提供具有CMA或CNAS认证资质的第三方检测机构出具的该功能检测报告复印件）</w:t>
            </w:r>
            <w:r>
              <w:rPr>
                <w:rFonts w:hint="eastAsia"/>
                <w:sz w:val="20"/>
                <w:szCs w:val="20"/>
              </w:rPr>
              <w:br w:type="textWrapping"/>
            </w:r>
            <w:r>
              <w:rPr>
                <w:rFonts w:hint="eastAsia"/>
                <w:sz w:val="20"/>
                <w:szCs w:val="20"/>
              </w:rPr>
              <w:t>24、整机摄像头支持人脸识别、清点人数、随机抽人；识别所有学生，显示标记，然后随机抽选，同时显示标记不少于60人。</w:t>
            </w:r>
            <w:r>
              <w:rPr>
                <w:rFonts w:hint="eastAsia"/>
                <w:sz w:val="20"/>
                <w:szCs w:val="20"/>
              </w:rPr>
              <w:br w:type="textWrapping"/>
            </w:r>
            <w:r>
              <w:rPr>
                <w:rFonts w:hint="eastAsia"/>
                <w:sz w:val="20"/>
                <w:szCs w:val="20"/>
              </w:rPr>
              <w:t>25、整机摄像头支持环境色温判断，根据环境调节合适的显示图像效果。</w:t>
            </w:r>
            <w:r>
              <w:rPr>
                <w:rFonts w:hint="eastAsia"/>
                <w:sz w:val="20"/>
                <w:szCs w:val="20"/>
              </w:rPr>
              <w:br w:type="textWrapping"/>
            </w:r>
            <w:r>
              <w:rPr>
                <w:rFonts w:hint="eastAsia"/>
                <w:sz w:val="20"/>
                <w:szCs w:val="20"/>
              </w:rPr>
              <w:t>26、具备摄像头工作指示灯，摄像头运行时，有指示灯提示。</w:t>
            </w:r>
            <w:r>
              <w:rPr>
                <w:rFonts w:hint="eastAsia"/>
                <w:sz w:val="20"/>
                <w:szCs w:val="20"/>
              </w:rPr>
              <w:br w:type="textWrapping"/>
            </w:r>
            <w:r>
              <w:rPr>
                <w:rFonts w:hint="eastAsia"/>
                <w:b/>
                <w:bCs/>
                <w:sz w:val="20"/>
                <w:szCs w:val="20"/>
              </w:rPr>
              <w:t>六、无线互联</w:t>
            </w:r>
            <w:r>
              <w:rPr>
                <w:rFonts w:hint="eastAsia"/>
                <w:sz w:val="20"/>
                <w:szCs w:val="20"/>
              </w:rPr>
              <w:br w:type="textWrapping"/>
            </w:r>
            <w:r>
              <w:rPr>
                <w:rFonts w:hint="eastAsia"/>
                <w:sz w:val="20"/>
                <w:szCs w:val="20"/>
              </w:rPr>
              <w:t>27、★整机内置双WiFi6无线网卡（不接受外接），在Android和Windows系统下，可实现Wi-Fi无线上网连接、AP无线热点发射。</w:t>
            </w:r>
            <w:r>
              <w:rPr>
                <w:rFonts w:hint="eastAsia"/>
                <w:sz w:val="20"/>
                <w:szCs w:val="20"/>
              </w:rPr>
              <w:br w:type="textWrapping"/>
            </w:r>
            <w:r>
              <w:rPr>
                <w:rFonts w:hint="eastAsia"/>
                <w:sz w:val="20"/>
                <w:szCs w:val="20"/>
              </w:rPr>
              <w:t>28、★整机内置双WiFi6无线网卡（不接受外接），在Android下支持无线设备同时连接数量≥32个，在Windows系统下支持无线设备同时连接≥8个。</w:t>
            </w:r>
            <w:r>
              <w:rPr>
                <w:rFonts w:hint="eastAsia"/>
                <w:sz w:val="20"/>
                <w:szCs w:val="20"/>
              </w:rPr>
              <w:br w:type="textWrapping"/>
            </w:r>
            <w:r>
              <w:rPr>
                <w:rFonts w:hint="eastAsia"/>
                <w:sz w:val="20"/>
                <w:szCs w:val="20"/>
              </w:rPr>
              <w:t>29、WIFI频段： Wi-Fi及AP热点支持频段2.4GHz/5GHz；Wi-Fi制式支持IEEE 802.11 a/b/g/n/ac/ax；支持版本Wi-Fi6；Wi-Fi和AP热点工作距离≥12m。（投标文件中须提供具有CMA或CNAS认证资质的第三方检测机构出具的该功能检测报告复印件）</w:t>
            </w:r>
            <w:r>
              <w:rPr>
                <w:rFonts w:hint="eastAsia"/>
                <w:sz w:val="20"/>
                <w:szCs w:val="20"/>
              </w:rPr>
              <w:br w:type="textWrapping"/>
            </w:r>
            <w:r>
              <w:rPr>
                <w:rFonts w:hint="eastAsia"/>
                <w:sz w:val="20"/>
                <w:szCs w:val="20"/>
              </w:rPr>
              <w:t>30、★整机支持蓝牙Bluetooth 5.4标准，PC端支持主动发现蓝牙外设从而连接（无需整机进入发现模式），支持连接外部蓝牙音箱播放音频。（投标文件中须提供具有CMA或CNAS认证资质的第三方检测机构出具的该功能检测报告复印件）</w:t>
            </w:r>
            <w:r>
              <w:rPr>
                <w:rFonts w:hint="eastAsia"/>
                <w:sz w:val="20"/>
                <w:szCs w:val="20"/>
              </w:rPr>
              <w:br w:type="textWrapping"/>
            </w:r>
            <w:r>
              <w:rPr>
                <w:rFonts w:hint="eastAsia"/>
                <w:sz w:val="20"/>
                <w:szCs w:val="20"/>
              </w:rPr>
              <w:t>31、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投标文件中须提供具有CMA或CNAS认证资质的第三方检测机构出具的该功能检测报告复印件）</w:t>
            </w:r>
            <w:r>
              <w:rPr>
                <w:rFonts w:hint="eastAsia"/>
                <w:sz w:val="20"/>
                <w:szCs w:val="20"/>
              </w:rPr>
              <w:br w:type="textWrapping"/>
            </w:r>
            <w:r>
              <w:rPr>
                <w:rFonts w:hint="eastAsia"/>
                <w:sz w:val="20"/>
                <w:szCs w:val="20"/>
              </w:rPr>
              <w:t>32、★整机支持发出频率为18kHz-22kHz超声波信号，智能手机通过麦克风接收后，智能手机与整机无需在同一局域网内，可实现配对，一键投屏，用户无需手动输入投屏码或扫码获取投屏码。（投标文件中须提供具有CMA或CNAS认证资质的第三方检测机构出具的该功能检测报告复印件）</w:t>
            </w:r>
            <w:r>
              <w:rPr>
                <w:rFonts w:hint="eastAsia"/>
                <w:sz w:val="20"/>
                <w:szCs w:val="20"/>
              </w:rPr>
              <w:br w:type="textWrapping"/>
            </w:r>
            <w:r>
              <w:rPr>
                <w:rFonts w:hint="eastAsia"/>
                <w:sz w:val="20"/>
                <w:szCs w:val="20"/>
              </w:rPr>
              <w:t>33、★整机Windows通道支持文件传输应用，支持多人同时将手机文件传输到整机上；支持通过扫码、wifi直联、超声三种方式与手机进行握手连接，实现文件传输功能，传输方式支持公网传输、局域网传输、WiFi 直连传输。（投标文件中须提供具有CMA或CNAS认证资质的第三方检测机构出具的该功能检测报告复印件）</w:t>
            </w:r>
            <w:r>
              <w:rPr>
                <w:rFonts w:hint="eastAsia"/>
                <w:sz w:val="20"/>
                <w:szCs w:val="20"/>
              </w:rPr>
              <w:br w:type="textWrapping"/>
            </w:r>
            <w:r>
              <w:rPr>
                <w:rFonts w:hint="eastAsia"/>
                <w:b/>
                <w:bCs/>
                <w:sz w:val="20"/>
                <w:szCs w:val="20"/>
              </w:rPr>
              <w:t>七、系统功能</w:t>
            </w:r>
            <w:r>
              <w:rPr>
                <w:rFonts w:hint="eastAsia"/>
                <w:sz w:val="20"/>
                <w:szCs w:val="20"/>
              </w:rPr>
              <w:br w:type="textWrapping"/>
            </w:r>
            <w:r>
              <w:rPr>
                <w:rFonts w:hint="eastAsia"/>
                <w:sz w:val="20"/>
                <w:szCs w:val="20"/>
              </w:rPr>
              <w:t xml:space="preserve">34、整机内置触摸中控菜单，在整机全信号源通道下通过手势在屏幕上调取该触摸菜单，支持信号源通道切换、护眼、声音调节功能。 </w:t>
            </w:r>
            <w:r>
              <w:rPr>
                <w:rFonts w:hint="eastAsia"/>
                <w:sz w:val="20"/>
                <w:szCs w:val="20"/>
              </w:rPr>
              <w:br w:type="textWrapping"/>
            </w:r>
            <w:r>
              <w:rPr>
                <w:rFonts w:hint="eastAsia"/>
                <w:sz w:val="20"/>
                <w:szCs w:val="20"/>
              </w:rPr>
              <w:t>35、整机内置全通道侧边栏快捷菜单，小工具、应用软件、快捷设置、亮度/音量调节、教室物联入口；支持展示学校名称、设备班级、场地信息。</w:t>
            </w:r>
            <w:r>
              <w:rPr>
                <w:rFonts w:hint="eastAsia"/>
                <w:sz w:val="20"/>
                <w:szCs w:val="20"/>
              </w:rPr>
              <w:br w:type="textWrapping"/>
            </w:r>
            <w:r>
              <w:rPr>
                <w:rFonts w:hint="eastAsia"/>
                <w:sz w:val="20"/>
                <w:szCs w:val="20"/>
              </w:rPr>
              <w:t>36、★整机设备自带地震预警软件。支持在地震预警页面中获取位置，可以手动进行位置校准。支持在地震预警页面中选择提醒阈值。支持在地震预警界面中开启和关闭地震预警服务。（投标文件中须提供具有CMA或CNAS认证资质的第三方检测机构出具的该功能检测报告复印件）</w:t>
            </w:r>
            <w:r>
              <w:rPr>
                <w:rFonts w:hint="eastAsia"/>
                <w:sz w:val="20"/>
                <w:szCs w:val="20"/>
              </w:rPr>
              <w:br w:type="textWrapping"/>
            </w:r>
            <w:r>
              <w:rPr>
                <w:rFonts w:hint="eastAsia"/>
                <w:sz w:val="20"/>
                <w:szCs w:val="20"/>
              </w:rPr>
              <w:t>37、整机具备智能手势识别功能，在整机全信号源通道下均可识别五指上、下、左、右方向手势，五指画 O、画~、左右晃动、缩/放方向手势滑动并调用相应功能。支持将各手势滑动方向自定义设置为无操作、熄屏、批注、桌面、半屏模式。（投标文件中须提供具有CMA或CNAS认证资质的第三方检测机构出具的该功能检测报告复印件）</w:t>
            </w:r>
            <w:r>
              <w:rPr>
                <w:rFonts w:hint="eastAsia"/>
                <w:sz w:val="20"/>
                <w:szCs w:val="20"/>
              </w:rPr>
              <w:br w:type="textWrapping"/>
            </w:r>
            <w:r>
              <w:rPr>
                <w:rFonts w:hint="eastAsia"/>
                <w:sz w:val="20"/>
                <w:szCs w:val="20"/>
              </w:rPr>
              <w:t>38、整机关机状态下，通过长按电源键进入设置界面后，可点击屏幕选择恢复Android系统及Windows操作系统到出厂默认状态，无需额外工具辅助。</w:t>
            </w:r>
            <w:r>
              <w:rPr>
                <w:rFonts w:hint="eastAsia"/>
                <w:sz w:val="20"/>
                <w:szCs w:val="20"/>
              </w:rPr>
              <w:br w:type="textWrapping"/>
            </w:r>
            <w:r>
              <w:rPr>
                <w:rFonts w:hint="eastAsia"/>
                <w:sz w:val="20"/>
                <w:szCs w:val="20"/>
              </w:rPr>
              <w:t>39、整机内置专业硬件自检维护工具（非第三方工具），支持对整机内部的板卡及部件模块进行故障检测、系统还原功能。</w:t>
            </w:r>
            <w:r>
              <w:rPr>
                <w:rFonts w:hint="eastAsia"/>
                <w:sz w:val="20"/>
                <w:szCs w:val="20"/>
              </w:rPr>
              <w:br w:type="textWrapping"/>
            </w:r>
            <w:r>
              <w:rPr>
                <w:rFonts w:hint="eastAsia"/>
                <w:b/>
                <w:bCs/>
                <w:sz w:val="20"/>
                <w:szCs w:val="20"/>
              </w:rPr>
              <w:t>八、嵌入式系统</w:t>
            </w:r>
            <w:r>
              <w:rPr>
                <w:rFonts w:hint="eastAsia"/>
                <w:sz w:val="20"/>
                <w:szCs w:val="20"/>
              </w:rPr>
              <w:br w:type="textWrapping"/>
            </w:r>
            <w:r>
              <w:rPr>
                <w:rFonts w:hint="eastAsia"/>
                <w:sz w:val="20"/>
                <w:szCs w:val="20"/>
              </w:rPr>
              <w:t>40、★嵌入式系统版本：嵌入式系统版本不低于Android 13，内存≥2GB，存储空间≥8GB。（投标文件中须提供具有CMA或CNAS认证资质的第三方检测机构出具的该功能检测报告复印件）</w:t>
            </w:r>
            <w:r>
              <w:rPr>
                <w:rFonts w:hint="eastAsia"/>
                <w:sz w:val="20"/>
                <w:szCs w:val="20"/>
              </w:rPr>
              <w:br w:type="textWrapping"/>
            </w:r>
            <w:r>
              <w:rPr>
                <w:rFonts w:hint="eastAsia"/>
                <w:sz w:val="20"/>
                <w:szCs w:val="20"/>
              </w:rPr>
              <w:t>41、常用教学应用：无PC状态下，嵌入式Android操作系统下可使用白板书写、WPS软件和网页浏览。</w:t>
            </w:r>
            <w:r>
              <w:rPr>
                <w:rFonts w:hint="eastAsia"/>
                <w:sz w:val="20"/>
                <w:szCs w:val="20"/>
              </w:rPr>
              <w:br w:type="textWrapping"/>
            </w:r>
            <w:r>
              <w:rPr>
                <w:rFonts w:hint="eastAsia"/>
                <w:b/>
                <w:bCs/>
                <w:sz w:val="20"/>
                <w:szCs w:val="20"/>
              </w:rPr>
              <w:t>九、触摸系统</w:t>
            </w:r>
            <w:r>
              <w:rPr>
                <w:rFonts w:hint="eastAsia"/>
                <w:sz w:val="20"/>
                <w:szCs w:val="20"/>
              </w:rPr>
              <w:br w:type="textWrapping"/>
            </w:r>
            <w:r>
              <w:rPr>
                <w:rFonts w:hint="eastAsia"/>
                <w:sz w:val="20"/>
                <w:szCs w:val="20"/>
              </w:rPr>
              <w:t>42、★触控点数：采用红外触控方式，支持Windows系统中进行40点或以上触控，支持在Android系统中进行40点或以上触控。（投标文件中须提供具有CMA或CNAS认证资质的第三方检测机构出具的该功能检测报告复印件）</w:t>
            </w:r>
            <w:r>
              <w:rPr>
                <w:rFonts w:hint="eastAsia"/>
                <w:sz w:val="20"/>
                <w:szCs w:val="20"/>
              </w:rPr>
              <w:br w:type="textWrapping"/>
            </w:r>
            <w:r>
              <w:rPr>
                <w:rFonts w:hint="eastAsia"/>
                <w:sz w:val="20"/>
                <w:szCs w:val="20"/>
              </w:rPr>
              <w:t>43、触控性能：触摸分辨率≥32768×32768，触摸响应时间≤4ms，触摸最小识别物≤3mm。</w:t>
            </w:r>
            <w:r>
              <w:rPr>
                <w:rFonts w:hint="eastAsia"/>
                <w:sz w:val="20"/>
                <w:szCs w:val="20"/>
              </w:rPr>
              <w:br w:type="textWrapping"/>
            </w:r>
            <w:r>
              <w:rPr>
                <w:rFonts w:hint="eastAsia"/>
                <w:sz w:val="20"/>
                <w:szCs w:val="20"/>
              </w:rPr>
              <w:t>44、触摸高度：整机屏幕触摸有效识别高度不超过3mm，即触摸物体距离玻璃外表面高度不超过3mm时，触摸屏识别为点击操作。</w:t>
            </w:r>
            <w:r>
              <w:rPr>
                <w:rFonts w:hint="eastAsia"/>
                <w:sz w:val="20"/>
                <w:szCs w:val="20"/>
              </w:rPr>
              <w:br w:type="textWrapping"/>
            </w:r>
            <w:r>
              <w:rPr>
                <w:rFonts w:hint="eastAsia"/>
                <w:sz w:val="20"/>
                <w:szCs w:val="20"/>
              </w:rPr>
              <w:t>45、★整机系统支持书写触控延迟≤25ms，触控书写功能集成预测算法，在书写速度≥50cm/s，支持笔迹距离笔的距离小于20mm。（投标文件中须提供具有CMA或CNAS认证资质的第三方检测机构出具的该功能检测报告复印件）</w:t>
            </w:r>
            <w:r>
              <w:rPr>
                <w:rFonts w:hint="eastAsia"/>
                <w:sz w:val="20"/>
                <w:szCs w:val="20"/>
              </w:rPr>
              <w:br w:type="textWrapping"/>
            </w:r>
            <w:r>
              <w:rPr>
                <w:rFonts w:hint="eastAsia"/>
                <w:sz w:val="20"/>
                <w:szCs w:val="20"/>
              </w:rPr>
              <w:t>46、★整机支持提笔书写，在Windows系统下可实现无需点击任意功能入口，当检测到红外笔笔尖接触屏幕时，自动进入书写模式。</w:t>
            </w:r>
            <w:r>
              <w:rPr>
                <w:rFonts w:hint="eastAsia"/>
                <w:sz w:val="20"/>
                <w:szCs w:val="20"/>
              </w:rPr>
              <w:br w:type="textWrapping"/>
            </w:r>
            <w:r>
              <w:rPr>
                <w:rFonts w:hint="eastAsia"/>
                <w:sz w:val="20"/>
                <w:szCs w:val="20"/>
              </w:rPr>
              <w:t>47、★整机触摸支持动态压力感应，支持无任何电子功能的普通书写笔在整机上书写或点压时，整机能感应压力变化，书写或点压过程笔迹呈现不同粗细。</w:t>
            </w:r>
            <w:r>
              <w:rPr>
                <w:rFonts w:hint="eastAsia"/>
                <w:sz w:val="20"/>
                <w:szCs w:val="20"/>
              </w:rPr>
              <w:br w:type="textWrapping"/>
            </w:r>
            <w:r>
              <w:rPr>
                <w:rFonts w:hint="eastAsia"/>
                <w:sz w:val="20"/>
                <w:szCs w:val="20"/>
              </w:rPr>
              <w:t>48、★整机支持手笔分离，通过提笔即写唤醒批注功能后，可进行手笔分离功能，使用笔正常书写，使用手指可以操作应用，进行点击操作。</w:t>
            </w:r>
            <w:r>
              <w:rPr>
                <w:rFonts w:hint="eastAsia"/>
                <w:sz w:val="20"/>
                <w:szCs w:val="20"/>
              </w:rPr>
              <w:br w:type="textWrapping"/>
            </w:r>
            <w:r>
              <w:rPr>
                <w:rFonts w:hint="eastAsia"/>
                <w:sz w:val="20"/>
                <w:szCs w:val="20"/>
              </w:rPr>
              <w:t>49、触摸屏具有防遮挡功能，触摸接收器在单点或多点遮挡后仍能正常书写。</w:t>
            </w:r>
            <w:r>
              <w:rPr>
                <w:rFonts w:hint="eastAsia"/>
                <w:sz w:val="20"/>
                <w:szCs w:val="20"/>
              </w:rPr>
              <w:br w:type="textWrapping"/>
            </w:r>
            <w:r>
              <w:rPr>
                <w:rFonts w:hint="eastAsia"/>
                <w:sz w:val="20"/>
                <w:szCs w:val="20"/>
              </w:rPr>
              <w:t>50、触摸屏在照度100K LUX（勒克司）环境下仍能正常工作。</w:t>
            </w:r>
            <w:r>
              <w:rPr>
                <w:rFonts w:hint="eastAsia"/>
                <w:sz w:val="20"/>
                <w:szCs w:val="20"/>
              </w:rPr>
              <w:br w:type="textWrapping"/>
            </w:r>
            <w:r>
              <w:rPr>
                <w:rFonts w:hint="eastAsia"/>
                <w:sz w:val="20"/>
                <w:szCs w:val="20"/>
              </w:rPr>
              <w:t>51、支持Windows 7、Windows 8、Windows 10、Windows 11、Linux、Mac Os、UOS和麒麟系统外置电脑操作系统接入时，无需安装触摸驱动。</w:t>
            </w:r>
            <w:r>
              <w:rPr>
                <w:rFonts w:hint="eastAsia"/>
                <w:sz w:val="20"/>
                <w:szCs w:val="20"/>
              </w:rPr>
              <w:br w:type="textWrapping"/>
            </w:r>
            <w:r>
              <w:rPr>
                <w:rFonts w:hint="eastAsia"/>
                <w:b/>
                <w:bCs/>
                <w:sz w:val="20"/>
                <w:szCs w:val="20"/>
              </w:rPr>
              <w:t>十、产品售后服务</w:t>
            </w:r>
            <w:r>
              <w:rPr>
                <w:rFonts w:hint="eastAsia"/>
                <w:sz w:val="20"/>
                <w:szCs w:val="20"/>
              </w:rPr>
              <w:br w:type="textWrapping"/>
            </w:r>
            <w:r>
              <w:rPr>
                <w:rFonts w:hint="eastAsia"/>
                <w:sz w:val="20"/>
                <w:szCs w:val="20"/>
              </w:rPr>
              <w:t>52、1.全国24小时免费400电话保修、二维码扫描保修、区域化驻地技术工程师专线保修。</w:t>
            </w:r>
            <w:r>
              <w:rPr>
                <w:rFonts w:hint="eastAsia"/>
                <w:sz w:val="20"/>
                <w:szCs w:val="20"/>
              </w:rPr>
              <w:br w:type="textWrapping"/>
            </w:r>
            <w:r>
              <w:rPr>
                <w:rFonts w:hint="eastAsia"/>
                <w:sz w:val="20"/>
                <w:szCs w:val="20"/>
              </w:rPr>
              <w:t>53、2.微信售后报修服务：快速输入相关问题及所在区域进行在线保修，贴心服务人员实时在线提供客服专线报修，更好更快的解决售后故障问题带来的使用不便。</w:t>
            </w:r>
            <w:r>
              <w:rPr>
                <w:rFonts w:hint="eastAsia"/>
                <w:sz w:val="20"/>
                <w:szCs w:val="20"/>
              </w:rPr>
              <w:br w:type="textWrapping"/>
            </w:r>
            <w:r>
              <w:rPr>
                <w:rFonts w:hint="eastAsia"/>
                <w:sz w:val="20"/>
                <w:szCs w:val="20"/>
              </w:rPr>
              <w:t>54、3.微信问题查询服务：提供八大模块的问题查询及解决方案，现场完成简单故障的快速修复指导。</w:t>
            </w:r>
            <w:r>
              <w:rPr>
                <w:rFonts w:hint="eastAsia"/>
                <w:sz w:val="20"/>
                <w:szCs w:val="20"/>
              </w:rPr>
              <w:br w:type="textWrapping"/>
            </w:r>
            <w:r>
              <w:rPr>
                <w:rFonts w:hint="eastAsia"/>
                <w:b/>
                <w:bCs/>
                <w:sz w:val="20"/>
                <w:szCs w:val="20"/>
              </w:rPr>
              <w:t>十一、其他要求</w:t>
            </w:r>
            <w:r>
              <w:rPr>
                <w:rFonts w:hint="eastAsia"/>
                <w:sz w:val="20"/>
                <w:szCs w:val="20"/>
              </w:rPr>
              <w:br w:type="textWrapping"/>
            </w:r>
            <w:r>
              <w:rPr>
                <w:rFonts w:hint="eastAsia"/>
                <w:sz w:val="20"/>
                <w:szCs w:val="20"/>
              </w:rPr>
              <w:t>56、★1.为确保功能的真实性和有效性，在签订合同后正式供货时，业主有权要求供应商提供与标书技术要求及功能符合的设备一套，与标书文件进行所有性能的核对，作为项目验收的依据，如出现所提供设备不符合招标要求，即视为虚假应标处理并依法追究责任。</w:t>
            </w:r>
            <w:r>
              <w:rPr>
                <w:rFonts w:hint="eastAsia"/>
                <w:sz w:val="20"/>
                <w:szCs w:val="20"/>
              </w:rPr>
              <w:br w:type="textWrapping"/>
            </w:r>
            <w:r>
              <w:rPr>
                <w:rFonts w:hint="eastAsia"/>
                <w:sz w:val="20"/>
                <w:szCs w:val="20"/>
              </w:rPr>
              <w:t>57、★2.为确保所供应货物为全新且含质保产品，在签订合同后正式供货时，中标单位须提供制造商针对此项目的供货证明原件、售后服务承诺函原件。</w:t>
            </w:r>
          </w:p>
          <w:p w14:paraId="46B5FAAE">
            <w:pPr>
              <w:textAlignment w:val="center"/>
              <w:rPr>
                <w:sz w:val="20"/>
                <w:szCs w:val="20"/>
              </w:rPr>
            </w:pPr>
          </w:p>
        </w:tc>
        <w:tc>
          <w:tcPr>
            <w:tcW w:w="783" w:type="dxa"/>
            <w:shd w:val="clear" w:color="auto" w:fill="auto"/>
            <w:vAlign w:val="center"/>
          </w:tcPr>
          <w:p w14:paraId="229F2601">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台</w:t>
            </w:r>
          </w:p>
        </w:tc>
        <w:tc>
          <w:tcPr>
            <w:tcW w:w="767" w:type="dxa"/>
            <w:vAlign w:val="center"/>
          </w:tcPr>
          <w:p w14:paraId="50BBD181">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1</w:t>
            </w:r>
          </w:p>
        </w:tc>
        <w:tc>
          <w:tcPr>
            <w:tcW w:w="950" w:type="dxa"/>
            <w:shd w:val="clear" w:color="auto" w:fill="auto"/>
            <w:vAlign w:val="center"/>
          </w:tcPr>
          <w:p w14:paraId="004BBD36">
            <w:pPr>
              <w:jc w:val="center"/>
              <w:textAlignment w:val="center"/>
              <w:rPr>
                <w:bCs/>
                <w:color w:val="000000" w:themeColor="text1"/>
                <w:lang w:bidi="ar"/>
                <w14:textFill>
                  <w14:solidFill>
                    <w14:schemeClr w14:val="tx1"/>
                  </w14:solidFill>
                </w14:textFill>
              </w:rPr>
            </w:pPr>
            <w:r>
              <w:rPr>
                <w:rFonts w:hint="eastAsia"/>
                <w:color w:val="000000"/>
                <w:sz w:val="22"/>
                <w:szCs w:val="22"/>
                <w:lang w:bidi="ar"/>
              </w:rPr>
              <w:t>24000</w:t>
            </w:r>
          </w:p>
        </w:tc>
        <w:tc>
          <w:tcPr>
            <w:tcW w:w="1100" w:type="dxa"/>
            <w:shd w:val="clear" w:color="auto" w:fill="auto"/>
            <w:vAlign w:val="center"/>
          </w:tcPr>
          <w:p w14:paraId="37A27C0B">
            <w:pPr>
              <w:jc w:val="center"/>
              <w:textAlignment w:val="center"/>
              <w:rPr>
                <w:bCs/>
                <w:color w:val="000000" w:themeColor="text1"/>
                <w:lang w:bidi="ar"/>
                <w14:textFill>
                  <w14:solidFill>
                    <w14:schemeClr w14:val="tx1"/>
                  </w14:solidFill>
                </w14:textFill>
              </w:rPr>
            </w:pPr>
            <w:r>
              <w:rPr>
                <w:rFonts w:hint="eastAsia" w:ascii="等线" w:hAnsi="等线" w:eastAsia="等线" w:cs="等线"/>
                <w:color w:val="000000"/>
                <w:sz w:val="22"/>
                <w:szCs w:val="22"/>
                <w:lang w:bidi="ar"/>
              </w:rPr>
              <w:t xml:space="preserve">24000 </w:t>
            </w:r>
          </w:p>
        </w:tc>
        <w:tc>
          <w:tcPr>
            <w:tcW w:w="1888" w:type="dxa"/>
            <w:vAlign w:val="center"/>
          </w:tcPr>
          <w:p w14:paraId="6E4710AC">
            <w:pPr>
              <w:jc w:val="center"/>
              <w:rPr>
                <w:bCs/>
                <w:color w:val="000000" w:themeColor="text1"/>
                <w:lang w:bidi="ar"/>
                <w14:textFill>
                  <w14:solidFill>
                    <w14:schemeClr w14:val="tx1"/>
                  </w14:solidFill>
                </w14:textFill>
              </w:rPr>
            </w:pPr>
          </w:p>
        </w:tc>
      </w:tr>
      <w:tr w14:paraId="3D89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28" w:hRule="atLeast"/>
        </w:trPr>
        <w:tc>
          <w:tcPr>
            <w:tcW w:w="790" w:type="dxa"/>
            <w:vAlign w:val="center"/>
          </w:tcPr>
          <w:p w14:paraId="55522CE3">
            <w:pPr>
              <w:jc w:val="center"/>
              <w:textAlignment w:val="center"/>
              <w:rPr>
                <w:color w:val="000000"/>
              </w:rPr>
            </w:pPr>
            <w:r>
              <w:rPr>
                <w:rFonts w:hint="eastAsia"/>
                <w:color w:val="000000"/>
                <w:sz w:val="22"/>
                <w:szCs w:val="22"/>
                <w:lang w:bidi="ar"/>
              </w:rPr>
              <w:t>3</w:t>
            </w:r>
          </w:p>
        </w:tc>
        <w:tc>
          <w:tcPr>
            <w:tcW w:w="981" w:type="dxa"/>
            <w:vAlign w:val="center"/>
          </w:tcPr>
          <w:p w14:paraId="04CBE111">
            <w:pPr>
              <w:jc w:val="center"/>
              <w:textAlignment w:val="center"/>
              <w:rPr>
                <w:rFonts w:cs="Times New Roman"/>
                <w:color w:val="000000"/>
              </w:rPr>
            </w:pPr>
            <w:r>
              <w:rPr>
                <w:rFonts w:hint="eastAsia"/>
                <w:color w:val="000000"/>
                <w:sz w:val="22"/>
                <w:szCs w:val="22"/>
                <w:lang w:bidi="ar"/>
              </w:rPr>
              <w:t>实训电脑桌</w:t>
            </w:r>
          </w:p>
        </w:tc>
        <w:tc>
          <w:tcPr>
            <w:tcW w:w="889" w:type="dxa"/>
            <w:vAlign w:val="center"/>
          </w:tcPr>
          <w:p w14:paraId="42CAE3B3">
            <w:pPr>
              <w:jc w:val="center"/>
              <w:textAlignment w:val="center"/>
              <w:rPr>
                <w:color w:val="000000"/>
              </w:rPr>
            </w:pPr>
            <w:r>
              <w:rPr>
                <w:rFonts w:hint="eastAsia"/>
                <w:color w:val="000000"/>
                <w:sz w:val="22"/>
                <w:szCs w:val="22"/>
                <w:lang w:bidi="ar"/>
              </w:rPr>
              <w:t>定制</w:t>
            </w:r>
          </w:p>
        </w:tc>
        <w:tc>
          <w:tcPr>
            <w:tcW w:w="7170" w:type="dxa"/>
            <w:vAlign w:val="center"/>
          </w:tcPr>
          <w:p w14:paraId="78B39C41">
            <w:pPr>
              <w:textAlignment w:val="center"/>
              <w:rPr>
                <w:rFonts w:ascii="Calibri" w:hAnsi="Calibri"/>
                <w:color w:val="000000"/>
                <w:kern w:val="2"/>
              </w:rPr>
            </w:pPr>
            <w:r>
              <w:rPr>
                <w:rFonts w:hint="eastAsia"/>
                <w:color w:val="000000"/>
                <w:sz w:val="22"/>
                <w:szCs w:val="22"/>
                <w:lang w:bidi="ar"/>
              </w:rPr>
              <w:t>规格：1400*600*750mm</w:t>
            </w:r>
            <w:r>
              <w:rPr>
                <w:rFonts w:hint="eastAsia"/>
                <w:color w:val="000000"/>
                <w:sz w:val="22"/>
                <w:szCs w:val="22"/>
                <w:lang w:bidi="ar"/>
              </w:rPr>
              <w:br w:type="textWrapping"/>
            </w:r>
            <w:r>
              <w:rPr>
                <w:rFonts w:hint="eastAsia"/>
                <w:color w:val="000000"/>
                <w:sz w:val="22"/>
                <w:szCs w:val="22"/>
                <w:lang w:bidi="ar"/>
              </w:rPr>
              <w:t>▲基材：1、桌面采用25mm优质环保刨花板，刨花板通过GB/T 15102-2017：密度；静曲强度≥24.0MPa、弹性模量≥2600MPa；内结合强度≥0.50MPa；含水率≤9%；2h吸水厚度膨胀率≤3%；板面握螺钉力≥1400N、板边握螺钉力≥1100N；表面胶合强度≥0.90MPa；表面耐冷热循环无裂纹、鼓泡、变色、起皱等；表面耐划痕表面无大于90%的连续划痕；表面耐磨磨耗值≤44mg/100r、磨350r以后无露底现象；表面耐香烟灼烧5级；表面耐干热5级；表面耐污染腐蚀5级；表面耐龟裂5级；表面耐水蒸气5级；耐光色牢度大于灰度卡4级；GB 18584-2001标准检测合格：甲醛释放量 （干燥器法）≤0.4mg/L；B/T 4371-2012标准检测合格：大肠杆菌抑菌率≥99.95%提供国家认可具备专业检测资质机构出具的有效检测报告佐证。</w:t>
            </w:r>
            <w:r>
              <w:rPr>
                <w:rFonts w:hint="eastAsia"/>
                <w:color w:val="000000"/>
                <w:sz w:val="22"/>
                <w:szCs w:val="22"/>
                <w:lang w:bidi="ar"/>
              </w:rPr>
              <w:br w:type="textWrapping"/>
            </w:r>
            <w:r>
              <w:rPr>
                <w:rFonts w:hint="eastAsia"/>
                <w:color w:val="000000"/>
                <w:sz w:val="22"/>
                <w:szCs w:val="22"/>
                <w:lang w:bidi="ar"/>
              </w:rPr>
              <w:t>2、钢架采用优质50*50  1.2厚国标钢管材，经精密切割，二氧化碳保护焊焊接，经酸洗→清洗→预处理→清洗→磷化→清洗→喷塑→固化→包装等工艺，产品表面应光滑平整，色泽均匀，无露底、无剥落、伤痕等。。背板和主机位门板采用 0.7mm 厚冷轧钢板制作，设置金属主机位 2个、桌面下桌斗2个。外涂料采用国家标准的高级环保材料优质聚氧化脂经静电喷塑、200度高温烘烤、粉沫涂层厚度硬度均要达到国家相关标准，成品表面光滑、光亮、无有害气体产生，无味不脱落。</w:t>
            </w:r>
            <w:r>
              <w:rPr>
                <w:rFonts w:hint="eastAsia"/>
                <w:color w:val="000000"/>
                <w:sz w:val="22"/>
                <w:szCs w:val="22"/>
                <w:lang w:bidi="ar"/>
              </w:rPr>
              <w:br w:type="textWrapping"/>
            </w:r>
            <w:r>
              <w:rPr>
                <w:rFonts w:hint="eastAsia"/>
                <w:color w:val="000000"/>
                <w:sz w:val="22"/>
                <w:szCs w:val="22"/>
                <w:lang w:bidi="ar"/>
              </w:rPr>
              <w:t>3、配件：一级电镀五金配件。</w:t>
            </w:r>
            <w:r>
              <w:rPr>
                <w:rFonts w:hint="eastAsia"/>
                <w:color w:val="000000"/>
                <w:sz w:val="22"/>
                <w:szCs w:val="22"/>
                <w:lang w:bidi="ar"/>
              </w:rPr>
              <w:br w:type="textWrapping"/>
            </w:r>
            <w:r>
              <w:rPr>
                <w:rFonts w:hint="eastAsia"/>
                <w:color w:val="000000"/>
                <w:sz w:val="22"/>
                <w:szCs w:val="22"/>
                <w:lang w:bidi="ar"/>
              </w:rPr>
              <w:t>4、封边材：采用国标1.5mm厚优质环保PVC封边带高密封性封边</w:t>
            </w:r>
            <w:r>
              <w:rPr>
                <w:rFonts w:hint="eastAsia"/>
                <w:color w:val="000000"/>
                <w:sz w:val="22"/>
                <w:szCs w:val="22"/>
                <w:lang w:bidi="ar"/>
              </w:rPr>
              <w:br w:type="textWrapping"/>
            </w:r>
            <w:r>
              <w:rPr>
                <w:rFonts w:hint="eastAsia"/>
                <w:color w:val="000000"/>
                <w:sz w:val="22"/>
                <w:szCs w:val="22"/>
                <w:lang w:bidi="ar"/>
              </w:rPr>
              <w:t>5、颜色：可选。</w:t>
            </w:r>
          </w:p>
        </w:tc>
        <w:tc>
          <w:tcPr>
            <w:tcW w:w="783" w:type="dxa"/>
            <w:shd w:val="clear" w:color="auto" w:fill="auto"/>
            <w:vAlign w:val="center"/>
          </w:tcPr>
          <w:p w14:paraId="1C969002">
            <w:pPr>
              <w:jc w:val="center"/>
              <w:textAlignment w:val="center"/>
              <w:rPr>
                <w:color w:val="000000"/>
              </w:rPr>
            </w:pPr>
            <w:r>
              <w:rPr>
                <w:rFonts w:hint="eastAsia"/>
                <w:color w:val="000000"/>
                <w:sz w:val="22"/>
                <w:szCs w:val="22"/>
                <w:lang w:bidi="ar"/>
              </w:rPr>
              <w:t>张</w:t>
            </w:r>
          </w:p>
        </w:tc>
        <w:tc>
          <w:tcPr>
            <w:tcW w:w="767" w:type="dxa"/>
            <w:vAlign w:val="center"/>
          </w:tcPr>
          <w:p w14:paraId="28B58D3C">
            <w:pPr>
              <w:jc w:val="center"/>
              <w:textAlignment w:val="center"/>
              <w:rPr>
                <w:color w:val="000000"/>
              </w:rPr>
            </w:pPr>
            <w:r>
              <w:rPr>
                <w:rFonts w:hint="eastAsia"/>
                <w:color w:val="000000"/>
                <w:sz w:val="22"/>
                <w:szCs w:val="22"/>
                <w:lang w:bidi="ar"/>
              </w:rPr>
              <w:t>25</w:t>
            </w:r>
          </w:p>
        </w:tc>
        <w:tc>
          <w:tcPr>
            <w:tcW w:w="950" w:type="dxa"/>
            <w:shd w:val="clear" w:color="auto" w:fill="auto"/>
            <w:vAlign w:val="center"/>
          </w:tcPr>
          <w:p w14:paraId="49E9B63E">
            <w:pPr>
              <w:jc w:val="center"/>
              <w:textAlignment w:val="center"/>
              <w:rPr>
                <w:rFonts w:cs="Calibri"/>
                <w:color w:val="000000"/>
              </w:rPr>
            </w:pPr>
            <w:r>
              <w:rPr>
                <w:rFonts w:hint="eastAsia"/>
                <w:color w:val="000000"/>
                <w:sz w:val="22"/>
                <w:szCs w:val="22"/>
                <w:lang w:bidi="ar"/>
              </w:rPr>
              <w:t>458</w:t>
            </w:r>
          </w:p>
        </w:tc>
        <w:tc>
          <w:tcPr>
            <w:tcW w:w="1100" w:type="dxa"/>
            <w:shd w:val="clear" w:color="auto" w:fill="auto"/>
            <w:vAlign w:val="center"/>
          </w:tcPr>
          <w:p w14:paraId="0A78930C">
            <w:pPr>
              <w:jc w:val="center"/>
              <w:textAlignment w:val="center"/>
              <w:rPr>
                <w:rFonts w:cs="Calibri"/>
                <w:color w:val="000000"/>
              </w:rPr>
            </w:pPr>
            <w:r>
              <w:rPr>
                <w:rFonts w:hint="eastAsia" w:ascii="等线" w:hAnsi="等线" w:eastAsia="等线" w:cs="等线"/>
                <w:color w:val="000000"/>
                <w:sz w:val="22"/>
                <w:szCs w:val="22"/>
                <w:lang w:bidi="ar"/>
              </w:rPr>
              <w:t xml:space="preserve">11450 </w:t>
            </w:r>
          </w:p>
        </w:tc>
        <w:tc>
          <w:tcPr>
            <w:tcW w:w="1888" w:type="dxa"/>
            <w:vAlign w:val="center"/>
          </w:tcPr>
          <w:p w14:paraId="236EF2D1">
            <w:pPr>
              <w:jc w:val="center"/>
              <w:rPr>
                <w:rFonts w:cs="Calibri"/>
                <w:color w:val="000000"/>
              </w:rPr>
            </w:pPr>
            <w:r>
              <w:rPr>
                <w:rFonts w:ascii="宋体" w:hAnsi="宋体" w:eastAsia="宋体" w:cs="宋体"/>
                <w:sz w:val="24"/>
                <w:szCs w:val="24"/>
              </w:rPr>
              <w:drawing>
                <wp:inline distT="0" distB="0" distL="114300" distR="114300">
                  <wp:extent cx="1243965" cy="2626360"/>
                  <wp:effectExtent l="0" t="0" r="13335"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243965" cy="2626360"/>
                          </a:xfrm>
                          <a:prstGeom prst="rect">
                            <a:avLst/>
                          </a:prstGeom>
                          <a:noFill/>
                          <a:ln w="9525">
                            <a:noFill/>
                          </a:ln>
                        </pic:spPr>
                      </pic:pic>
                    </a:graphicData>
                  </a:graphic>
                </wp:inline>
              </w:drawing>
            </w:r>
          </w:p>
        </w:tc>
      </w:tr>
      <w:tr w14:paraId="2C14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38" w:hRule="atLeast"/>
        </w:trPr>
        <w:tc>
          <w:tcPr>
            <w:tcW w:w="790" w:type="dxa"/>
            <w:vAlign w:val="center"/>
          </w:tcPr>
          <w:p w14:paraId="4C6A1729">
            <w:pPr>
              <w:jc w:val="center"/>
              <w:textAlignment w:val="center"/>
              <w:rPr>
                <w:color w:val="000000"/>
              </w:rPr>
            </w:pPr>
            <w:r>
              <w:rPr>
                <w:rFonts w:hint="eastAsia"/>
                <w:color w:val="000000"/>
                <w:sz w:val="22"/>
                <w:szCs w:val="22"/>
                <w:lang w:bidi="ar"/>
              </w:rPr>
              <w:t>4</w:t>
            </w:r>
          </w:p>
        </w:tc>
        <w:tc>
          <w:tcPr>
            <w:tcW w:w="981" w:type="dxa"/>
            <w:vAlign w:val="center"/>
          </w:tcPr>
          <w:p w14:paraId="55D43AA2">
            <w:pPr>
              <w:jc w:val="center"/>
              <w:textAlignment w:val="center"/>
              <w:rPr>
                <w:rFonts w:cs="Times New Roman"/>
                <w:color w:val="000000"/>
              </w:rPr>
            </w:pPr>
            <w:r>
              <w:rPr>
                <w:rFonts w:hint="eastAsia"/>
                <w:color w:val="000000"/>
                <w:sz w:val="22"/>
                <w:szCs w:val="22"/>
                <w:lang w:bidi="ar"/>
              </w:rPr>
              <w:t>实训电脑凳</w:t>
            </w:r>
          </w:p>
        </w:tc>
        <w:tc>
          <w:tcPr>
            <w:tcW w:w="889" w:type="dxa"/>
            <w:vAlign w:val="center"/>
          </w:tcPr>
          <w:p w14:paraId="191D9896">
            <w:pPr>
              <w:jc w:val="center"/>
              <w:textAlignment w:val="center"/>
              <w:rPr>
                <w:color w:val="000000"/>
              </w:rPr>
            </w:pPr>
            <w:r>
              <w:rPr>
                <w:rFonts w:hint="eastAsia"/>
                <w:color w:val="000000"/>
                <w:sz w:val="22"/>
                <w:szCs w:val="22"/>
                <w:lang w:bidi="ar"/>
              </w:rPr>
              <w:t>定制</w:t>
            </w:r>
          </w:p>
        </w:tc>
        <w:tc>
          <w:tcPr>
            <w:tcW w:w="7170" w:type="dxa"/>
            <w:vAlign w:val="center"/>
          </w:tcPr>
          <w:p w14:paraId="200AA2E4">
            <w:pPr>
              <w:textAlignment w:val="center"/>
              <w:rPr>
                <w:rFonts w:ascii="Calibri" w:hAnsi="Calibri"/>
                <w:color w:val="000000"/>
                <w:kern w:val="2"/>
              </w:rPr>
            </w:pPr>
            <w:r>
              <w:rPr>
                <w:rFonts w:hint="eastAsia"/>
                <w:color w:val="000000"/>
                <w:sz w:val="22"/>
                <w:szCs w:val="22"/>
                <w:lang w:bidi="ar"/>
              </w:rPr>
              <w:t xml:space="preserve">产品规格：W340mm×D240 mm×440mm                    </w:t>
            </w:r>
            <w:r>
              <w:rPr>
                <w:rFonts w:hint="eastAsia"/>
                <w:color w:val="000000"/>
                <w:sz w:val="22"/>
                <w:szCs w:val="22"/>
                <w:lang w:bidi="ar"/>
              </w:rPr>
              <w:br w:type="textWrapping"/>
            </w:r>
            <w:r>
              <w:rPr>
                <w:rFonts w:hint="eastAsia"/>
                <w:color w:val="000000"/>
                <w:sz w:val="22"/>
                <w:szCs w:val="22"/>
                <w:lang w:bidi="ar"/>
              </w:rPr>
              <w:t>▲基材：1、座面：凳面采用25mm优质环保刨花板，刨花板通过GB/T 15102-2017：密度；静曲强度≥24.0MPa、弹性模量≥2600MPa；内结合强度≥0.50MPa；含水率≤9%；2h吸水厚度膨胀率≤3%；板面握螺钉力≥1400N、板边握螺钉力≥1100N；表面胶合强度≥0.90MPa；表面耐冷热循环无裂纹、鼓泡、变色、起皱等；表面耐划痕表面无大于90%的连续划痕；表面耐磨磨耗值≤44mg/100r、磨350r以后无露底现象；表面耐香烟灼烧5级；表面耐干热5级；表面耐污染腐蚀5级；表面耐龟裂5级；表面耐水蒸气5级；耐光色牢度大于灰度卡4级；GB 18584-2001标准检测合格：甲醛释放量 （干燥器法）≤0.4mg/L；B/T 4371-2012标准检测合格：大肠杆菌抑菌率≥99.95%提供国家认可具备专业检测资质机构出具的有效检测报告佐证。</w:t>
            </w:r>
            <w:r>
              <w:rPr>
                <w:rFonts w:hint="eastAsia"/>
                <w:color w:val="000000"/>
                <w:sz w:val="22"/>
                <w:szCs w:val="22"/>
                <w:lang w:bidi="ar"/>
              </w:rPr>
              <w:br w:type="textWrapping"/>
            </w:r>
            <w:r>
              <w:rPr>
                <w:rFonts w:hint="eastAsia"/>
                <w:color w:val="000000"/>
                <w:sz w:val="22"/>
                <w:szCs w:val="22"/>
                <w:lang w:bidi="ar"/>
              </w:rPr>
              <w:t>2、凳架：采用25×25×1.2mm的加厚优质钢管材制作。</w:t>
            </w:r>
            <w:r>
              <w:rPr>
                <w:rFonts w:hint="eastAsia"/>
                <w:color w:val="000000"/>
                <w:sz w:val="22"/>
                <w:szCs w:val="22"/>
                <w:lang w:bidi="ar"/>
              </w:rPr>
              <w:br w:type="textWrapping"/>
            </w:r>
            <w:r>
              <w:rPr>
                <w:rFonts w:hint="eastAsia"/>
                <w:color w:val="000000"/>
                <w:sz w:val="22"/>
                <w:szCs w:val="22"/>
                <w:lang w:bidi="ar"/>
              </w:rPr>
              <w:t>3、金属件经酸洗→清洗→预处理→清洗→磷化→清洗→喷塑→固化→包装等工艺，产品表面应光滑平整，色泽均匀，无露底、无剥落、伤痕等。</w:t>
            </w:r>
            <w:r>
              <w:rPr>
                <w:rFonts w:hint="eastAsia"/>
                <w:color w:val="000000"/>
                <w:sz w:val="22"/>
                <w:szCs w:val="22"/>
                <w:lang w:bidi="ar"/>
              </w:rPr>
              <w:br w:type="textWrapping"/>
            </w:r>
            <w:r>
              <w:rPr>
                <w:rFonts w:hint="eastAsia"/>
                <w:color w:val="000000"/>
                <w:sz w:val="22"/>
                <w:szCs w:val="22"/>
                <w:lang w:bidi="ar"/>
              </w:rPr>
              <w:t>组装后的设备无影响外观和使用性能的永久变形。</w:t>
            </w:r>
            <w:r>
              <w:rPr>
                <w:rFonts w:hint="eastAsia"/>
                <w:color w:val="000000"/>
                <w:sz w:val="22"/>
                <w:szCs w:val="22"/>
                <w:lang w:bidi="ar"/>
              </w:rPr>
              <w:br w:type="textWrapping"/>
            </w:r>
            <w:r>
              <w:rPr>
                <w:rFonts w:hint="eastAsia"/>
                <w:color w:val="000000"/>
                <w:sz w:val="22"/>
                <w:szCs w:val="22"/>
                <w:lang w:bidi="ar"/>
              </w:rPr>
              <w:t>凡需焊接的部件焊接牢固，因焊接产生的变形必须矫正，焊痕表面波纹均匀、平整。</w:t>
            </w:r>
          </w:p>
        </w:tc>
        <w:tc>
          <w:tcPr>
            <w:tcW w:w="783" w:type="dxa"/>
            <w:shd w:val="clear" w:color="auto" w:fill="auto"/>
            <w:vAlign w:val="center"/>
          </w:tcPr>
          <w:p w14:paraId="6C061F25">
            <w:pPr>
              <w:jc w:val="center"/>
              <w:textAlignment w:val="center"/>
              <w:rPr>
                <w:color w:val="000000"/>
              </w:rPr>
            </w:pPr>
            <w:r>
              <w:rPr>
                <w:rFonts w:hint="eastAsia"/>
                <w:color w:val="000000"/>
                <w:sz w:val="22"/>
                <w:szCs w:val="22"/>
                <w:lang w:bidi="ar"/>
              </w:rPr>
              <w:t>张</w:t>
            </w:r>
          </w:p>
        </w:tc>
        <w:tc>
          <w:tcPr>
            <w:tcW w:w="767" w:type="dxa"/>
            <w:vAlign w:val="center"/>
          </w:tcPr>
          <w:p w14:paraId="2DA63996">
            <w:pPr>
              <w:jc w:val="center"/>
              <w:textAlignment w:val="center"/>
              <w:rPr>
                <w:color w:val="000000"/>
              </w:rPr>
            </w:pPr>
            <w:r>
              <w:rPr>
                <w:rFonts w:hint="eastAsia"/>
                <w:color w:val="000000"/>
                <w:sz w:val="22"/>
                <w:szCs w:val="22"/>
                <w:lang w:bidi="ar"/>
              </w:rPr>
              <w:t>52</w:t>
            </w:r>
          </w:p>
        </w:tc>
        <w:tc>
          <w:tcPr>
            <w:tcW w:w="950" w:type="dxa"/>
            <w:shd w:val="clear" w:color="auto" w:fill="auto"/>
            <w:vAlign w:val="center"/>
          </w:tcPr>
          <w:p w14:paraId="5635EBFC">
            <w:pPr>
              <w:jc w:val="center"/>
              <w:textAlignment w:val="center"/>
              <w:rPr>
                <w:rFonts w:cs="Calibri"/>
                <w:color w:val="000000"/>
              </w:rPr>
            </w:pPr>
            <w:r>
              <w:rPr>
                <w:rFonts w:hint="eastAsia"/>
                <w:color w:val="000000"/>
                <w:sz w:val="22"/>
                <w:szCs w:val="22"/>
                <w:lang w:bidi="ar"/>
              </w:rPr>
              <w:t>50</w:t>
            </w:r>
          </w:p>
        </w:tc>
        <w:tc>
          <w:tcPr>
            <w:tcW w:w="1100" w:type="dxa"/>
            <w:shd w:val="clear" w:color="auto" w:fill="auto"/>
            <w:vAlign w:val="center"/>
          </w:tcPr>
          <w:p w14:paraId="2F1B0DFC">
            <w:pPr>
              <w:jc w:val="center"/>
              <w:textAlignment w:val="center"/>
              <w:rPr>
                <w:rFonts w:cs="Calibri"/>
                <w:color w:val="000000"/>
              </w:rPr>
            </w:pPr>
            <w:r>
              <w:rPr>
                <w:rFonts w:hint="eastAsia" w:ascii="等线" w:hAnsi="等线" w:eastAsia="等线" w:cs="等线"/>
                <w:color w:val="000000"/>
                <w:sz w:val="22"/>
                <w:szCs w:val="22"/>
                <w:lang w:bidi="ar"/>
              </w:rPr>
              <w:t xml:space="preserve">2600 </w:t>
            </w:r>
          </w:p>
        </w:tc>
        <w:tc>
          <w:tcPr>
            <w:tcW w:w="1888" w:type="dxa"/>
            <w:vAlign w:val="center"/>
          </w:tcPr>
          <w:p w14:paraId="327FB776">
            <w:pPr>
              <w:jc w:val="center"/>
              <w:rPr>
                <w:rFonts w:hint="eastAsia" w:eastAsia="宋体" w:cs="Calibri"/>
                <w:color w:val="000000"/>
                <w:lang w:eastAsia="zh-CN"/>
              </w:rPr>
            </w:pPr>
            <w:r>
              <w:rPr>
                <w:rFonts w:hint="eastAsia" w:eastAsia="宋体" w:cs="Calibri"/>
                <w:color w:val="000000"/>
                <w:lang w:eastAsia="zh-CN"/>
              </w:rPr>
              <w:drawing>
                <wp:inline distT="0" distB="0" distL="114300" distR="114300">
                  <wp:extent cx="1174115" cy="1092200"/>
                  <wp:effectExtent l="0" t="0" r="6985" b="12700"/>
                  <wp:docPr id="4" name="图片 4" descr="174185056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850569867"/>
                          <pic:cNvPicPr>
                            <a:picLocks noChangeAspect="1"/>
                          </pic:cNvPicPr>
                        </pic:nvPicPr>
                        <pic:blipFill>
                          <a:blip r:embed="rId5"/>
                          <a:stretch>
                            <a:fillRect/>
                          </a:stretch>
                        </pic:blipFill>
                        <pic:spPr>
                          <a:xfrm>
                            <a:off x="0" y="0"/>
                            <a:ext cx="1174115" cy="1092200"/>
                          </a:xfrm>
                          <a:prstGeom prst="rect">
                            <a:avLst/>
                          </a:prstGeom>
                        </pic:spPr>
                      </pic:pic>
                    </a:graphicData>
                  </a:graphic>
                </wp:inline>
              </w:drawing>
            </w:r>
          </w:p>
        </w:tc>
      </w:tr>
      <w:tr w14:paraId="15D6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6" w:hRule="atLeast"/>
        </w:trPr>
        <w:tc>
          <w:tcPr>
            <w:tcW w:w="790" w:type="dxa"/>
            <w:vAlign w:val="center"/>
          </w:tcPr>
          <w:p w14:paraId="05D4BDA9">
            <w:pPr>
              <w:jc w:val="center"/>
              <w:textAlignment w:val="center"/>
              <w:rPr>
                <w:color w:val="000000"/>
              </w:rPr>
            </w:pPr>
            <w:r>
              <w:rPr>
                <w:rFonts w:hint="eastAsia"/>
                <w:color w:val="000000"/>
                <w:sz w:val="22"/>
                <w:szCs w:val="22"/>
                <w:lang w:bidi="ar"/>
              </w:rPr>
              <w:t>5</w:t>
            </w:r>
          </w:p>
        </w:tc>
        <w:tc>
          <w:tcPr>
            <w:tcW w:w="981" w:type="dxa"/>
            <w:vAlign w:val="center"/>
          </w:tcPr>
          <w:p w14:paraId="329F856C">
            <w:pPr>
              <w:jc w:val="center"/>
              <w:textAlignment w:val="center"/>
              <w:rPr>
                <w:rFonts w:cs="Times New Roman"/>
                <w:color w:val="000000"/>
              </w:rPr>
            </w:pPr>
            <w:r>
              <w:rPr>
                <w:rFonts w:hint="eastAsia"/>
                <w:color w:val="000000"/>
                <w:sz w:val="22"/>
                <w:szCs w:val="22"/>
                <w:lang w:bidi="ar"/>
              </w:rPr>
              <w:t>实训教师桌</w:t>
            </w:r>
          </w:p>
        </w:tc>
        <w:tc>
          <w:tcPr>
            <w:tcW w:w="889" w:type="dxa"/>
            <w:vAlign w:val="center"/>
          </w:tcPr>
          <w:p w14:paraId="1DC3A49A">
            <w:pPr>
              <w:jc w:val="center"/>
              <w:textAlignment w:val="center"/>
              <w:rPr>
                <w:color w:val="000000"/>
              </w:rPr>
            </w:pPr>
            <w:r>
              <w:rPr>
                <w:rFonts w:hint="eastAsia"/>
                <w:color w:val="000000"/>
                <w:sz w:val="22"/>
                <w:szCs w:val="22"/>
                <w:lang w:bidi="ar"/>
              </w:rPr>
              <w:t>定制</w:t>
            </w:r>
          </w:p>
        </w:tc>
        <w:tc>
          <w:tcPr>
            <w:tcW w:w="7170" w:type="dxa"/>
            <w:vAlign w:val="center"/>
          </w:tcPr>
          <w:p w14:paraId="653557BC">
            <w:pPr>
              <w:textAlignment w:val="center"/>
              <w:rPr>
                <w:rFonts w:ascii="Calibri" w:hAnsi="Calibri"/>
                <w:color w:val="000000"/>
                <w:kern w:val="2"/>
              </w:rPr>
            </w:pPr>
            <w:r>
              <w:rPr>
                <w:rFonts w:hint="eastAsia"/>
                <w:color w:val="000000"/>
                <w:sz w:val="22"/>
                <w:szCs w:val="22"/>
                <w:lang w:bidi="ar"/>
              </w:rPr>
              <w:t>桌子参数：</w:t>
            </w:r>
            <w:r>
              <w:rPr>
                <w:rFonts w:hint="eastAsia"/>
                <w:color w:val="000000"/>
                <w:sz w:val="22"/>
                <w:szCs w:val="22"/>
                <w:lang w:bidi="ar"/>
              </w:rPr>
              <w:br w:type="textWrapping"/>
            </w:r>
            <w:r>
              <w:rPr>
                <w:rFonts w:hint="eastAsia"/>
                <w:color w:val="000000"/>
                <w:sz w:val="22"/>
                <w:szCs w:val="22"/>
                <w:lang w:bidi="ar"/>
              </w:rPr>
              <w:t>1、桌子规格2000*800*800</w:t>
            </w:r>
            <w:r>
              <w:rPr>
                <w:rFonts w:hint="eastAsia"/>
                <w:color w:val="000000"/>
                <w:sz w:val="22"/>
                <w:szCs w:val="22"/>
                <w:lang w:bidi="ar"/>
              </w:rPr>
              <w:br w:type="textWrapping"/>
            </w:r>
            <w:r>
              <w:rPr>
                <w:rFonts w:hint="eastAsia"/>
                <w:color w:val="000000"/>
                <w:sz w:val="22"/>
                <w:szCs w:val="22"/>
                <w:lang w:bidi="ar"/>
              </w:rPr>
              <w:t>2、1、桌面采用25mm优质环保板。</w:t>
            </w:r>
            <w:r>
              <w:rPr>
                <w:rFonts w:hint="eastAsia"/>
                <w:color w:val="000000"/>
                <w:sz w:val="22"/>
                <w:szCs w:val="22"/>
                <w:lang w:bidi="ar"/>
              </w:rPr>
              <w:br w:type="textWrapping"/>
            </w:r>
            <w:r>
              <w:rPr>
                <w:rFonts w:hint="eastAsia"/>
                <w:color w:val="000000"/>
                <w:sz w:val="22"/>
                <w:szCs w:val="22"/>
                <w:lang w:bidi="ar"/>
              </w:rPr>
              <w:t>3、钢架采用优质50*50  1.2厚国标钢管材。</w:t>
            </w:r>
            <w:r>
              <w:rPr>
                <w:rFonts w:hint="eastAsia"/>
                <w:color w:val="000000"/>
                <w:sz w:val="22"/>
                <w:szCs w:val="22"/>
                <w:lang w:bidi="ar"/>
              </w:rPr>
              <w:br w:type="textWrapping"/>
            </w:r>
            <w:r>
              <w:rPr>
                <w:rFonts w:hint="eastAsia"/>
                <w:color w:val="000000"/>
                <w:sz w:val="22"/>
                <w:szCs w:val="22"/>
                <w:lang w:bidi="ar"/>
              </w:rPr>
              <w:t>4、封边材：采用国标1.5mm厚优质环保PVC封边带高密封性封边</w:t>
            </w:r>
            <w:r>
              <w:rPr>
                <w:rFonts w:hint="eastAsia"/>
                <w:color w:val="000000"/>
                <w:sz w:val="22"/>
                <w:szCs w:val="22"/>
                <w:lang w:bidi="ar"/>
              </w:rPr>
              <w:br w:type="textWrapping"/>
            </w:r>
            <w:r>
              <w:rPr>
                <w:rFonts w:hint="eastAsia"/>
                <w:color w:val="000000"/>
                <w:sz w:val="22"/>
                <w:szCs w:val="22"/>
                <w:lang w:bidi="ar"/>
              </w:rPr>
              <w:t>5、颜色：根据采购人要求定制。</w:t>
            </w:r>
          </w:p>
        </w:tc>
        <w:tc>
          <w:tcPr>
            <w:tcW w:w="783" w:type="dxa"/>
            <w:shd w:val="clear" w:color="auto" w:fill="auto"/>
            <w:vAlign w:val="center"/>
          </w:tcPr>
          <w:p w14:paraId="69AB83D7">
            <w:pPr>
              <w:jc w:val="center"/>
              <w:textAlignment w:val="center"/>
              <w:rPr>
                <w:color w:val="000000"/>
              </w:rPr>
            </w:pPr>
            <w:r>
              <w:rPr>
                <w:rFonts w:hint="eastAsia"/>
                <w:color w:val="000000"/>
                <w:sz w:val="22"/>
                <w:szCs w:val="22"/>
                <w:lang w:bidi="ar"/>
              </w:rPr>
              <w:t>张</w:t>
            </w:r>
          </w:p>
        </w:tc>
        <w:tc>
          <w:tcPr>
            <w:tcW w:w="767" w:type="dxa"/>
            <w:vAlign w:val="center"/>
          </w:tcPr>
          <w:p w14:paraId="3E0D930F">
            <w:pPr>
              <w:jc w:val="center"/>
              <w:textAlignment w:val="center"/>
              <w:rPr>
                <w:color w:val="000000"/>
              </w:rPr>
            </w:pPr>
            <w:r>
              <w:rPr>
                <w:rFonts w:hint="eastAsia"/>
                <w:color w:val="000000"/>
                <w:sz w:val="22"/>
                <w:szCs w:val="22"/>
                <w:lang w:bidi="ar"/>
              </w:rPr>
              <w:t>1</w:t>
            </w:r>
          </w:p>
        </w:tc>
        <w:tc>
          <w:tcPr>
            <w:tcW w:w="950" w:type="dxa"/>
            <w:shd w:val="clear" w:color="auto" w:fill="auto"/>
            <w:vAlign w:val="center"/>
          </w:tcPr>
          <w:p w14:paraId="448F229A">
            <w:pPr>
              <w:jc w:val="center"/>
              <w:textAlignment w:val="center"/>
              <w:rPr>
                <w:rFonts w:cs="Calibri"/>
                <w:color w:val="000000"/>
              </w:rPr>
            </w:pPr>
            <w:r>
              <w:rPr>
                <w:rFonts w:hint="eastAsia"/>
                <w:color w:val="000000"/>
                <w:sz w:val="22"/>
                <w:szCs w:val="22"/>
                <w:lang w:bidi="ar"/>
              </w:rPr>
              <w:t>1700</w:t>
            </w:r>
          </w:p>
        </w:tc>
        <w:tc>
          <w:tcPr>
            <w:tcW w:w="1100" w:type="dxa"/>
            <w:shd w:val="clear" w:color="auto" w:fill="auto"/>
            <w:vAlign w:val="center"/>
          </w:tcPr>
          <w:p w14:paraId="3C0BFEC4">
            <w:pPr>
              <w:jc w:val="center"/>
              <w:textAlignment w:val="center"/>
              <w:rPr>
                <w:rFonts w:cs="Calibri"/>
                <w:color w:val="000000"/>
              </w:rPr>
            </w:pPr>
            <w:r>
              <w:rPr>
                <w:rFonts w:hint="eastAsia" w:ascii="等线" w:hAnsi="等线" w:eastAsia="等线" w:cs="等线"/>
                <w:color w:val="000000"/>
                <w:sz w:val="22"/>
                <w:szCs w:val="22"/>
                <w:lang w:bidi="ar"/>
              </w:rPr>
              <w:t xml:space="preserve">1700 </w:t>
            </w:r>
          </w:p>
        </w:tc>
        <w:tc>
          <w:tcPr>
            <w:tcW w:w="1888" w:type="dxa"/>
            <w:vAlign w:val="center"/>
          </w:tcPr>
          <w:p w14:paraId="3C2DC0B0">
            <w:pPr>
              <w:jc w:val="center"/>
              <w:rPr>
                <w:rFonts w:hint="eastAsia" w:eastAsia="宋体" w:cs="Calibri"/>
                <w:color w:val="000000"/>
                <w:lang w:eastAsia="zh-CN"/>
              </w:rPr>
            </w:pPr>
            <w:r>
              <w:rPr>
                <w:rFonts w:hint="eastAsia" w:eastAsia="宋体" w:cs="Calibri"/>
                <w:color w:val="000000"/>
                <w:lang w:eastAsia="zh-CN"/>
              </w:rPr>
              <w:drawing>
                <wp:inline distT="0" distB="0" distL="114300" distR="114300">
                  <wp:extent cx="1176020" cy="799465"/>
                  <wp:effectExtent l="0" t="0" r="5080" b="635"/>
                  <wp:docPr id="2" name="图片 2" descr="174185020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1850208778"/>
                          <pic:cNvPicPr>
                            <a:picLocks noChangeAspect="1"/>
                          </pic:cNvPicPr>
                        </pic:nvPicPr>
                        <pic:blipFill>
                          <a:blip r:embed="rId6"/>
                          <a:stretch>
                            <a:fillRect/>
                          </a:stretch>
                        </pic:blipFill>
                        <pic:spPr>
                          <a:xfrm>
                            <a:off x="0" y="0"/>
                            <a:ext cx="1176020" cy="799465"/>
                          </a:xfrm>
                          <a:prstGeom prst="rect">
                            <a:avLst/>
                          </a:prstGeom>
                        </pic:spPr>
                      </pic:pic>
                    </a:graphicData>
                  </a:graphic>
                </wp:inline>
              </w:drawing>
            </w:r>
          </w:p>
        </w:tc>
      </w:tr>
      <w:tr w14:paraId="084A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99" w:hRule="atLeast"/>
        </w:trPr>
        <w:tc>
          <w:tcPr>
            <w:tcW w:w="790" w:type="dxa"/>
            <w:vAlign w:val="center"/>
          </w:tcPr>
          <w:p w14:paraId="5685BF72">
            <w:pPr>
              <w:jc w:val="center"/>
              <w:textAlignment w:val="center"/>
              <w:rPr>
                <w:color w:val="000000"/>
              </w:rPr>
            </w:pPr>
            <w:r>
              <w:rPr>
                <w:rFonts w:hint="eastAsia"/>
                <w:color w:val="000000"/>
                <w:sz w:val="22"/>
                <w:szCs w:val="22"/>
                <w:lang w:bidi="ar"/>
              </w:rPr>
              <w:t>6</w:t>
            </w:r>
          </w:p>
        </w:tc>
        <w:tc>
          <w:tcPr>
            <w:tcW w:w="981" w:type="dxa"/>
            <w:vAlign w:val="center"/>
          </w:tcPr>
          <w:p w14:paraId="3937FD9B">
            <w:pPr>
              <w:jc w:val="center"/>
              <w:textAlignment w:val="center"/>
              <w:rPr>
                <w:rFonts w:cs="Times New Roman"/>
                <w:color w:val="000000"/>
              </w:rPr>
            </w:pPr>
            <w:r>
              <w:rPr>
                <w:rFonts w:hint="eastAsia"/>
                <w:color w:val="000000"/>
                <w:sz w:val="22"/>
                <w:szCs w:val="22"/>
                <w:lang w:bidi="ar"/>
              </w:rPr>
              <w:t>实木椅</w:t>
            </w:r>
          </w:p>
        </w:tc>
        <w:tc>
          <w:tcPr>
            <w:tcW w:w="889" w:type="dxa"/>
            <w:vAlign w:val="center"/>
          </w:tcPr>
          <w:p w14:paraId="6E60C85A">
            <w:pPr>
              <w:jc w:val="center"/>
              <w:textAlignment w:val="center"/>
              <w:rPr>
                <w:color w:val="000000"/>
              </w:rPr>
            </w:pPr>
            <w:r>
              <w:rPr>
                <w:rFonts w:hint="eastAsia"/>
                <w:color w:val="000000"/>
                <w:sz w:val="22"/>
                <w:szCs w:val="22"/>
                <w:lang w:bidi="ar"/>
              </w:rPr>
              <w:t>定制</w:t>
            </w:r>
          </w:p>
        </w:tc>
        <w:tc>
          <w:tcPr>
            <w:tcW w:w="7170" w:type="dxa"/>
            <w:vAlign w:val="center"/>
          </w:tcPr>
          <w:p w14:paraId="7FC1A266">
            <w:pPr>
              <w:textAlignment w:val="center"/>
              <w:rPr>
                <w:color w:val="000000"/>
                <w:sz w:val="22"/>
                <w:szCs w:val="22"/>
                <w:lang w:bidi="ar"/>
              </w:rPr>
            </w:pPr>
            <w:r>
              <w:rPr>
                <w:rFonts w:hint="eastAsia"/>
                <w:color w:val="000000"/>
                <w:sz w:val="22"/>
                <w:szCs w:val="22"/>
                <w:lang w:bidi="ar"/>
              </w:rPr>
              <w:t>1、常规（实木，橡木）</w:t>
            </w:r>
          </w:p>
          <w:p w14:paraId="6C9525B1">
            <w:pPr>
              <w:textAlignment w:val="center"/>
              <w:rPr>
                <w:rFonts w:ascii="Calibri" w:hAnsi="Calibri"/>
                <w:color w:val="000000"/>
                <w:kern w:val="2"/>
              </w:rPr>
            </w:pPr>
            <w:r>
              <w:rPr>
                <w:rFonts w:hint="eastAsia"/>
                <w:color w:val="000000"/>
                <w:sz w:val="22"/>
                <w:szCs w:val="22"/>
                <w:lang w:bidi="ar"/>
              </w:rPr>
              <w:t>依据人体工程学原理设计，采用优质进口橡木实木架，整体结构采用卯榫结构，所有木材均经过脱脂、除虫、干燥处理，含水率低于7%，外表精细打磨；油漆采用“易涂宝”品牌环保（不含甲苯、甲醛等挥发性有毒物质），采用5底3面工艺，无泡、渣点、不脱皮、不变色、手感好。符合国家环保标准，耐磨，耐高温，颜色一致，漆面光滑，无杂质，无气泡，无皱痕，符合GB18581-2001环保要求；</w:t>
            </w:r>
          </w:p>
        </w:tc>
        <w:tc>
          <w:tcPr>
            <w:tcW w:w="783" w:type="dxa"/>
            <w:shd w:val="clear" w:color="auto" w:fill="auto"/>
            <w:vAlign w:val="center"/>
          </w:tcPr>
          <w:p w14:paraId="5E5A8D44">
            <w:pPr>
              <w:jc w:val="center"/>
              <w:textAlignment w:val="center"/>
              <w:rPr>
                <w:color w:val="000000"/>
              </w:rPr>
            </w:pPr>
            <w:r>
              <w:rPr>
                <w:rFonts w:hint="eastAsia"/>
                <w:color w:val="000000"/>
                <w:sz w:val="22"/>
                <w:szCs w:val="22"/>
                <w:lang w:bidi="ar"/>
              </w:rPr>
              <w:t>张</w:t>
            </w:r>
          </w:p>
        </w:tc>
        <w:tc>
          <w:tcPr>
            <w:tcW w:w="767" w:type="dxa"/>
            <w:vAlign w:val="center"/>
          </w:tcPr>
          <w:p w14:paraId="3086F676">
            <w:pPr>
              <w:jc w:val="center"/>
              <w:textAlignment w:val="center"/>
              <w:rPr>
                <w:color w:val="000000"/>
              </w:rPr>
            </w:pPr>
            <w:r>
              <w:rPr>
                <w:rFonts w:hint="eastAsia"/>
                <w:color w:val="000000"/>
                <w:sz w:val="22"/>
                <w:szCs w:val="22"/>
                <w:lang w:bidi="ar"/>
              </w:rPr>
              <w:t>1</w:t>
            </w:r>
          </w:p>
        </w:tc>
        <w:tc>
          <w:tcPr>
            <w:tcW w:w="950" w:type="dxa"/>
            <w:shd w:val="clear" w:color="auto" w:fill="auto"/>
            <w:vAlign w:val="center"/>
          </w:tcPr>
          <w:p w14:paraId="6D1BBD01">
            <w:pPr>
              <w:jc w:val="center"/>
              <w:textAlignment w:val="center"/>
              <w:rPr>
                <w:rFonts w:cs="Calibri"/>
                <w:color w:val="000000"/>
              </w:rPr>
            </w:pPr>
            <w:r>
              <w:rPr>
                <w:rFonts w:hint="eastAsia"/>
                <w:color w:val="000000"/>
                <w:sz w:val="22"/>
                <w:szCs w:val="22"/>
                <w:lang w:bidi="ar"/>
              </w:rPr>
              <w:t>250</w:t>
            </w:r>
          </w:p>
        </w:tc>
        <w:tc>
          <w:tcPr>
            <w:tcW w:w="1100" w:type="dxa"/>
            <w:shd w:val="clear" w:color="auto" w:fill="auto"/>
            <w:vAlign w:val="center"/>
          </w:tcPr>
          <w:p w14:paraId="159060FC">
            <w:pPr>
              <w:jc w:val="center"/>
              <w:textAlignment w:val="center"/>
              <w:rPr>
                <w:rFonts w:cs="Calibri"/>
                <w:color w:val="000000"/>
              </w:rPr>
            </w:pPr>
            <w:r>
              <w:rPr>
                <w:rFonts w:hint="eastAsia" w:ascii="等线" w:hAnsi="等线" w:eastAsia="等线" w:cs="等线"/>
                <w:color w:val="000000"/>
                <w:sz w:val="22"/>
                <w:szCs w:val="22"/>
                <w:lang w:bidi="ar"/>
              </w:rPr>
              <w:t xml:space="preserve">250 </w:t>
            </w:r>
          </w:p>
        </w:tc>
        <w:tc>
          <w:tcPr>
            <w:tcW w:w="1888" w:type="dxa"/>
            <w:vAlign w:val="center"/>
          </w:tcPr>
          <w:p w14:paraId="1944EFBA">
            <w:pPr>
              <w:jc w:val="center"/>
              <w:rPr>
                <w:rFonts w:hint="eastAsia" w:eastAsia="宋体" w:cs="Calibri"/>
                <w:color w:val="000000"/>
                <w:lang w:eastAsia="zh-CN"/>
              </w:rPr>
            </w:pPr>
            <w:r>
              <w:rPr>
                <w:rFonts w:hint="eastAsia" w:eastAsia="宋体" w:cs="Calibri"/>
                <w:color w:val="000000"/>
                <w:lang w:eastAsia="zh-CN"/>
              </w:rPr>
              <w:drawing>
                <wp:inline distT="0" distB="0" distL="114300" distR="114300">
                  <wp:extent cx="1178560" cy="1875155"/>
                  <wp:effectExtent l="0" t="0" r="2540" b="10795"/>
                  <wp:docPr id="3" name="图片 3" descr="17418503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1850304902"/>
                          <pic:cNvPicPr>
                            <a:picLocks noChangeAspect="1"/>
                          </pic:cNvPicPr>
                        </pic:nvPicPr>
                        <pic:blipFill>
                          <a:blip r:embed="rId7"/>
                          <a:stretch>
                            <a:fillRect/>
                          </a:stretch>
                        </pic:blipFill>
                        <pic:spPr>
                          <a:xfrm>
                            <a:off x="0" y="0"/>
                            <a:ext cx="1178560" cy="1875155"/>
                          </a:xfrm>
                          <a:prstGeom prst="rect">
                            <a:avLst/>
                          </a:prstGeom>
                        </pic:spPr>
                      </pic:pic>
                    </a:graphicData>
                  </a:graphic>
                </wp:inline>
              </w:drawing>
            </w:r>
          </w:p>
        </w:tc>
      </w:tr>
      <w:tr w14:paraId="425F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trPr>
        <w:tc>
          <w:tcPr>
            <w:tcW w:w="11380" w:type="dxa"/>
            <w:gridSpan w:val="6"/>
            <w:vAlign w:val="center"/>
          </w:tcPr>
          <w:p w14:paraId="26FB8967">
            <w:pPr>
              <w:jc w:val="center"/>
              <w:textAlignment w:val="center"/>
              <w:rPr>
                <w:bCs/>
                <w:color w:val="000000" w:themeColor="text1"/>
                <w:lang w:bidi="ar"/>
                <w14:textFill>
                  <w14:solidFill>
                    <w14:schemeClr w14:val="tx1"/>
                  </w14:solidFill>
                </w14:textFill>
              </w:rPr>
            </w:pPr>
            <w:r>
              <w:rPr>
                <w:rFonts w:hint="eastAsia"/>
                <w:bCs/>
                <w:color w:val="000000" w:themeColor="text1"/>
                <w:lang w:bidi="ar"/>
                <w14:textFill>
                  <w14:solidFill>
                    <w14:schemeClr w14:val="tx1"/>
                  </w14:solidFill>
                </w14:textFill>
              </w:rPr>
              <w:t>合计金额</w:t>
            </w:r>
          </w:p>
        </w:tc>
        <w:tc>
          <w:tcPr>
            <w:tcW w:w="2050" w:type="dxa"/>
            <w:gridSpan w:val="2"/>
            <w:vAlign w:val="center"/>
          </w:tcPr>
          <w:p w14:paraId="5754A9C1">
            <w:pPr>
              <w:jc w:val="center"/>
              <w:textAlignment w:val="center"/>
              <w:rPr>
                <w:bCs/>
                <w:color w:val="000000" w:themeColor="text1"/>
                <w:lang w:bidi="ar"/>
                <w14:textFill>
                  <w14:solidFill>
                    <w14:schemeClr w14:val="tx1"/>
                  </w14:solidFill>
                </w14:textFill>
              </w:rPr>
            </w:pPr>
            <w:r>
              <w:rPr>
                <w:rFonts w:hint="eastAsia"/>
                <w:bCs/>
                <w:color w:val="000000" w:themeColor="text1"/>
                <w:lang w:bidi="ar"/>
                <w14:textFill>
                  <w14:solidFill>
                    <w14:schemeClr w14:val="tx1"/>
                  </w14:solidFill>
                </w14:textFill>
              </w:rPr>
              <w:t>54000</w:t>
            </w:r>
          </w:p>
        </w:tc>
        <w:tc>
          <w:tcPr>
            <w:tcW w:w="1888" w:type="dxa"/>
            <w:vAlign w:val="center"/>
          </w:tcPr>
          <w:p w14:paraId="5D39E93E">
            <w:pPr>
              <w:jc w:val="center"/>
              <w:textAlignment w:val="center"/>
              <w:rPr>
                <w:bCs/>
                <w:color w:val="000000" w:themeColor="text1"/>
                <w:lang w:bidi="ar"/>
                <w14:textFill>
                  <w14:solidFill>
                    <w14:schemeClr w14:val="tx1"/>
                  </w14:solidFill>
                </w14:textFill>
              </w:rPr>
            </w:pPr>
          </w:p>
        </w:tc>
      </w:tr>
    </w:tbl>
    <w:p w14:paraId="1795C0B8">
      <w:pPr>
        <w:pStyle w:val="2"/>
        <w:ind w:firstLine="0"/>
      </w:pPr>
    </w:p>
    <w:p w14:paraId="7E1C8436">
      <w:pPr>
        <w:pStyle w:val="2"/>
        <w:ind w:firstLine="0"/>
      </w:pPr>
    </w:p>
    <w:p w14:paraId="2374D2E7">
      <w:pPr>
        <w:pStyle w:val="2"/>
        <w:ind w:firstLine="0"/>
      </w:pPr>
      <w:bookmarkStart w:id="0" w:name="_GoBack"/>
      <w:bookmarkEnd w:id="0"/>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4157"/>
      </w:tblGrid>
      <w:tr w14:paraId="6A22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2"/>
          </w:tcPr>
          <w:p w14:paraId="610C9649">
            <w:pPr>
              <w:widowControl w:val="0"/>
              <w:jc w:val="both"/>
            </w:pPr>
            <w:r>
              <w:rPr>
                <w:rFonts w:hint="eastAsia" w:asciiTheme="minorEastAsia" w:hAnsiTheme="minorEastAsia" w:cstheme="minorEastAsia"/>
                <w:szCs w:val="21"/>
              </w:rPr>
              <w:t>★</w:t>
            </w:r>
            <w:r>
              <w:rPr>
                <w:rFonts w:hint="eastAsia" w:asciiTheme="minorEastAsia" w:hAnsiTheme="minorEastAsia" w:cstheme="minorEastAsia"/>
                <w:b/>
                <w:bCs/>
                <w:szCs w:val="21"/>
              </w:rPr>
              <w:t>二、商务服务要求表</w:t>
            </w:r>
          </w:p>
        </w:tc>
      </w:tr>
      <w:tr w14:paraId="1101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shd w:val="clear" w:color="auto" w:fill="auto"/>
            <w:vAlign w:val="center"/>
          </w:tcPr>
          <w:p w14:paraId="591BB5B5">
            <w:pPr>
              <w:widowControl/>
              <w:snapToGrid w:val="0"/>
              <w:spacing w:line="400" w:lineRule="exact"/>
              <w:jc w:val="center"/>
              <w:textAlignment w:val="center"/>
              <w:rPr>
                <w:rFonts w:asciiTheme="minorEastAsia" w:hAnsiTheme="minorEastAsia" w:eastAsiaTheme="minorEastAsia" w:cstheme="minorEastAsia"/>
                <w:kern w:val="2"/>
                <w:sz w:val="21"/>
                <w:szCs w:val="21"/>
              </w:rPr>
            </w:pPr>
            <w:r>
              <w:rPr>
                <w:rStyle w:val="11"/>
                <w:rFonts w:hint="default" w:asciiTheme="minorEastAsia" w:hAnsiTheme="minorEastAsia" w:eastAsiaTheme="minorEastAsia" w:cstheme="minorEastAsia"/>
                <w:color w:val="auto"/>
                <w:sz w:val="21"/>
                <w:szCs w:val="21"/>
              </w:rPr>
              <w:t>交货时间及地点</w:t>
            </w:r>
          </w:p>
        </w:tc>
        <w:tc>
          <w:tcPr>
            <w:tcW w:w="11366" w:type="dxa"/>
            <w:shd w:val="clear" w:color="auto" w:fill="auto"/>
            <w:vAlign w:val="center"/>
          </w:tcPr>
          <w:p w14:paraId="6D2A1DBF">
            <w:pPr>
              <w:widowControl/>
              <w:snapToGrid w:val="0"/>
              <w:spacing w:line="400" w:lineRule="exact"/>
              <w:jc w:val="left"/>
              <w:textAlignment w:val="center"/>
              <w:rPr>
                <w:rFonts w:asciiTheme="minorEastAsia" w:hAnsiTheme="minorEastAsia" w:cstheme="minorEastAsia"/>
                <w:szCs w:val="21"/>
              </w:rPr>
            </w:pPr>
            <w:r>
              <w:rPr>
                <w:rFonts w:hint="eastAsia" w:asciiTheme="minorEastAsia" w:hAnsiTheme="minorEastAsia" w:cstheme="minorEastAsia"/>
                <w:szCs w:val="21"/>
              </w:rPr>
              <w:t>1.交货期：合同签订之日起</w:t>
            </w:r>
            <w:r>
              <w:rPr>
                <w:rFonts w:hint="eastAsia" w:asciiTheme="minorEastAsia" w:hAnsiTheme="minorEastAsia" w:cstheme="minorEastAsia"/>
                <w:szCs w:val="21"/>
                <w:u w:val="single"/>
              </w:rPr>
              <w:t>10</w:t>
            </w:r>
            <w:r>
              <w:rPr>
                <w:rFonts w:hint="eastAsia" w:asciiTheme="minorEastAsia" w:hAnsiTheme="minorEastAsia" w:cstheme="minorEastAsia"/>
                <w:szCs w:val="21"/>
              </w:rPr>
              <w:t>个日历日内交货并安装调试完毕。</w:t>
            </w:r>
          </w:p>
          <w:p w14:paraId="2AC86547">
            <w:pPr>
              <w:widowControl/>
              <w:snapToGrid w:val="0"/>
              <w:spacing w:line="400" w:lineRule="exact"/>
              <w:jc w:val="left"/>
              <w:textAlignment w:val="center"/>
              <w:rPr>
                <w:rFonts w:asciiTheme="minorEastAsia" w:hAnsiTheme="minorEastAsia" w:eastAsiaTheme="minorEastAsia" w:cstheme="minorEastAsia"/>
                <w:kern w:val="2"/>
                <w:sz w:val="21"/>
                <w:szCs w:val="21"/>
              </w:rPr>
            </w:pPr>
            <w:r>
              <w:rPr>
                <w:rStyle w:val="11"/>
                <w:rFonts w:hint="default" w:asciiTheme="minorEastAsia" w:hAnsiTheme="minorEastAsia" w:eastAsiaTheme="minorEastAsia" w:cstheme="minorEastAsia"/>
                <w:color w:val="auto"/>
                <w:sz w:val="21"/>
                <w:szCs w:val="21"/>
              </w:rPr>
              <w:t>2.交货地点：</w:t>
            </w:r>
            <w:r>
              <w:rPr>
                <w:rFonts w:hint="eastAsia" w:asciiTheme="minorEastAsia" w:hAnsiTheme="minorEastAsia" w:cstheme="minorEastAsia"/>
                <w:szCs w:val="21"/>
              </w:rPr>
              <w:t>广西南宁市采购人指定地点（广西水利电力职业技术学院里建校区）</w:t>
            </w:r>
            <w:r>
              <w:rPr>
                <w:rStyle w:val="11"/>
                <w:rFonts w:hint="default" w:asciiTheme="minorEastAsia" w:hAnsiTheme="minorEastAsia" w:eastAsiaTheme="minorEastAsia" w:cstheme="minorEastAsia"/>
                <w:color w:val="auto"/>
                <w:sz w:val="21"/>
                <w:szCs w:val="21"/>
              </w:rPr>
              <w:t>。</w:t>
            </w:r>
          </w:p>
        </w:tc>
      </w:tr>
      <w:tr w14:paraId="2FDF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shd w:val="clear" w:color="auto" w:fill="auto"/>
            <w:vAlign w:val="center"/>
          </w:tcPr>
          <w:p w14:paraId="5DAF31FC">
            <w:pPr>
              <w:widowControl/>
              <w:snapToGrid w:val="0"/>
              <w:spacing w:line="400" w:lineRule="exact"/>
              <w:jc w:val="center"/>
              <w:textAlignment w:val="center"/>
              <w:rPr>
                <w:rFonts w:asciiTheme="minorEastAsia" w:hAnsiTheme="minorEastAsia" w:eastAsiaTheme="minorEastAsia" w:cstheme="minorEastAsia"/>
                <w:kern w:val="2"/>
                <w:sz w:val="21"/>
                <w:szCs w:val="21"/>
              </w:rPr>
            </w:pPr>
            <w:r>
              <w:rPr>
                <w:rStyle w:val="11"/>
                <w:rFonts w:hint="default" w:asciiTheme="minorEastAsia" w:hAnsiTheme="minorEastAsia" w:eastAsiaTheme="minorEastAsia" w:cstheme="minorEastAsia"/>
                <w:color w:val="auto"/>
                <w:sz w:val="21"/>
                <w:szCs w:val="21"/>
              </w:rPr>
              <w:t>质保期</w:t>
            </w:r>
          </w:p>
        </w:tc>
        <w:tc>
          <w:tcPr>
            <w:tcW w:w="11366" w:type="dxa"/>
            <w:shd w:val="clear" w:color="auto" w:fill="auto"/>
            <w:vAlign w:val="center"/>
          </w:tcPr>
          <w:p w14:paraId="0D3359C6">
            <w:pPr>
              <w:widowControl/>
              <w:snapToGrid w:val="0"/>
              <w:spacing w:line="400" w:lineRule="exact"/>
              <w:jc w:val="left"/>
              <w:textAlignment w:val="center"/>
              <w:rPr>
                <w:rFonts w:asciiTheme="minorEastAsia" w:hAnsiTheme="minorEastAsia" w:eastAsiaTheme="minorEastAsia" w:cstheme="minorEastAsia"/>
                <w:kern w:val="2"/>
                <w:sz w:val="21"/>
                <w:szCs w:val="21"/>
              </w:rPr>
            </w:pPr>
            <w:r>
              <w:rPr>
                <w:rStyle w:val="11"/>
                <w:rFonts w:hint="default" w:asciiTheme="minorEastAsia" w:hAnsiTheme="minorEastAsia" w:eastAsiaTheme="minorEastAsia" w:cstheme="minorEastAsia"/>
                <w:color w:val="auto"/>
                <w:sz w:val="21"/>
                <w:szCs w:val="21"/>
              </w:rPr>
              <w:t>按国家有关规定或厂家承诺实行“三包”，</w:t>
            </w:r>
            <w:r>
              <w:rPr>
                <w:rFonts w:hint="eastAsia" w:asciiTheme="minorEastAsia" w:hAnsiTheme="minorEastAsia" w:cstheme="minorEastAsia"/>
                <w:szCs w:val="21"/>
              </w:rPr>
              <w:t>质保期从验收合格之日起整机不少于</w:t>
            </w:r>
            <w:r>
              <w:rPr>
                <w:rFonts w:hint="eastAsia" w:asciiTheme="minorEastAsia" w:hAnsiTheme="minorEastAsia" w:cstheme="minorEastAsia"/>
                <w:szCs w:val="21"/>
                <w:u w:val="single"/>
              </w:rPr>
              <w:t>3</w:t>
            </w:r>
            <w:r>
              <w:rPr>
                <w:rFonts w:hint="eastAsia" w:asciiTheme="minorEastAsia" w:hAnsiTheme="minorEastAsia" w:cstheme="minorEastAsia"/>
                <w:szCs w:val="21"/>
              </w:rPr>
              <w:t>年（技术参数中有特别指明质保期的按参数要求，厂家质保期高于采购要求的按厂家质保）</w:t>
            </w:r>
            <w:r>
              <w:rPr>
                <w:rStyle w:val="11"/>
                <w:rFonts w:hint="default" w:asciiTheme="minorEastAsia" w:hAnsiTheme="minorEastAsia" w:eastAsiaTheme="minorEastAsia" w:cstheme="minorEastAsia"/>
                <w:color w:val="auto"/>
                <w:sz w:val="21"/>
                <w:szCs w:val="21"/>
              </w:rPr>
              <w:t>，质保期内全免费上门维修、免费更换零部件，质保期过后提供终身技术支持和维护。</w:t>
            </w:r>
          </w:p>
        </w:tc>
      </w:tr>
      <w:tr w14:paraId="7A66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shd w:val="clear" w:color="auto" w:fill="auto"/>
            <w:vAlign w:val="center"/>
          </w:tcPr>
          <w:p w14:paraId="75AE5CCD">
            <w:pPr>
              <w:widowControl/>
              <w:snapToGrid w:val="0"/>
              <w:spacing w:line="400" w:lineRule="exact"/>
              <w:jc w:val="center"/>
              <w:textAlignment w:val="center"/>
              <w:rPr>
                <w:rFonts w:asciiTheme="minorEastAsia" w:hAnsiTheme="minorEastAsia" w:eastAsiaTheme="minorEastAsia" w:cstheme="minorEastAsia"/>
                <w:kern w:val="2"/>
                <w:sz w:val="21"/>
                <w:szCs w:val="21"/>
              </w:rPr>
            </w:pPr>
            <w:r>
              <w:rPr>
                <w:rFonts w:hint="eastAsia" w:asciiTheme="minorEastAsia" w:hAnsiTheme="minorEastAsia" w:cstheme="minorEastAsia"/>
                <w:szCs w:val="21"/>
              </w:rPr>
              <w:t>产品质量与售后服务要求</w:t>
            </w:r>
          </w:p>
        </w:tc>
        <w:tc>
          <w:tcPr>
            <w:tcW w:w="11366" w:type="dxa"/>
            <w:shd w:val="clear" w:color="auto" w:fill="auto"/>
            <w:vAlign w:val="center"/>
          </w:tcPr>
          <w:p w14:paraId="6962F483">
            <w:pPr>
              <w:widowControl/>
              <w:snapToGrid w:val="0"/>
              <w:spacing w:line="400" w:lineRule="exact"/>
              <w:jc w:val="both"/>
              <w:rPr>
                <w:rStyle w:val="11"/>
                <w:rFonts w:hint="default"/>
                <w:color w:val="auto"/>
                <w:sz w:val="21"/>
                <w:szCs w:val="21"/>
              </w:rPr>
            </w:pPr>
            <w:r>
              <w:rPr>
                <w:rStyle w:val="11"/>
                <w:rFonts w:hint="default" w:asciiTheme="minorEastAsia" w:hAnsiTheme="minorEastAsia" w:eastAsiaTheme="minorEastAsia" w:cstheme="minorEastAsia"/>
                <w:color w:val="auto"/>
                <w:sz w:val="21"/>
                <w:szCs w:val="21"/>
              </w:rPr>
              <w:t>1、</w:t>
            </w:r>
            <w:r>
              <w:rPr>
                <w:rFonts w:hint="eastAsia" w:asciiTheme="minorEastAsia" w:hAnsiTheme="minorEastAsia" w:cstheme="minorEastAsia"/>
                <w:szCs w:val="21"/>
              </w:rPr>
              <w:t>供应商所投产品必须能实质性响应采购要求（所投产品应完全满足或优于采购参数要求），供货时能按照采购需求的要求提供厂家的供货证明和售后服务承诺书原件，避免假冒伪劣产品。对不能满足参数要求虚假响应，或者签订合同后15个日历日内无法交付使用的，采购人可作废标处理，并依法向供应商追究违约责任。</w:t>
            </w:r>
          </w:p>
          <w:p w14:paraId="654589D0">
            <w:pPr>
              <w:widowControl/>
              <w:snapToGrid w:val="0"/>
              <w:spacing w:line="400" w:lineRule="exact"/>
              <w:jc w:val="both"/>
              <w:rPr>
                <w:rFonts w:asciiTheme="minorEastAsia" w:hAnsiTheme="minorEastAsia" w:cstheme="minorEastAsia"/>
                <w:szCs w:val="21"/>
              </w:rPr>
            </w:pPr>
            <w:r>
              <w:rPr>
                <w:rStyle w:val="11"/>
                <w:rFonts w:hint="default" w:asciiTheme="minorEastAsia" w:hAnsiTheme="minorEastAsia" w:eastAsiaTheme="minorEastAsia" w:cstheme="minorEastAsia"/>
                <w:color w:val="auto"/>
                <w:sz w:val="21"/>
                <w:szCs w:val="21"/>
              </w:rPr>
              <w:t>2、</w:t>
            </w:r>
            <w:r>
              <w:rPr>
                <w:rFonts w:hint="eastAsia" w:asciiTheme="minorEastAsia" w:hAnsiTheme="minorEastAsia" w:cstheme="minorEastAsia"/>
                <w:szCs w:val="21"/>
              </w:rPr>
              <w:t>验收时，采购方将严格按照采购文件要求进行验收，如交付产品不能满足采购要求和合同约定质量标准的视为验收不合格，双方还有异议则邀请专业的机构做技术检测，所有费用由中标商负责，同时中标供应商需承担因验收不合格被采购人终止合同的一切风险和费用。</w:t>
            </w:r>
          </w:p>
          <w:p w14:paraId="1F8900EE">
            <w:pPr>
              <w:widowControl/>
              <w:snapToGrid w:val="0"/>
              <w:spacing w:line="400" w:lineRule="exact"/>
              <w:jc w:val="left"/>
              <w:textAlignment w:val="center"/>
              <w:rPr>
                <w:rFonts w:asciiTheme="minorEastAsia" w:hAnsiTheme="minorEastAsia" w:eastAsiaTheme="minorEastAsia" w:cstheme="minorEastAsia"/>
                <w:kern w:val="2"/>
                <w:sz w:val="21"/>
                <w:szCs w:val="21"/>
              </w:rPr>
            </w:pPr>
            <w:r>
              <w:rPr>
                <w:rStyle w:val="11"/>
                <w:rFonts w:hint="default" w:asciiTheme="minorEastAsia" w:hAnsiTheme="minorEastAsia" w:eastAsiaTheme="minorEastAsia" w:cstheme="minorEastAsia"/>
                <w:color w:val="auto"/>
                <w:sz w:val="21"/>
                <w:szCs w:val="21"/>
              </w:rPr>
              <w:t>3、故障响应时间：</w:t>
            </w:r>
            <w:r>
              <w:rPr>
                <w:rFonts w:hint="eastAsia" w:asciiTheme="minorEastAsia" w:hAnsiTheme="minorEastAsia" w:cstheme="minorEastAsia"/>
                <w:szCs w:val="21"/>
              </w:rPr>
              <w:t>成交供应商收到采购人的故障维修通知后</w:t>
            </w:r>
            <w:r>
              <w:rPr>
                <w:rFonts w:hint="eastAsia"/>
                <w:szCs w:val="21"/>
              </w:rPr>
              <w:t>30分钟内电话服务应答，</w:t>
            </w:r>
            <w:r>
              <w:rPr>
                <w:rFonts w:hint="eastAsia" w:asciiTheme="minorEastAsia" w:hAnsiTheme="minorEastAsia" w:cstheme="minorEastAsia"/>
                <w:szCs w:val="21"/>
              </w:rPr>
              <w:t>2小时内到达现场进行维修，4小时内排除故障，</w:t>
            </w:r>
            <w:r>
              <w:rPr>
                <w:rFonts w:hint="eastAsia"/>
                <w:szCs w:val="21"/>
              </w:rPr>
              <w:t>如24小时内无法修复的，质保期内成交供应商应无条件更换新设备或提供代用设备，或采取使设备可正常运转的措施(必须响应)。</w:t>
            </w:r>
          </w:p>
        </w:tc>
      </w:tr>
      <w:tr w14:paraId="01A4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shd w:val="clear" w:color="auto" w:fill="auto"/>
            <w:vAlign w:val="center"/>
          </w:tcPr>
          <w:p w14:paraId="519AF887">
            <w:pPr>
              <w:widowControl w:val="0"/>
              <w:spacing w:line="400" w:lineRule="exact"/>
              <w:jc w:val="center"/>
              <w:rPr>
                <w:rFonts w:asciiTheme="minorEastAsia" w:hAnsiTheme="minorEastAsia" w:eastAsiaTheme="minorEastAsia" w:cstheme="minorEastAsia"/>
                <w:kern w:val="2"/>
                <w:sz w:val="21"/>
                <w:szCs w:val="21"/>
              </w:rPr>
            </w:pPr>
            <w:r>
              <w:rPr>
                <w:rFonts w:hint="eastAsia" w:asciiTheme="minorEastAsia" w:hAnsiTheme="minorEastAsia" w:cstheme="minorEastAsia"/>
                <w:szCs w:val="21"/>
              </w:rPr>
              <w:t>实施和安装要求</w:t>
            </w:r>
          </w:p>
        </w:tc>
        <w:tc>
          <w:tcPr>
            <w:tcW w:w="11366" w:type="dxa"/>
            <w:shd w:val="clear" w:color="auto" w:fill="auto"/>
            <w:vAlign w:val="center"/>
          </w:tcPr>
          <w:p w14:paraId="1105D681">
            <w:pPr>
              <w:widowControl w:val="0"/>
              <w:spacing w:line="400" w:lineRule="exact"/>
              <w:jc w:val="left"/>
              <w:rPr>
                <w:rFonts w:asciiTheme="minorEastAsia" w:hAnsiTheme="minorEastAsia" w:cstheme="minorEastAsia"/>
                <w:szCs w:val="21"/>
              </w:rPr>
            </w:pPr>
            <w:r>
              <w:rPr>
                <w:rFonts w:hint="eastAsia" w:asciiTheme="minorEastAsia" w:hAnsiTheme="minorEastAsia" w:cstheme="minorEastAsia"/>
                <w:szCs w:val="21"/>
              </w:rPr>
              <w:t>本项目为交钥匙工程，成交后，供应商需应严格按竞标产品的安装规范要求进行安装调试，保证设备正常运行，质量合格。</w:t>
            </w:r>
          </w:p>
          <w:p w14:paraId="4A4C7395">
            <w:pPr>
              <w:widowControl w:val="0"/>
              <w:spacing w:line="400" w:lineRule="exact"/>
              <w:jc w:val="left"/>
              <w:rPr>
                <w:rFonts w:asciiTheme="minorEastAsia" w:hAnsiTheme="minorEastAsia" w:cstheme="minorEastAsia"/>
                <w:szCs w:val="21"/>
              </w:rPr>
            </w:pPr>
            <w:r>
              <w:rPr>
                <w:rFonts w:hint="eastAsia" w:asciiTheme="minorEastAsia" w:hAnsiTheme="minorEastAsia" w:cstheme="minorEastAsia"/>
                <w:szCs w:val="21"/>
              </w:rPr>
              <w:t>（1）根据采购要求的工期提供项目实施方案及进度安排计划表；</w:t>
            </w:r>
          </w:p>
          <w:p w14:paraId="007844F5">
            <w:pPr>
              <w:widowControl w:val="0"/>
              <w:spacing w:line="400" w:lineRule="exact"/>
              <w:jc w:val="left"/>
              <w:rPr>
                <w:rFonts w:asciiTheme="minorEastAsia" w:hAnsiTheme="minorEastAsia" w:cstheme="minorEastAsia"/>
                <w:szCs w:val="21"/>
              </w:rPr>
            </w:pPr>
            <w:r>
              <w:rPr>
                <w:rFonts w:hint="eastAsia" w:asciiTheme="minorEastAsia" w:hAnsiTheme="minorEastAsia" w:cstheme="minorEastAsia"/>
                <w:bCs/>
                <w:szCs w:val="21"/>
              </w:rPr>
              <w:t>（2）</w:t>
            </w:r>
            <w:r>
              <w:rPr>
                <w:rFonts w:hint="eastAsia" w:asciiTheme="minorEastAsia" w:hAnsiTheme="minorEastAsia" w:cstheme="minorEastAsia"/>
                <w:szCs w:val="21"/>
              </w:rPr>
              <w:t>供应商必须服从采购单位现场负责人的指挥，按指定地点进行设备安装、调试，确保设备安装符合国家现行技术规范标准；</w:t>
            </w:r>
          </w:p>
          <w:p w14:paraId="4F761AEC">
            <w:pPr>
              <w:widowControl w:val="0"/>
              <w:spacing w:line="400" w:lineRule="exact"/>
              <w:jc w:val="left"/>
              <w:rPr>
                <w:rFonts w:asciiTheme="minorEastAsia" w:hAnsiTheme="minorEastAsia" w:cstheme="minorEastAsia"/>
                <w:szCs w:val="21"/>
              </w:rPr>
            </w:pPr>
            <w:r>
              <w:rPr>
                <w:szCs w:val="21"/>
              </w:rPr>
              <w:t>（3）</w:t>
            </w:r>
            <w:r>
              <w:rPr>
                <w:rFonts w:hint="eastAsia" w:asciiTheme="minorEastAsia" w:hAnsiTheme="minorEastAsia" w:cstheme="minorEastAsia"/>
                <w:szCs w:val="21"/>
              </w:rPr>
              <w:t>安装过程中的所有安全保障由供应商自行负责；</w:t>
            </w:r>
          </w:p>
          <w:p w14:paraId="298CA905">
            <w:pPr>
              <w:widowControl w:val="0"/>
              <w:spacing w:line="400" w:lineRule="exact"/>
              <w:jc w:val="both"/>
              <w:rPr>
                <w:rFonts w:asciiTheme="minorEastAsia" w:hAnsiTheme="minorEastAsia" w:eastAsiaTheme="minorEastAsia" w:cstheme="minorEastAsia"/>
                <w:sz w:val="21"/>
                <w:szCs w:val="21"/>
                <w:lang w:val="zh-CN"/>
              </w:rPr>
            </w:pPr>
            <w:r>
              <w:rPr>
                <w:rFonts w:hint="eastAsia" w:asciiTheme="minorEastAsia" w:hAnsiTheme="minorEastAsia" w:cstheme="minorEastAsia"/>
                <w:szCs w:val="21"/>
                <w:lang w:val="zh-CN"/>
              </w:rPr>
              <w:t>（</w:t>
            </w:r>
            <w:r>
              <w:rPr>
                <w:rFonts w:hint="eastAsia" w:asciiTheme="minorEastAsia" w:hAnsiTheme="minorEastAsia" w:cstheme="minorEastAsia"/>
                <w:szCs w:val="21"/>
              </w:rPr>
              <w:t>4</w:t>
            </w:r>
            <w:r>
              <w:rPr>
                <w:rFonts w:hint="eastAsia" w:asciiTheme="minorEastAsia" w:hAnsiTheme="minorEastAsia" w:cstheme="minorEastAsia"/>
                <w:szCs w:val="21"/>
                <w:lang w:val="zh-CN"/>
              </w:rPr>
              <w:t>）项目实施过程中产生的垃圾废料由供应商负责清理至校外。</w:t>
            </w:r>
          </w:p>
        </w:tc>
      </w:tr>
      <w:tr w14:paraId="34BC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shd w:val="clear" w:color="auto" w:fill="auto"/>
            <w:vAlign w:val="center"/>
          </w:tcPr>
          <w:p w14:paraId="176B1B18">
            <w:pPr>
              <w:widowControl/>
              <w:snapToGrid w:val="0"/>
              <w:spacing w:line="400" w:lineRule="exact"/>
              <w:jc w:val="center"/>
              <w:textAlignment w:val="center"/>
              <w:rPr>
                <w:rFonts w:asciiTheme="minorEastAsia" w:hAnsiTheme="minorEastAsia" w:eastAsiaTheme="minorEastAsia" w:cstheme="minorEastAsia"/>
                <w:kern w:val="2"/>
                <w:sz w:val="21"/>
                <w:szCs w:val="21"/>
              </w:rPr>
            </w:pPr>
            <w:r>
              <w:rPr>
                <w:rStyle w:val="11"/>
                <w:rFonts w:hint="default" w:asciiTheme="minorEastAsia" w:hAnsiTheme="minorEastAsia" w:eastAsiaTheme="minorEastAsia" w:cstheme="minorEastAsia"/>
                <w:color w:val="auto"/>
                <w:sz w:val="21"/>
                <w:szCs w:val="21"/>
              </w:rPr>
              <w:t>付款方式</w:t>
            </w:r>
          </w:p>
        </w:tc>
        <w:tc>
          <w:tcPr>
            <w:tcW w:w="11366" w:type="dxa"/>
            <w:shd w:val="clear" w:color="auto" w:fill="auto"/>
            <w:vAlign w:val="center"/>
          </w:tcPr>
          <w:p w14:paraId="2292583F">
            <w:pPr>
              <w:widowControl/>
              <w:snapToGrid w:val="0"/>
              <w:spacing w:line="400" w:lineRule="exact"/>
              <w:jc w:val="left"/>
              <w:textAlignment w:val="center"/>
              <w:rPr>
                <w:rFonts w:asciiTheme="minorEastAsia" w:hAnsiTheme="minorEastAsia" w:eastAsiaTheme="minorEastAsia" w:cstheme="minorEastAsia"/>
                <w:kern w:val="2"/>
                <w:sz w:val="21"/>
                <w:szCs w:val="21"/>
              </w:rPr>
            </w:pPr>
            <w:r>
              <w:rPr>
                <w:szCs w:val="21"/>
              </w:rPr>
              <w:t> </w:t>
            </w:r>
            <w:r>
              <w:rPr>
                <w:rFonts w:hint="eastAsia" w:asciiTheme="minorEastAsia" w:hAnsiTheme="minorEastAsia" w:cstheme="minorEastAsia"/>
                <w:szCs w:val="21"/>
              </w:rPr>
              <w:t>项目全部货物服务交付并安装调试至正常运行，经采购人最终验收合格后，中标人开具增值税专用发票给采购人，采购人在收到发票后10个工作日内一次性支付100%合同货款。</w:t>
            </w:r>
          </w:p>
        </w:tc>
      </w:tr>
      <w:tr w14:paraId="57DE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shd w:val="clear" w:color="auto" w:fill="auto"/>
            <w:vAlign w:val="center"/>
          </w:tcPr>
          <w:p w14:paraId="1C7B45D7">
            <w:pPr>
              <w:widowControl/>
              <w:snapToGrid w:val="0"/>
              <w:spacing w:line="400" w:lineRule="exact"/>
              <w:jc w:val="center"/>
              <w:textAlignment w:val="center"/>
              <w:rPr>
                <w:rFonts w:asciiTheme="minorEastAsia" w:hAnsiTheme="minorEastAsia" w:eastAsiaTheme="minorEastAsia" w:cstheme="minorEastAsia"/>
                <w:kern w:val="2"/>
                <w:sz w:val="21"/>
                <w:szCs w:val="21"/>
              </w:rPr>
            </w:pPr>
            <w:r>
              <w:rPr>
                <w:rStyle w:val="11"/>
                <w:rFonts w:hint="default" w:asciiTheme="minorEastAsia" w:hAnsiTheme="minorEastAsia" w:eastAsiaTheme="minorEastAsia" w:cstheme="minorEastAsia"/>
                <w:color w:val="auto"/>
                <w:sz w:val="21"/>
                <w:szCs w:val="21"/>
              </w:rPr>
              <w:t>验收要求</w:t>
            </w:r>
          </w:p>
        </w:tc>
        <w:tc>
          <w:tcPr>
            <w:tcW w:w="11366" w:type="dxa"/>
            <w:shd w:val="clear" w:color="auto" w:fill="auto"/>
            <w:vAlign w:val="center"/>
          </w:tcPr>
          <w:p w14:paraId="0FF02350">
            <w:pPr>
              <w:widowControl/>
              <w:snapToGrid w:val="0"/>
              <w:spacing w:line="400" w:lineRule="exact"/>
              <w:ind w:firstLine="420" w:firstLineChars="200"/>
              <w:jc w:val="left"/>
              <w:textAlignment w:val="center"/>
              <w:rPr>
                <w:rFonts w:asciiTheme="minorEastAsia" w:hAnsiTheme="minorEastAsia" w:cstheme="minorEastAsia"/>
                <w:szCs w:val="21"/>
              </w:rPr>
            </w:pPr>
            <w:r>
              <w:rPr>
                <w:rFonts w:hint="eastAsia" w:asciiTheme="minorEastAsia" w:hAnsiTheme="minorEastAsia" w:eastAsiaTheme="minorEastAsia" w:cstheme="minorEastAsia"/>
                <w:sz w:val="21"/>
                <w:szCs w:val="21"/>
              </w:rPr>
              <w:t>1、</w:t>
            </w:r>
            <w:r>
              <w:rPr>
                <w:rFonts w:hint="eastAsia" w:asciiTheme="minorEastAsia" w:hAnsiTheme="minorEastAsia" w:cstheme="minorEastAsia"/>
                <w:szCs w:val="21"/>
              </w:rPr>
              <w:t xml:space="preserve">验收标准：按合同要求及国家标准进行验收。验收时，采购人将严格按照合同要求及国家标准进行验收，对照采购文件的功能目标及技术指标全面核对检验，对所有要求出具的证明文件的原件进行核查（如有）。如交付产品不能满足采购要求和合同约定质量标准的视为验收不合格，按相关规定做退货处理及违约处理，成交供应商承担所有责任和费用，采购人保留进一步追究责任的权利。 </w:t>
            </w:r>
          </w:p>
          <w:p w14:paraId="11B0A999">
            <w:pPr>
              <w:widowControl/>
              <w:snapToGrid w:val="0"/>
              <w:spacing w:line="400" w:lineRule="exact"/>
              <w:ind w:firstLine="480" w:firstLineChars="200"/>
              <w:jc w:val="left"/>
              <w:textAlignment w:val="center"/>
              <w:rPr>
                <w:rFonts w:asciiTheme="minorEastAsia" w:hAnsiTheme="minorEastAsia" w:cstheme="minorEastAsia"/>
                <w:szCs w:val="21"/>
              </w:rPr>
            </w:pPr>
            <w:r>
              <w:rPr>
                <w:rFonts w:hint="eastAsia" w:asciiTheme="minorEastAsia" w:hAnsiTheme="minorEastAsia" w:cstheme="minorEastAsia"/>
                <w:szCs w:val="21"/>
              </w:rPr>
              <w:t>2、供应商完成设备安装与调试后，需对拟交付的合同成果及其组件进行自检并提出书面验收申请，经采购人同意后共同组织验收，签写相应验收意见并签名确认。如对验收存在异议的，可聘请第三方按合同约定组织验收，所有费用由成交供应商负责。</w:t>
            </w:r>
          </w:p>
          <w:p w14:paraId="3DB79AD7">
            <w:pPr>
              <w:widowControl/>
              <w:snapToGrid w:val="0"/>
              <w:spacing w:line="400" w:lineRule="exact"/>
              <w:ind w:firstLine="480" w:firstLineChars="200"/>
              <w:jc w:val="left"/>
              <w:textAlignment w:val="center"/>
              <w:rPr>
                <w:rFonts w:asciiTheme="minorEastAsia" w:hAnsiTheme="minorEastAsia" w:cstheme="minorEastAsia"/>
                <w:szCs w:val="21"/>
              </w:rPr>
            </w:pPr>
            <w:r>
              <w:rPr>
                <w:rFonts w:hint="eastAsia" w:asciiTheme="minorEastAsia" w:hAnsiTheme="minorEastAsia" w:cstheme="minorEastAsia"/>
                <w:szCs w:val="21"/>
              </w:rPr>
              <w:t>3、货物（设备）验收合格，项目约定产品或服务方可正式交接，双方对相关货物清单、随机附件及验收结论意见书等书面材料进行清点签字后，作为项目的最终验收。</w:t>
            </w:r>
          </w:p>
          <w:p w14:paraId="012C4865">
            <w:pPr>
              <w:widowControl/>
              <w:snapToGrid w:val="0"/>
              <w:spacing w:line="400" w:lineRule="exact"/>
              <w:ind w:firstLine="480" w:firstLineChars="200"/>
              <w:jc w:val="left"/>
              <w:textAlignment w:val="center"/>
              <w:rPr>
                <w:rFonts w:asciiTheme="minorEastAsia" w:hAnsiTheme="minorEastAsia" w:eastAsiaTheme="minorEastAsia" w:cstheme="minorEastAsia"/>
                <w:sz w:val="21"/>
                <w:szCs w:val="21"/>
              </w:rPr>
            </w:pPr>
            <w:r>
              <w:rPr>
                <w:rFonts w:hint="eastAsia" w:asciiTheme="minorEastAsia" w:hAnsiTheme="minorEastAsia" w:cstheme="minorEastAsia"/>
                <w:szCs w:val="21"/>
              </w:rPr>
              <w:t>4、验收费用：验收所产生的劳务费、检验费及相关发生的全部费用均由成交人承担。</w:t>
            </w:r>
          </w:p>
        </w:tc>
      </w:tr>
      <w:tr w14:paraId="053D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453B0DC">
            <w:pPr>
              <w:widowControl/>
              <w:snapToGrid w:val="0"/>
              <w:spacing w:line="400" w:lineRule="exact"/>
              <w:jc w:val="center"/>
              <w:textAlignment w:val="center"/>
              <w:rPr>
                <w:rFonts w:asciiTheme="minorEastAsia" w:hAnsiTheme="minorEastAsia" w:eastAsiaTheme="minorEastAsia" w:cstheme="minorEastAsia"/>
                <w:kern w:val="2"/>
                <w:sz w:val="21"/>
                <w:szCs w:val="21"/>
              </w:rPr>
            </w:pPr>
            <w:r>
              <w:rPr>
                <w:rFonts w:hint="eastAsia" w:asciiTheme="minorEastAsia" w:hAnsiTheme="minorEastAsia" w:cstheme="minorEastAsia"/>
                <w:szCs w:val="21"/>
              </w:rPr>
              <w:t>其他要求</w:t>
            </w:r>
          </w:p>
        </w:tc>
        <w:tc>
          <w:tcPr>
            <w:tcW w:w="0" w:type="auto"/>
            <w:shd w:val="clear" w:color="auto" w:fill="auto"/>
            <w:vAlign w:val="center"/>
          </w:tcPr>
          <w:p w14:paraId="2DECFE4D">
            <w:pPr>
              <w:widowControl w:val="0"/>
              <w:spacing w:line="400" w:lineRule="exact"/>
              <w:ind w:firstLine="480" w:firstLineChars="200"/>
              <w:jc w:val="both"/>
              <w:rPr>
                <w:szCs w:val="21"/>
              </w:rPr>
            </w:pPr>
            <w:r>
              <w:rPr>
                <w:rFonts w:hint="eastAsia"/>
                <w:szCs w:val="21"/>
              </w:rPr>
              <w:t>1、供应商必须实质性响应本项目标注“★”的技术参数要求，不允许负偏离</w:t>
            </w:r>
            <w:r>
              <w:rPr>
                <w:rFonts w:hint="eastAsia" w:ascii="Arial" w:hAnsi="Arial" w:cs="Arial"/>
                <w:szCs w:val="21"/>
                <w:lang w:val="zh-CN"/>
              </w:rPr>
              <w:t>。</w:t>
            </w:r>
            <w:r>
              <w:rPr>
                <w:rFonts w:hint="eastAsia"/>
                <w:szCs w:val="21"/>
              </w:rPr>
              <w:t>投标时，供应商所投产品须满足或优于技术参数配置要求【需提供《商务、技术响应、偏离情况说明表》（格式自拟）、《竞标报价表》和投标产品的《技术参数配置清单》（格式见附件）及检测报告复印件等相关佐证材料，以上材料加盖供应商公章】， 否则视为无效响应。</w:t>
            </w:r>
          </w:p>
          <w:p w14:paraId="62E83ED4">
            <w:pPr>
              <w:widowControl w:val="0"/>
              <w:autoSpaceDE w:val="0"/>
              <w:autoSpaceDN w:val="0"/>
              <w:adjustRightInd w:val="0"/>
              <w:spacing w:line="400" w:lineRule="exact"/>
              <w:ind w:firstLine="480" w:firstLineChars="200"/>
              <w:jc w:val="both"/>
              <w:rPr>
                <w:szCs w:val="21"/>
              </w:rPr>
            </w:pPr>
            <w:r>
              <w:rPr>
                <w:rFonts w:hint="eastAsia"/>
                <w:szCs w:val="21"/>
              </w:rPr>
              <w:t>2、根据《财政部 发展改革委 生态环境部 市场监管总局关于调整优化节能产品、环境标志产品政府采购执行机制的通知》（财库〔2019〕9 号）和《关于印发节能产品政府采购品目清单的通知》（财库〔2019〕19 号）的规定，本项目采购的产品如属于节能产品政府采购品目清单内标注“▲”的产品的，供应商的竞标货物必须使用政府强制采购的节能产品，竞标时须提供国家确定的认证机构出具的、处于有效期之内的有效的节能产品、环保产品认证证书复印件并加盖供应商公章，否则响应文件作无效竞标处理。</w:t>
            </w:r>
          </w:p>
          <w:p w14:paraId="10A40CF0">
            <w:pPr>
              <w:widowControl w:val="0"/>
              <w:autoSpaceDE w:val="0"/>
              <w:autoSpaceDN w:val="0"/>
              <w:adjustRightInd w:val="0"/>
              <w:spacing w:line="400" w:lineRule="exact"/>
              <w:ind w:firstLine="480" w:firstLineChars="200"/>
              <w:jc w:val="both"/>
            </w:pPr>
            <w:r>
              <w:rPr>
                <w:rFonts w:hint="eastAsia"/>
                <w:szCs w:val="21"/>
              </w:rPr>
              <w:t>3、供应商在参与竞标报价前需仔细阅读项目采购的技术及商务要求，评估自身履约能力，谢绝恶意低价、不按要求报价、中标后无故放弃、不按合同履行等违约行为。对出现此类行为的成交供应商，将根据在线竞价违约处理规则，依法依规提请政采云平台进行处罚，并保留依法追究违约责任的权利，供应商的违约行为列入不良记录记入政府采购诚信档案。采购单位有权将在线询价单中的商务要求列入合同条款，否则有权拒签合同。</w:t>
            </w:r>
          </w:p>
        </w:tc>
      </w:tr>
    </w:tbl>
    <w:p w14:paraId="75B81AD4">
      <w:pPr>
        <w:pStyle w:val="2"/>
        <w:ind w:firstLine="0"/>
      </w:pPr>
    </w:p>
    <w:p w14:paraId="6A999982">
      <w:pPr>
        <w:pStyle w:val="2"/>
        <w:ind w:firstLine="0"/>
      </w:pPr>
    </w:p>
    <w:p w14:paraId="6EAD533A">
      <w:pPr>
        <w:pStyle w:val="2"/>
        <w:ind w:firstLine="0"/>
      </w:pPr>
    </w:p>
    <w:p w14:paraId="14B4D301">
      <w:pPr>
        <w:pStyle w:val="2"/>
        <w:ind w:firstLine="0"/>
      </w:pPr>
    </w:p>
    <w:p w14:paraId="70B95C1C">
      <w:pPr>
        <w:pStyle w:val="2"/>
        <w:ind w:firstLine="0"/>
      </w:pPr>
    </w:p>
    <w:p w14:paraId="0483044D">
      <w:pPr>
        <w:pStyle w:val="2"/>
        <w:ind w:firstLine="0"/>
      </w:pPr>
    </w:p>
    <w:p w14:paraId="0DDAF890">
      <w:pPr>
        <w:pStyle w:val="2"/>
        <w:ind w:firstLine="0"/>
      </w:pPr>
    </w:p>
    <w:p w14:paraId="3615FAAD">
      <w:pPr>
        <w:pStyle w:val="2"/>
        <w:ind w:firstLine="0"/>
      </w:pPr>
    </w:p>
    <w:p w14:paraId="4550EB44">
      <w:pPr>
        <w:pStyle w:val="2"/>
        <w:ind w:firstLine="0"/>
      </w:pPr>
    </w:p>
    <w:p w14:paraId="0E2AB141">
      <w:pPr>
        <w:pStyle w:val="2"/>
        <w:ind w:firstLine="0"/>
      </w:pPr>
    </w:p>
    <w:p w14:paraId="53AFB74C">
      <w:pPr>
        <w:pStyle w:val="2"/>
        <w:ind w:firstLine="0"/>
      </w:pPr>
    </w:p>
    <w:p w14:paraId="4E00F840">
      <w:pPr>
        <w:pStyle w:val="2"/>
        <w:ind w:firstLine="0"/>
      </w:pPr>
    </w:p>
    <w:p w14:paraId="640656EE">
      <w:pPr>
        <w:pStyle w:val="2"/>
        <w:ind w:firstLine="0"/>
      </w:pPr>
    </w:p>
    <w:p w14:paraId="52787E28">
      <w:pPr>
        <w:pStyle w:val="2"/>
        <w:ind w:firstLine="0"/>
      </w:pPr>
    </w:p>
    <w:p w14:paraId="45E698B1">
      <w:pPr>
        <w:pStyle w:val="2"/>
        <w:ind w:firstLine="0"/>
      </w:pPr>
    </w:p>
    <w:p w14:paraId="5D409616">
      <w:pPr>
        <w:pStyle w:val="2"/>
        <w:ind w:firstLine="0"/>
      </w:pPr>
    </w:p>
    <w:p w14:paraId="680EC4EE">
      <w:r>
        <w:rPr>
          <w:rFonts w:hint="eastAsia"/>
        </w:rPr>
        <w:t>附件</w:t>
      </w:r>
    </w:p>
    <w:p w14:paraId="06DC694F">
      <w:pPr>
        <w:tabs>
          <w:tab w:val="left" w:pos="3479"/>
        </w:tabs>
        <w:spacing w:line="520" w:lineRule="exact"/>
        <w:jc w:val="center"/>
        <w:rPr>
          <w:rFonts w:asciiTheme="minorEastAsia" w:hAnsiTheme="minorEastAsia" w:cstheme="minorEastAsia"/>
          <w:b/>
          <w:sz w:val="32"/>
          <w:szCs w:val="32"/>
        </w:rPr>
      </w:pPr>
      <w:r>
        <w:rPr>
          <w:rFonts w:hint="eastAsia" w:asciiTheme="minorEastAsia" w:hAnsiTheme="minorEastAsia" w:cstheme="minorEastAsia"/>
          <w:b/>
          <w:sz w:val="44"/>
          <w:szCs w:val="44"/>
        </w:rPr>
        <w:t>竞  标  报  价  表</w:t>
      </w:r>
    </w:p>
    <w:p w14:paraId="6EECD34C">
      <w:pPr>
        <w:spacing w:line="520" w:lineRule="exact"/>
        <w:jc w:val="center"/>
        <w:rPr>
          <w:rFonts w:ascii="方正小标宋简体" w:hAnsi="方正小标宋简体" w:eastAsia="方正小标宋简体" w:cs="方正小标宋简体"/>
          <w:bCs/>
          <w:sz w:val="32"/>
          <w:szCs w:val="32"/>
        </w:rPr>
      </w:pPr>
    </w:p>
    <w:p w14:paraId="17D92912">
      <w:pPr>
        <w:snapToGrid w:val="0"/>
        <w:spacing w:line="360" w:lineRule="auto"/>
        <w:rPr>
          <w:rFonts w:cs="仿宋_GB2312"/>
        </w:rPr>
      </w:pPr>
      <w:r>
        <w:rPr>
          <w:rFonts w:hint="eastAsia" w:cs="仿宋_GB2312"/>
        </w:rPr>
        <w:t>项目名称：                                                                                    单位：元</w:t>
      </w:r>
    </w:p>
    <w:tbl>
      <w:tblPr>
        <w:tblStyle w:val="8"/>
        <w:tblW w:w="1451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8"/>
        <w:gridCol w:w="4343"/>
        <w:gridCol w:w="2865"/>
        <w:gridCol w:w="1050"/>
        <w:gridCol w:w="1590"/>
        <w:gridCol w:w="1445"/>
        <w:gridCol w:w="2383"/>
      </w:tblGrid>
      <w:tr w14:paraId="10A499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838" w:type="dxa"/>
            <w:tcBorders>
              <w:top w:val="single" w:color="auto" w:sz="4" w:space="0"/>
              <w:left w:val="single" w:color="auto" w:sz="4" w:space="0"/>
              <w:bottom w:val="single" w:color="auto" w:sz="4" w:space="0"/>
              <w:right w:val="single" w:color="auto" w:sz="4" w:space="0"/>
            </w:tcBorders>
            <w:vAlign w:val="center"/>
          </w:tcPr>
          <w:p w14:paraId="3F036E6B">
            <w:pPr>
              <w:spacing w:line="360" w:lineRule="exact"/>
              <w:jc w:val="center"/>
              <w:rPr>
                <w:rFonts w:cs="仿宋_GB2312"/>
                <w:b/>
                <w:bCs/>
                <w:szCs w:val="21"/>
              </w:rPr>
            </w:pPr>
            <w:r>
              <w:rPr>
                <w:rFonts w:hint="eastAsia" w:cs="仿宋_GB2312"/>
                <w:b/>
                <w:bCs/>
                <w:szCs w:val="21"/>
              </w:rPr>
              <w:t>项号</w:t>
            </w:r>
          </w:p>
        </w:tc>
        <w:tc>
          <w:tcPr>
            <w:tcW w:w="4343" w:type="dxa"/>
            <w:tcBorders>
              <w:top w:val="single" w:color="auto" w:sz="4" w:space="0"/>
              <w:left w:val="single" w:color="auto" w:sz="4" w:space="0"/>
              <w:bottom w:val="single" w:color="auto" w:sz="4" w:space="0"/>
              <w:right w:val="single" w:color="auto" w:sz="4" w:space="0"/>
            </w:tcBorders>
            <w:vAlign w:val="center"/>
          </w:tcPr>
          <w:p w14:paraId="2790F9ED">
            <w:pPr>
              <w:spacing w:line="360" w:lineRule="exact"/>
              <w:jc w:val="center"/>
              <w:rPr>
                <w:rFonts w:cs="仿宋_GB2312"/>
                <w:b/>
                <w:bCs/>
                <w:szCs w:val="21"/>
              </w:rPr>
            </w:pPr>
            <w:r>
              <w:rPr>
                <w:rFonts w:hint="eastAsia" w:cs="仿宋_GB2312"/>
                <w:b/>
                <w:bCs/>
                <w:szCs w:val="21"/>
              </w:rPr>
              <w:t>货物名称</w:t>
            </w:r>
          </w:p>
        </w:tc>
        <w:tc>
          <w:tcPr>
            <w:tcW w:w="2865" w:type="dxa"/>
            <w:tcBorders>
              <w:top w:val="single" w:color="auto" w:sz="4" w:space="0"/>
              <w:left w:val="single" w:color="auto" w:sz="4" w:space="0"/>
              <w:bottom w:val="single" w:color="auto" w:sz="4" w:space="0"/>
              <w:right w:val="single" w:color="auto" w:sz="4" w:space="0"/>
            </w:tcBorders>
            <w:vAlign w:val="center"/>
          </w:tcPr>
          <w:p w14:paraId="29A4D041">
            <w:pPr>
              <w:spacing w:line="360" w:lineRule="exact"/>
              <w:jc w:val="center"/>
              <w:rPr>
                <w:rFonts w:cs="仿宋_GB2312"/>
                <w:b/>
                <w:bCs/>
                <w:szCs w:val="21"/>
              </w:rPr>
            </w:pPr>
            <w:r>
              <w:rPr>
                <w:rFonts w:hint="eastAsia" w:cs="仿宋_GB2312"/>
                <w:b/>
                <w:bCs/>
                <w:szCs w:val="21"/>
              </w:rPr>
              <w:t>品牌</w:t>
            </w:r>
          </w:p>
        </w:tc>
        <w:tc>
          <w:tcPr>
            <w:tcW w:w="1050" w:type="dxa"/>
            <w:tcBorders>
              <w:top w:val="single" w:color="auto" w:sz="4" w:space="0"/>
              <w:left w:val="single" w:color="auto" w:sz="4" w:space="0"/>
              <w:bottom w:val="single" w:color="auto" w:sz="4" w:space="0"/>
              <w:right w:val="single" w:color="auto" w:sz="4" w:space="0"/>
            </w:tcBorders>
            <w:vAlign w:val="center"/>
          </w:tcPr>
          <w:p w14:paraId="4B5E54AC">
            <w:pPr>
              <w:spacing w:line="360" w:lineRule="exact"/>
              <w:jc w:val="center"/>
              <w:rPr>
                <w:rFonts w:cs="仿宋_GB2312"/>
                <w:b/>
                <w:bCs/>
                <w:szCs w:val="21"/>
              </w:rPr>
            </w:pPr>
            <w:r>
              <w:rPr>
                <w:rFonts w:hint="eastAsia" w:cs="仿宋_GB2312"/>
                <w:b/>
                <w:bCs/>
                <w:szCs w:val="21"/>
              </w:rPr>
              <w:t>单位</w:t>
            </w:r>
          </w:p>
        </w:tc>
        <w:tc>
          <w:tcPr>
            <w:tcW w:w="1590" w:type="dxa"/>
            <w:tcBorders>
              <w:top w:val="single" w:color="auto" w:sz="4" w:space="0"/>
              <w:left w:val="single" w:color="auto" w:sz="4" w:space="0"/>
              <w:bottom w:val="single" w:color="auto" w:sz="4" w:space="0"/>
              <w:right w:val="single" w:color="auto" w:sz="4" w:space="0"/>
            </w:tcBorders>
            <w:vAlign w:val="center"/>
          </w:tcPr>
          <w:p w14:paraId="02B1682A">
            <w:pPr>
              <w:spacing w:line="360" w:lineRule="exact"/>
              <w:jc w:val="center"/>
              <w:rPr>
                <w:rFonts w:cs="仿宋_GB2312"/>
                <w:b/>
                <w:bCs/>
                <w:szCs w:val="21"/>
              </w:rPr>
            </w:pPr>
            <w:r>
              <w:rPr>
                <w:rFonts w:hint="eastAsia" w:cs="仿宋_GB2312"/>
                <w:b/>
                <w:bCs/>
                <w:szCs w:val="21"/>
              </w:rPr>
              <w:t>数量</w:t>
            </w:r>
          </w:p>
          <w:p w14:paraId="67D2BF0E">
            <w:pPr>
              <w:spacing w:line="360" w:lineRule="exact"/>
              <w:jc w:val="center"/>
              <w:rPr>
                <w:rFonts w:cs="仿宋_GB2312"/>
                <w:b/>
                <w:bCs/>
                <w:szCs w:val="21"/>
              </w:rPr>
            </w:pPr>
            <w:r>
              <w:rPr>
                <w:rFonts w:hint="eastAsia" w:cs="仿宋_GB2312"/>
                <w:b/>
                <w:bCs/>
                <w:szCs w:val="21"/>
              </w:rPr>
              <w:t>①</w:t>
            </w:r>
          </w:p>
        </w:tc>
        <w:tc>
          <w:tcPr>
            <w:tcW w:w="1445" w:type="dxa"/>
            <w:tcBorders>
              <w:top w:val="single" w:color="auto" w:sz="4" w:space="0"/>
              <w:left w:val="single" w:color="auto" w:sz="4" w:space="0"/>
              <w:bottom w:val="single" w:color="auto" w:sz="4" w:space="0"/>
              <w:right w:val="single" w:color="auto" w:sz="4" w:space="0"/>
            </w:tcBorders>
            <w:vAlign w:val="center"/>
          </w:tcPr>
          <w:p w14:paraId="13692412">
            <w:pPr>
              <w:spacing w:line="360" w:lineRule="exact"/>
              <w:jc w:val="center"/>
              <w:rPr>
                <w:rFonts w:cs="仿宋_GB2312"/>
                <w:b/>
                <w:bCs/>
                <w:szCs w:val="21"/>
              </w:rPr>
            </w:pPr>
            <w:r>
              <w:rPr>
                <w:rFonts w:hint="eastAsia" w:cs="仿宋_GB2312"/>
                <w:b/>
                <w:bCs/>
                <w:szCs w:val="21"/>
              </w:rPr>
              <w:t>单价</w:t>
            </w:r>
          </w:p>
          <w:p w14:paraId="603E18D5">
            <w:pPr>
              <w:spacing w:line="360" w:lineRule="exact"/>
              <w:jc w:val="center"/>
              <w:rPr>
                <w:rFonts w:cs="仿宋_GB2312"/>
                <w:b/>
                <w:bCs/>
                <w:szCs w:val="21"/>
              </w:rPr>
            </w:pPr>
            <w:r>
              <w:rPr>
                <w:rFonts w:hint="eastAsia" w:cs="仿宋_GB2312"/>
                <w:b/>
                <w:bCs/>
                <w:szCs w:val="21"/>
              </w:rPr>
              <w:t>②</w:t>
            </w:r>
          </w:p>
        </w:tc>
        <w:tc>
          <w:tcPr>
            <w:tcW w:w="2383" w:type="dxa"/>
            <w:tcBorders>
              <w:top w:val="single" w:color="auto" w:sz="4" w:space="0"/>
              <w:left w:val="single" w:color="auto" w:sz="4" w:space="0"/>
              <w:bottom w:val="single" w:color="auto" w:sz="4" w:space="0"/>
              <w:right w:val="single" w:color="auto" w:sz="4" w:space="0"/>
            </w:tcBorders>
            <w:vAlign w:val="center"/>
          </w:tcPr>
          <w:p w14:paraId="29FD4676">
            <w:pPr>
              <w:spacing w:line="360" w:lineRule="exact"/>
              <w:jc w:val="center"/>
              <w:rPr>
                <w:rFonts w:cs="仿宋_GB2312"/>
                <w:b/>
                <w:bCs/>
                <w:szCs w:val="21"/>
              </w:rPr>
            </w:pPr>
            <w:r>
              <w:rPr>
                <w:rFonts w:hint="eastAsia" w:cs="仿宋_GB2312"/>
                <w:b/>
                <w:bCs/>
                <w:szCs w:val="21"/>
              </w:rPr>
              <w:t>竞标报价</w:t>
            </w:r>
          </w:p>
          <w:p w14:paraId="13B19E5B">
            <w:pPr>
              <w:spacing w:line="360" w:lineRule="exact"/>
              <w:jc w:val="center"/>
              <w:rPr>
                <w:rFonts w:cs="仿宋_GB2312"/>
                <w:b/>
                <w:bCs/>
                <w:szCs w:val="21"/>
              </w:rPr>
            </w:pPr>
            <w:r>
              <w:rPr>
                <w:rFonts w:hint="eastAsia" w:cs="仿宋_GB2312"/>
                <w:b/>
                <w:bCs/>
                <w:szCs w:val="21"/>
              </w:rPr>
              <w:t>③=①×②</w:t>
            </w:r>
          </w:p>
        </w:tc>
      </w:tr>
      <w:tr w14:paraId="555A48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3" w:hRule="atLeast"/>
        </w:trPr>
        <w:tc>
          <w:tcPr>
            <w:tcW w:w="838" w:type="dxa"/>
            <w:tcBorders>
              <w:top w:val="single" w:color="auto" w:sz="4" w:space="0"/>
              <w:left w:val="single" w:color="auto" w:sz="4" w:space="0"/>
              <w:bottom w:val="single" w:color="auto" w:sz="4" w:space="0"/>
              <w:right w:val="single" w:color="auto" w:sz="4" w:space="0"/>
            </w:tcBorders>
            <w:vAlign w:val="center"/>
          </w:tcPr>
          <w:p w14:paraId="469F7CA9">
            <w:pPr>
              <w:spacing w:line="360" w:lineRule="auto"/>
              <w:jc w:val="center"/>
              <w:rPr>
                <w:rFonts w:cs="仿宋_GB2312"/>
                <w:szCs w:val="21"/>
              </w:rPr>
            </w:pPr>
            <w:r>
              <w:rPr>
                <w:rFonts w:hint="eastAsia" w:cs="仿宋_GB2312"/>
                <w:szCs w:val="21"/>
              </w:rPr>
              <w:t>1</w:t>
            </w:r>
          </w:p>
        </w:tc>
        <w:tc>
          <w:tcPr>
            <w:tcW w:w="4343" w:type="dxa"/>
            <w:tcBorders>
              <w:top w:val="single" w:color="auto" w:sz="4" w:space="0"/>
              <w:left w:val="single" w:color="auto" w:sz="4" w:space="0"/>
              <w:bottom w:val="single" w:color="auto" w:sz="4" w:space="0"/>
              <w:right w:val="single" w:color="auto" w:sz="4" w:space="0"/>
            </w:tcBorders>
            <w:vAlign w:val="center"/>
          </w:tcPr>
          <w:p w14:paraId="50EA11F0">
            <w:pPr>
              <w:spacing w:line="360" w:lineRule="auto"/>
              <w:jc w:val="center"/>
              <w:rPr>
                <w:rFonts w:cs="仿宋_GB2312"/>
                <w:szCs w:val="21"/>
              </w:rPr>
            </w:pPr>
          </w:p>
        </w:tc>
        <w:tc>
          <w:tcPr>
            <w:tcW w:w="2865" w:type="dxa"/>
            <w:tcBorders>
              <w:top w:val="single" w:color="auto" w:sz="4" w:space="0"/>
              <w:left w:val="single" w:color="auto" w:sz="4" w:space="0"/>
              <w:bottom w:val="single" w:color="auto" w:sz="4" w:space="0"/>
              <w:right w:val="single" w:color="auto" w:sz="4" w:space="0"/>
            </w:tcBorders>
            <w:vAlign w:val="center"/>
          </w:tcPr>
          <w:p w14:paraId="5BDCA3EA">
            <w:pPr>
              <w:spacing w:line="360" w:lineRule="auto"/>
              <w:jc w:val="center"/>
              <w:rPr>
                <w:rFonts w:cs="仿宋_GB2312"/>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51ECD027">
            <w:pPr>
              <w:spacing w:line="360" w:lineRule="exact"/>
              <w:jc w:val="center"/>
              <w:rPr>
                <w:rFonts w:cs="仿宋_GB2312"/>
                <w:b/>
                <w:bCs/>
                <w:szCs w:val="21"/>
              </w:rPr>
            </w:pPr>
          </w:p>
        </w:tc>
        <w:tc>
          <w:tcPr>
            <w:tcW w:w="1590" w:type="dxa"/>
            <w:tcBorders>
              <w:top w:val="single" w:color="auto" w:sz="4" w:space="0"/>
              <w:left w:val="single" w:color="auto" w:sz="4" w:space="0"/>
              <w:bottom w:val="single" w:color="auto" w:sz="4" w:space="0"/>
              <w:right w:val="single" w:color="auto" w:sz="4" w:space="0"/>
            </w:tcBorders>
            <w:vAlign w:val="center"/>
          </w:tcPr>
          <w:p w14:paraId="261C4853">
            <w:pPr>
              <w:spacing w:line="360" w:lineRule="exact"/>
              <w:jc w:val="center"/>
              <w:rPr>
                <w:rFonts w:cs="仿宋_GB2312"/>
                <w:b/>
                <w:bCs/>
                <w:szCs w:val="21"/>
              </w:rPr>
            </w:pPr>
          </w:p>
        </w:tc>
        <w:tc>
          <w:tcPr>
            <w:tcW w:w="1445" w:type="dxa"/>
            <w:tcBorders>
              <w:top w:val="single" w:color="auto" w:sz="4" w:space="0"/>
              <w:left w:val="single" w:color="auto" w:sz="4" w:space="0"/>
              <w:bottom w:val="single" w:color="auto" w:sz="4" w:space="0"/>
              <w:right w:val="single" w:color="auto" w:sz="4" w:space="0"/>
            </w:tcBorders>
            <w:vAlign w:val="center"/>
          </w:tcPr>
          <w:p w14:paraId="42ED2B6A">
            <w:pPr>
              <w:spacing w:line="360" w:lineRule="auto"/>
              <w:jc w:val="center"/>
              <w:rPr>
                <w:rFonts w:cs="仿宋_GB2312"/>
                <w:szCs w:val="21"/>
              </w:rPr>
            </w:pPr>
          </w:p>
        </w:tc>
        <w:tc>
          <w:tcPr>
            <w:tcW w:w="2383" w:type="dxa"/>
            <w:tcBorders>
              <w:top w:val="single" w:color="auto" w:sz="4" w:space="0"/>
              <w:left w:val="single" w:color="auto" w:sz="4" w:space="0"/>
              <w:bottom w:val="single" w:color="auto" w:sz="4" w:space="0"/>
              <w:right w:val="single" w:color="auto" w:sz="4" w:space="0"/>
            </w:tcBorders>
            <w:vAlign w:val="center"/>
          </w:tcPr>
          <w:p w14:paraId="1710D41B">
            <w:pPr>
              <w:spacing w:line="360" w:lineRule="auto"/>
              <w:jc w:val="center"/>
              <w:rPr>
                <w:rFonts w:cs="仿宋_GB2312"/>
                <w:szCs w:val="21"/>
              </w:rPr>
            </w:pPr>
          </w:p>
        </w:tc>
      </w:tr>
      <w:tr w14:paraId="15B76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3" w:hRule="atLeast"/>
        </w:trPr>
        <w:tc>
          <w:tcPr>
            <w:tcW w:w="838" w:type="dxa"/>
            <w:tcBorders>
              <w:top w:val="single" w:color="auto" w:sz="4" w:space="0"/>
              <w:left w:val="single" w:color="auto" w:sz="4" w:space="0"/>
              <w:bottom w:val="single" w:color="auto" w:sz="4" w:space="0"/>
              <w:right w:val="single" w:color="auto" w:sz="4" w:space="0"/>
            </w:tcBorders>
            <w:vAlign w:val="center"/>
          </w:tcPr>
          <w:p w14:paraId="4CEAC77A">
            <w:pPr>
              <w:spacing w:line="360" w:lineRule="auto"/>
              <w:jc w:val="center"/>
              <w:rPr>
                <w:rFonts w:cs="仿宋_GB2312"/>
                <w:szCs w:val="21"/>
              </w:rPr>
            </w:pPr>
            <w:r>
              <w:rPr>
                <w:rFonts w:hint="eastAsia" w:cs="仿宋_GB2312"/>
                <w:szCs w:val="21"/>
              </w:rPr>
              <w:t>2</w:t>
            </w:r>
          </w:p>
        </w:tc>
        <w:tc>
          <w:tcPr>
            <w:tcW w:w="4343" w:type="dxa"/>
            <w:tcBorders>
              <w:top w:val="single" w:color="auto" w:sz="4" w:space="0"/>
              <w:left w:val="single" w:color="auto" w:sz="4" w:space="0"/>
              <w:bottom w:val="single" w:color="auto" w:sz="4" w:space="0"/>
              <w:right w:val="single" w:color="auto" w:sz="4" w:space="0"/>
            </w:tcBorders>
            <w:vAlign w:val="center"/>
          </w:tcPr>
          <w:p w14:paraId="3F77F097">
            <w:pPr>
              <w:spacing w:line="360" w:lineRule="auto"/>
              <w:jc w:val="center"/>
              <w:rPr>
                <w:rFonts w:cs="仿宋_GB2312"/>
                <w:szCs w:val="21"/>
              </w:rPr>
            </w:pPr>
          </w:p>
        </w:tc>
        <w:tc>
          <w:tcPr>
            <w:tcW w:w="2865" w:type="dxa"/>
            <w:tcBorders>
              <w:top w:val="single" w:color="auto" w:sz="4" w:space="0"/>
              <w:left w:val="single" w:color="auto" w:sz="4" w:space="0"/>
              <w:bottom w:val="single" w:color="auto" w:sz="4" w:space="0"/>
              <w:right w:val="single" w:color="auto" w:sz="4" w:space="0"/>
            </w:tcBorders>
            <w:vAlign w:val="center"/>
          </w:tcPr>
          <w:p w14:paraId="0806C7E8">
            <w:pPr>
              <w:spacing w:line="360" w:lineRule="auto"/>
              <w:jc w:val="center"/>
              <w:rPr>
                <w:rFonts w:cs="仿宋_GB2312"/>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2D67C947">
            <w:pPr>
              <w:spacing w:line="360" w:lineRule="exact"/>
              <w:jc w:val="center"/>
              <w:rPr>
                <w:rFonts w:cs="仿宋_GB2312"/>
                <w:b/>
                <w:bCs/>
                <w:szCs w:val="21"/>
              </w:rPr>
            </w:pPr>
          </w:p>
        </w:tc>
        <w:tc>
          <w:tcPr>
            <w:tcW w:w="1590" w:type="dxa"/>
            <w:tcBorders>
              <w:top w:val="single" w:color="auto" w:sz="4" w:space="0"/>
              <w:left w:val="single" w:color="auto" w:sz="4" w:space="0"/>
              <w:bottom w:val="single" w:color="auto" w:sz="4" w:space="0"/>
              <w:right w:val="single" w:color="auto" w:sz="4" w:space="0"/>
            </w:tcBorders>
            <w:vAlign w:val="center"/>
          </w:tcPr>
          <w:p w14:paraId="4137DD16">
            <w:pPr>
              <w:spacing w:line="360" w:lineRule="exact"/>
              <w:jc w:val="center"/>
              <w:rPr>
                <w:rFonts w:cs="仿宋_GB2312"/>
                <w:b/>
                <w:bCs/>
                <w:szCs w:val="21"/>
              </w:rPr>
            </w:pPr>
          </w:p>
        </w:tc>
        <w:tc>
          <w:tcPr>
            <w:tcW w:w="1445" w:type="dxa"/>
            <w:tcBorders>
              <w:top w:val="single" w:color="auto" w:sz="4" w:space="0"/>
              <w:left w:val="single" w:color="auto" w:sz="4" w:space="0"/>
              <w:bottom w:val="single" w:color="auto" w:sz="4" w:space="0"/>
              <w:right w:val="single" w:color="auto" w:sz="4" w:space="0"/>
            </w:tcBorders>
            <w:vAlign w:val="center"/>
          </w:tcPr>
          <w:p w14:paraId="3510F963">
            <w:pPr>
              <w:spacing w:line="360" w:lineRule="auto"/>
              <w:jc w:val="center"/>
              <w:rPr>
                <w:rFonts w:cs="仿宋_GB2312"/>
                <w:szCs w:val="21"/>
              </w:rPr>
            </w:pPr>
          </w:p>
        </w:tc>
        <w:tc>
          <w:tcPr>
            <w:tcW w:w="2383" w:type="dxa"/>
            <w:tcBorders>
              <w:top w:val="single" w:color="auto" w:sz="4" w:space="0"/>
              <w:left w:val="single" w:color="auto" w:sz="4" w:space="0"/>
              <w:bottom w:val="single" w:color="auto" w:sz="4" w:space="0"/>
              <w:right w:val="single" w:color="auto" w:sz="4" w:space="0"/>
            </w:tcBorders>
            <w:vAlign w:val="center"/>
          </w:tcPr>
          <w:p w14:paraId="39E29C7A">
            <w:pPr>
              <w:spacing w:line="360" w:lineRule="auto"/>
              <w:jc w:val="center"/>
              <w:rPr>
                <w:rFonts w:cs="仿宋_GB2312"/>
                <w:szCs w:val="21"/>
              </w:rPr>
            </w:pPr>
          </w:p>
        </w:tc>
      </w:tr>
      <w:tr w14:paraId="57140E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3" w:hRule="atLeast"/>
        </w:trPr>
        <w:tc>
          <w:tcPr>
            <w:tcW w:w="838" w:type="dxa"/>
            <w:tcBorders>
              <w:top w:val="single" w:color="auto" w:sz="4" w:space="0"/>
              <w:left w:val="single" w:color="auto" w:sz="4" w:space="0"/>
              <w:bottom w:val="single" w:color="auto" w:sz="4" w:space="0"/>
              <w:right w:val="single" w:color="auto" w:sz="4" w:space="0"/>
            </w:tcBorders>
            <w:vAlign w:val="center"/>
          </w:tcPr>
          <w:p w14:paraId="5F0BC29E">
            <w:pPr>
              <w:spacing w:line="360" w:lineRule="auto"/>
              <w:jc w:val="center"/>
              <w:rPr>
                <w:rFonts w:cs="仿宋_GB2312"/>
                <w:szCs w:val="21"/>
              </w:rPr>
            </w:pPr>
            <w:r>
              <w:rPr>
                <w:rFonts w:hint="eastAsia" w:cs="仿宋_GB2312"/>
                <w:szCs w:val="21"/>
              </w:rPr>
              <w:t>…</w:t>
            </w:r>
          </w:p>
        </w:tc>
        <w:tc>
          <w:tcPr>
            <w:tcW w:w="4343" w:type="dxa"/>
            <w:tcBorders>
              <w:top w:val="single" w:color="auto" w:sz="4" w:space="0"/>
              <w:left w:val="single" w:color="auto" w:sz="4" w:space="0"/>
              <w:bottom w:val="single" w:color="auto" w:sz="4" w:space="0"/>
              <w:right w:val="single" w:color="auto" w:sz="4" w:space="0"/>
            </w:tcBorders>
            <w:vAlign w:val="center"/>
          </w:tcPr>
          <w:p w14:paraId="2F0A3A9B">
            <w:pPr>
              <w:spacing w:line="360" w:lineRule="auto"/>
              <w:jc w:val="center"/>
              <w:rPr>
                <w:rFonts w:cs="仿宋_GB2312"/>
                <w:szCs w:val="21"/>
              </w:rPr>
            </w:pPr>
            <w:r>
              <w:rPr>
                <w:rFonts w:hint="eastAsia" w:cs="仿宋_GB2312"/>
                <w:szCs w:val="21"/>
              </w:rPr>
              <w:t>……</w:t>
            </w:r>
          </w:p>
        </w:tc>
        <w:tc>
          <w:tcPr>
            <w:tcW w:w="2865" w:type="dxa"/>
            <w:tcBorders>
              <w:top w:val="single" w:color="auto" w:sz="4" w:space="0"/>
              <w:left w:val="single" w:color="auto" w:sz="4" w:space="0"/>
              <w:bottom w:val="single" w:color="auto" w:sz="4" w:space="0"/>
              <w:right w:val="single" w:color="auto" w:sz="4" w:space="0"/>
            </w:tcBorders>
            <w:vAlign w:val="center"/>
          </w:tcPr>
          <w:p w14:paraId="1259CCF8">
            <w:pPr>
              <w:spacing w:line="360" w:lineRule="auto"/>
              <w:jc w:val="center"/>
              <w:rPr>
                <w:rFonts w:cs="仿宋_GB2312"/>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39C95CB3">
            <w:pPr>
              <w:spacing w:line="360" w:lineRule="exact"/>
              <w:jc w:val="center"/>
              <w:rPr>
                <w:rFonts w:cs="仿宋_GB2312"/>
                <w:b/>
                <w:bCs/>
                <w:szCs w:val="21"/>
              </w:rPr>
            </w:pPr>
          </w:p>
        </w:tc>
        <w:tc>
          <w:tcPr>
            <w:tcW w:w="1590" w:type="dxa"/>
            <w:tcBorders>
              <w:top w:val="single" w:color="auto" w:sz="4" w:space="0"/>
              <w:left w:val="single" w:color="auto" w:sz="4" w:space="0"/>
              <w:bottom w:val="single" w:color="auto" w:sz="4" w:space="0"/>
              <w:right w:val="single" w:color="auto" w:sz="4" w:space="0"/>
            </w:tcBorders>
            <w:vAlign w:val="center"/>
          </w:tcPr>
          <w:p w14:paraId="7E05C5BD">
            <w:pPr>
              <w:spacing w:line="360" w:lineRule="exact"/>
              <w:jc w:val="center"/>
              <w:rPr>
                <w:rFonts w:cs="仿宋_GB2312"/>
                <w:b/>
                <w:bCs/>
                <w:szCs w:val="21"/>
              </w:rPr>
            </w:pPr>
          </w:p>
        </w:tc>
        <w:tc>
          <w:tcPr>
            <w:tcW w:w="1445" w:type="dxa"/>
            <w:tcBorders>
              <w:top w:val="single" w:color="auto" w:sz="4" w:space="0"/>
              <w:left w:val="single" w:color="auto" w:sz="4" w:space="0"/>
              <w:bottom w:val="single" w:color="auto" w:sz="4" w:space="0"/>
              <w:right w:val="single" w:color="auto" w:sz="4" w:space="0"/>
            </w:tcBorders>
            <w:vAlign w:val="center"/>
          </w:tcPr>
          <w:p w14:paraId="2D318E0D">
            <w:pPr>
              <w:spacing w:line="360" w:lineRule="auto"/>
              <w:jc w:val="center"/>
              <w:rPr>
                <w:rFonts w:cs="仿宋_GB2312"/>
                <w:szCs w:val="21"/>
              </w:rPr>
            </w:pPr>
          </w:p>
        </w:tc>
        <w:tc>
          <w:tcPr>
            <w:tcW w:w="2383" w:type="dxa"/>
            <w:tcBorders>
              <w:top w:val="single" w:color="auto" w:sz="4" w:space="0"/>
              <w:left w:val="single" w:color="auto" w:sz="4" w:space="0"/>
              <w:bottom w:val="single" w:color="auto" w:sz="4" w:space="0"/>
              <w:right w:val="single" w:color="auto" w:sz="4" w:space="0"/>
            </w:tcBorders>
            <w:vAlign w:val="center"/>
          </w:tcPr>
          <w:p w14:paraId="40EFB389">
            <w:pPr>
              <w:spacing w:line="360" w:lineRule="auto"/>
              <w:jc w:val="center"/>
              <w:rPr>
                <w:rFonts w:cs="仿宋_GB2312"/>
                <w:szCs w:val="21"/>
              </w:rPr>
            </w:pPr>
          </w:p>
        </w:tc>
      </w:tr>
      <w:tr w14:paraId="25744D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3" w:hRule="atLeast"/>
        </w:trPr>
        <w:tc>
          <w:tcPr>
            <w:tcW w:w="838" w:type="dxa"/>
            <w:tcBorders>
              <w:top w:val="single" w:color="auto" w:sz="4" w:space="0"/>
              <w:left w:val="single" w:color="auto" w:sz="4" w:space="0"/>
              <w:bottom w:val="single" w:color="auto" w:sz="4" w:space="0"/>
              <w:right w:val="single" w:color="auto" w:sz="4" w:space="0"/>
            </w:tcBorders>
            <w:vAlign w:val="center"/>
          </w:tcPr>
          <w:p w14:paraId="4B845702">
            <w:pPr>
              <w:spacing w:line="360" w:lineRule="auto"/>
              <w:jc w:val="center"/>
              <w:rPr>
                <w:rFonts w:cs="仿宋_GB2312"/>
                <w:szCs w:val="21"/>
              </w:rPr>
            </w:pPr>
            <w:r>
              <w:rPr>
                <w:rFonts w:hint="eastAsia" w:cs="仿宋_GB2312"/>
                <w:szCs w:val="21"/>
              </w:rPr>
              <w:t>…</w:t>
            </w:r>
          </w:p>
        </w:tc>
        <w:tc>
          <w:tcPr>
            <w:tcW w:w="4343" w:type="dxa"/>
            <w:tcBorders>
              <w:top w:val="single" w:color="auto" w:sz="4" w:space="0"/>
              <w:left w:val="single" w:color="auto" w:sz="4" w:space="0"/>
              <w:bottom w:val="single" w:color="auto" w:sz="4" w:space="0"/>
              <w:right w:val="single" w:color="auto" w:sz="4" w:space="0"/>
            </w:tcBorders>
            <w:vAlign w:val="center"/>
          </w:tcPr>
          <w:p w14:paraId="133783B2">
            <w:pPr>
              <w:spacing w:line="360" w:lineRule="auto"/>
              <w:jc w:val="center"/>
              <w:rPr>
                <w:rFonts w:cs="仿宋_GB2312"/>
                <w:szCs w:val="21"/>
              </w:rPr>
            </w:pPr>
            <w:r>
              <w:rPr>
                <w:rFonts w:hint="eastAsia" w:cs="仿宋_GB2312"/>
                <w:szCs w:val="21"/>
              </w:rPr>
              <w:t>……</w:t>
            </w:r>
          </w:p>
        </w:tc>
        <w:tc>
          <w:tcPr>
            <w:tcW w:w="2865" w:type="dxa"/>
            <w:tcBorders>
              <w:top w:val="single" w:color="auto" w:sz="4" w:space="0"/>
              <w:left w:val="single" w:color="auto" w:sz="4" w:space="0"/>
              <w:bottom w:val="single" w:color="auto" w:sz="4" w:space="0"/>
              <w:right w:val="single" w:color="auto" w:sz="4" w:space="0"/>
            </w:tcBorders>
            <w:vAlign w:val="center"/>
          </w:tcPr>
          <w:p w14:paraId="1C9BA0AF">
            <w:pPr>
              <w:spacing w:line="360" w:lineRule="auto"/>
              <w:jc w:val="center"/>
              <w:rPr>
                <w:rFonts w:cs="仿宋_GB2312"/>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7BC3C0CD">
            <w:pPr>
              <w:spacing w:line="360" w:lineRule="exact"/>
              <w:jc w:val="center"/>
              <w:rPr>
                <w:rFonts w:cs="仿宋_GB2312"/>
                <w:b/>
                <w:bCs/>
                <w:szCs w:val="21"/>
              </w:rPr>
            </w:pPr>
          </w:p>
        </w:tc>
        <w:tc>
          <w:tcPr>
            <w:tcW w:w="1590" w:type="dxa"/>
            <w:tcBorders>
              <w:top w:val="single" w:color="auto" w:sz="4" w:space="0"/>
              <w:left w:val="single" w:color="auto" w:sz="4" w:space="0"/>
              <w:bottom w:val="single" w:color="auto" w:sz="4" w:space="0"/>
              <w:right w:val="single" w:color="auto" w:sz="4" w:space="0"/>
            </w:tcBorders>
            <w:vAlign w:val="center"/>
          </w:tcPr>
          <w:p w14:paraId="3422C6EF">
            <w:pPr>
              <w:spacing w:line="360" w:lineRule="exact"/>
              <w:jc w:val="center"/>
              <w:rPr>
                <w:rFonts w:cs="仿宋_GB2312"/>
                <w:b/>
                <w:bCs/>
                <w:szCs w:val="21"/>
              </w:rPr>
            </w:pPr>
          </w:p>
        </w:tc>
        <w:tc>
          <w:tcPr>
            <w:tcW w:w="1445" w:type="dxa"/>
            <w:tcBorders>
              <w:top w:val="single" w:color="auto" w:sz="4" w:space="0"/>
              <w:left w:val="single" w:color="auto" w:sz="4" w:space="0"/>
              <w:bottom w:val="single" w:color="auto" w:sz="4" w:space="0"/>
              <w:right w:val="single" w:color="auto" w:sz="4" w:space="0"/>
            </w:tcBorders>
            <w:vAlign w:val="center"/>
          </w:tcPr>
          <w:p w14:paraId="05882547">
            <w:pPr>
              <w:spacing w:line="360" w:lineRule="auto"/>
              <w:jc w:val="center"/>
              <w:rPr>
                <w:rFonts w:cs="仿宋_GB2312"/>
                <w:szCs w:val="21"/>
              </w:rPr>
            </w:pPr>
          </w:p>
        </w:tc>
        <w:tc>
          <w:tcPr>
            <w:tcW w:w="2383" w:type="dxa"/>
            <w:tcBorders>
              <w:top w:val="single" w:color="auto" w:sz="4" w:space="0"/>
              <w:left w:val="single" w:color="auto" w:sz="4" w:space="0"/>
              <w:bottom w:val="single" w:color="auto" w:sz="4" w:space="0"/>
              <w:right w:val="single" w:color="auto" w:sz="4" w:space="0"/>
            </w:tcBorders>
            <w:vAlign w:val="center"/>
          </w:tcPr>
          <w:p w14:paraId="183FAB0D">
            <w:pPr>
              <w:spacing w:line="360" w:lineRule="auto"/>
              <w:jc w:val="center"/>
              <w:rPr>
                <w:rFonts w:cs="仿宋_GB2312"/>
                <w:szCs w:val="21"/>
              </w:rPr>
            </w:pPr>
          </w:p>
        </w:tc>
      </w:tr>
      <w:tr w14:paraId="184C42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14514" w:type="dxa"/>
            <w:gridSpan w:val="7"/>
            <w:tcBorders>
              <w:top w:val="single" w:color="auto" w:sz="4" w:space="0"/>
              <w:left w:val="single" w:color="auto" w:sz="4" w:space="0"/>
              <w:bottom w:val="single" w:color="auto" w:sz="4" w:space="0"/>
              <w:right w:val="single" w:color="auto" w:sz="4" w:space="0"/>
            </w:tcBorders>
            <w:vAlign w:val="center"/>
          </w:tcPr>
          <w:p w14:paraId="49CDAC8E">
            <w:pPr>
              <w:snapToGrid w:val="0"/>
              <w:spacing w:line="360" w:lineRule="auto"/>
              <w:rPr>
                <w:rFonts w:cs="仿宋_GB2312"/>
                <w:szCs w:val="21"/>
                <w:u w:val="single"/>
              </w:rPr>
            </w:pPr>
            <w:r>
              <w:rPr>
                <w:rFonts w:hint="eastAsia" w:cs="仿宋_GB2312"/>
                <w:szCs w:val="21"/>
              </w:rPr>
              <w:t>合计金额大写：人民币      （</w:t>
            </w:r>
            <w:r>
              <w:rPr>
                <w:rFonts w:hint="eastAsia"/>
                <w:szCs w:val="21"/>
              </w:rPr>
              <w:t>￥</w:t>
            </w:r>
            <w:r>
              <w:rPr>
                <w:rFonts w:hint="eastAsia" w:cs="仿宋_GB2312"/>
                <w:szCs w:val="21"/>
              </w:rPr>
              <w:t>：   ）</w:t>
            </w:r>
          </w:p>
        </w:tc>
      </w:tr>
    </w:tbl>
    <w:p w14:paraId="0DA7744F">
      <w:pPr>
        <w:spacing w:line="360" w:lineRule="exact"/>
        <w:ind w:firstLine="480" w:firstLineChars="200"/>
        <w:contextualSpacing/>
        <w:rPr>
          <w:rFonts w:cs="Times New Roman"/>
          <w:szCs w:val="21"/>
        </w:rPr>
      </w:pPr>
      <w:r>
        <w:rPr>
          <w:rFonts w:hint="eastAsia" w:cs="Times New Roman"/>
          <w:szCs w:val="21"/>
        </w:rPr>
        <w:t>注: 1.所有价格均用人民币表示，单位为元，精确到小数点后两数位。</w:t>
      </w:r>
    </w:p>
    <w:p w14:paraId="30CCC1F5">
      <w:pPr>
        <w:spacing w:line="360" w:lineRule="exact"/>
        <w:ind w:firstLine="960" w:firstLineChars="400"/>
        <w:contextualSpacing/>
        <w:rPr>
          <w:rFonts w:cs="Times New Roman"/>
          <w:szCs w:val="21"/>
        </w:rPr>
      </w:pPr>
      <w:r>
        <w:rPr>
          <w:rFonts w:hint="eastAsia" w:cs="Times New Roman"/>
          <w:szCs w:val="21"/>
        </w:rPr>
        <w:t>2、供应商的报价表必须加盖供应商公章并由法定代表人或者委托代理人签字，否则其响应文件按无效响应处理。</w:t>
      </w:r>
    </w:p>
    <w:p w14:paraId="330D5F42">
      <w:pPr>
        <w:spacing w:line="360" w:lineRule="exact"/>
        <w:ind w:firstLine="960" w:firstLineChars="400"/>
        <w:contextualSpacing/>
        <w:rPr>
          <w:rFonts w:cs="Times New Roman"/>
          <w:szCs w:val="21"/>
        </w:rPr>
      </w:pPr>
      <w:r>
        <w:rPr>
          <w:rFonts w:hint="eastAsia" w:cs="Times New Roman"/>
          <w:szCs w:val="21"/>
        </w:rPr>
        <w:t>3、报价一经涂改，应在涂改处加盖供应商公章或者由法定代表人或者授权委托人签字或者盖章，否则其响应文件按无效响应处理。</w:t>
      </w:r>
    </w:p>
    <w:p w14:paraId="011ED369">
      <w:pPr>
        <w:spacing w:line="360" w:lineRule="exact"/>
        <w:contextualSpacing/>
        <w:rPr>
          <w:rFonts w:cs="Times New Roman"/>
          <w:szCs w:val="21"/>
        </w:rPr>
      </w:pPr>
    </w:p>
    <w:p w14:paraId="6CE8B6C1">
      <w:pPr>
        <w:spacing w:line="360" w:lineRule="auto"/>
        <w:ind w:right="-934" w:rightChars="-389" w:firstLine="6240" w:firstLineChars="2600"/>
        <w:contextualSpacing/>
        <w:rPr>
          <w:rFonts w:cs="仿宋_GB2312"/>
          <w:szCs w:val="21"/>
        </w:rPr>
      </w:pPr>
      <w:r>
        <w:rPr>
          <w:rFonts w:hint="eastAsia" w:cs="仿宋_GB2312"/>
          <w:szCs w:val="21"/>
        </w:rPr>
        <w:t xml:space="preserve">法定代表人或者委托代理人（签字）：                    </w:t>
      </w:r>
    </w:p>
    <w:p w14:paraId="593C52FD">
      <w:pPr>
        <w:spacing w:line="360" w:lineRule="auto"/>
        <w:ind w:right="-934" w:rightChars="-389" w:firstLine="8160" w:firstLineChars="3400"/>
        <w:contextualSpacing/>
        <w:rPr>
          <w:rFonts w:cs="仿宋_GB2312"/>
          <w:szCs w:val="21"/>
        </w:rPr>
      </w:pPr>
      <w:r>
        <w:rPr>
          <w:rFonts w:hint="eastAsia" w:cs="仿宋_GB2312"/>
          <w:szCs w:val="21"/>
        </w:rPr>
        <w:t xml:space="preserve">供应商（盖公章）：      </w:t>
      </w:r>
    </w:p>
    <w:p w14:paraId="2EC48AB0">
      <w:pPr>
        <w:spacing w:line="360" w:lineRule="auto"/>
        <w:ind w:right="-934" w:rightChars="-389" w:firstLine="9360" w:firstLineChars="3900"/>
        <w:contextualSpacing/>
        <w:rPr>
          <w:rFonts w:cs="仿宋_GB2312"/>
          <w:szCs w:val="21"/>
        </w:rPr>
      </w:pPr>
      <w:r>
        <w:rPr>
          <w:rFonts w:hint="eastAsia" w:cs="仿宋_GB2312"/>
          <w:szCs w:val="21"/>
        </w:rPr>
        <w:t>日 期：   年   月   日</w:t>
      </w:r>
    </w:p>
    <w:p w14:paraId="08029A71">
      <w:pPr>
        <w:pStyle w:val="3"/>
        <w:rPr>
          <w:rFonts w:cs="仿宋_GB2312"/>
          <w:szCs w:val="21"/>
        </w:rPr>
      </w:pPr>
    </w:p>
    <w:p w14:paraId="09E6C107">
      <w:pPr>
        <w:rPr>
          <w:rFonts w:cs="仿宋_GB2312"/>
          <w:szCs w:val="21"/>
        </w:rPr>
      </w:pPr>
    </w:p>
    <w:p w14:paraId="6751FFE2">
      <w:pPr>
        <w:rPr>
          <w:b/>
          <w:sz w:val="44"/>
          <w:szCs w:val="44"/>
        </w:rPr>
      </w:pPr>
      <w:r>
        <w:rPr>
          <w:rFonts w:hint="eastAsia"/>
          <w:b/>
          <w:sz w:val="44"/>
          <w:szCs w:val="44"/>
        </w:rPr>
        <w:br w:type="page"/>
      </w:r>
    </w:p>
    <w:p w14:paraId="46A6633B">
      <w:pPr>
        <w:adjustRightInd w:val="0"/>
        <w:snapToGrid w:val="0"/>
        <w:spacing w:line="520" w:lineRule="exact"/>
        <w:jc w:val="center"/>
        <w:rPr>
          <w:rFonts w:ascii="方正小标宋简体" w:hAnsi="方正小标宋简体" w:eastAsia="方正小标宋简体" w:cs="方正小标宋简体"/>
          <w:bCs/>
          <w:sz w:val="44"/>
          <w:szCs w:val="44"/>
        </w:rPr>
      </w:pPr>
      <w:r>
        <w:rPr>
          <w:rFonts w:hint="eastAsia"/>
          <w:b/>
          <w:sz w:val="44"/>
          <w:szCs w:val="44"/>
        </w:rPr>
        <w:t>货物技术参数配置清单</w:t>
      </w:r>
    </w:p>
    <w:p w14:paraId="7118F3EA">
      <w:pPr>
        <w:spacing w:line="360" w:lineRule="auto"/>
        <w:rPr>
          <w:szCs w:val="21"/>
        </w:rPr>
      </w:pPr>
      <w:r>
        <w:rPr>
          <w:rFonts w:hint="eastAsia"/>
          <w:szCs w:val="21"/>
        </w:rPr>
        <w:t xml:space="preserve">项目名称： </w:t>
      </w:r>
    </w:p>
    <w:tbl>
      <w:tblPr>
        <w:tblStyle w:val="8"/>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72"/>
        <w:gridCol w:w="2829"/>
        <w:gridCol w:w="706"/>
        <w:gridCol w:w="1097"/>
        <w:gridCol w:w="1394"/>
        <w:gridCol w:w="1857"/>
        <w:gridCol w:w="1807"/>
        <w:gridCol w:w="1760"/>
        <w:gridCol w:w="3392"/>
      </w:tblGrid>
      <w:tr w14:paraId="2216C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jc w:val="center"/>
        </w:trPr>
        <w:tc>
          <w:tcPr>
            <w:tcW w:w="247" w:type="pct"/>
            <w:tcBorders>
              <w:top w:val="single" w:color="auto" w:sz="4" w:space="0"/>
              <w:left w:val="single" w:color="auto" w:sz="4" w:space="0"/>
              <w:bottom w:val="single" w:color="auto" w:sz="4" w:space="0"/>
              <w:right w:val="single" w:color="auto" w:sz="4" w:space="0"/>
            </w:tcBorders>
            <w:vAlign w:val="center"/>
          </w:tcPr>
          <w:p w14:paraId="6149E5FC">
            <w:pPr>
              <w:snapToGrid w:val="0"/>
              <w:spacing w:before="50" w:after="50"/>
              <w:jc w:val="center"/>
              <w:rPr>
                <w:szCs w:val="21"/>
              </w:rPr>
            </w:pPr>
            <w:r>
              <w:rPr>
                <w:rFonts w:hint="eastAsia"/>
                <w:szCs w:val="21"/>
              </w:rPr>
              <w:t>序号</w:t>
            </w:r>
          </w:p>
        </w:tc>
        <w:tc>
          <w:tcPr>
            <w:tcW w:w="905" w:type="pct"/>
            <w:tcBorders>
              <w:top w:val="single" w:color="auto" w:sz="4" w:space="0"/>
              <w:left w:val="single" w:color="auto" w:sz="4" w:space="0"/>
              <w:bottom w:val="single" w:color="auto" w:sz="4" w:space="0"/>
              <w:right w:val="single" w:color="auto" w:sz="4" w:space="0"/>
            </w:tcBorders>
            <w:vAlign w:val="center"/>
          </w:tcPr>
          <w:p w14:paraId="21C8FE18">
            <w:pPr>
              <w:snapToGrid w:val="0"/>
              <w:spacing w:before="50" w:after="50"/>
              <w:jc w:val="center"/>
              <w:rPr>
                <w:szCs w:val="21"/>
              </w:rPr>
            </w:pPr>
            <w:r>
              <w:rPr>
                <w:rFonts w:hint="eastAsia"/>
                <w:szCs w:val="21"/>
              </w:rPr>
              <w:t>货物名称</w:t>
            </w:r>
          </w:p>
        </w:tc>
        <w:tc>
          <w:tcPr>
            <w:tcW w:w="226" w:type="pct"/>
            <w:tcBorders>
              <w:top w:val="single" w:color="auto" w:sz="4" w:space="0"/>
              <w:left w:val="single" w:color="auto" w:sz="4" w:space="0"/>
              <w:bottom w:val="single" w:color="auto" w:sz="4" w:space="0"/>
              <w:right w:val="single" w:color="auto" w:sz="4" w:space="0"/>
            </w:tcBorders>
            <w:vAlign w:val="center"/>
          </w:tcPr>
          <w:p w14:paraId="718827A2">
            <w:pPr>
              <w:snapToGrid w:val="0"/>
              <w:spacing w:before="50" w:after="50"/>
              <w:jc w:val="center"/>
              <w:rPr>
                <w:szCs w:val="21"/>
              </w:rPr>
            </w:pPr>
            <w:r>
              <w:rPr>
                <w:rFonts w:hint="eastAsia"/>
                <w:szCs w:val="21"/>
              </w:rPr>
              <w:t>单位</w:t>
            </w:r>
          </w:p>
        </w:tc>
        <w:tc>
          <w:tcPr>
            <w:tcW w:w="351" w:type="pct"/>
            <w:tcBorders>
              <w:top w:val="single" w:color="auto" w:sz="4" w:space="0"/>
              <w:left w:val="single" w:color="auto" w:sz="4" w:space="0"/>
              <w:bottom w:val="single" w:color="auto" w:sz="4" w:space="0"/>
              <w:right w:val="single" w:color="auto" w:sz="4" w:space="0"/>
            </w:tcBorders>
            <w:vAlign w:val="center"/>
          </w:tcPr>
          <w:p w14:paraId="4A8A17B4">
            <w:pPr>
              <w:snapToGrid w:val="0"/>
              <w:spacing w:before="50" w:after="50"/>
              <w:jc w:val="center"/>
              <w:rPr>
                <w:szCs w:val="21"/>
              </w:rPr>
            </w:pPr>
            <w:r>
              <w:rPr>
                <w:rFonts w:hint="eastAsia"/>
                <w:szCs w:val="21"/>
              </w:rPr>
              <w:t>数量</w:t>
            </w:r>
          </w:p>
        </w:tc>
        <w:tc>
          <w:tcPr>
            <w:tcW w:w="446" w:type="pct"/>
            <w:tcBorders>
              <w:top w:val="single" w:color="auto" w:sz="4" w:space="0"/>
              <w:left w:val="single" w:color="auto" w:sz="4" w:space="0"/>
              <w:bottom w:val="single" w:color="auto" w:sz="4" w:space="0"/>
              <w:right w:val="single" w:color="auto" w:sz="4" w:space="0"/>
            </w:tcBorders>
            <w:vAlign w:val="center"/>
          </w:tcPr>
          <w:p w14:paraId="4EDFBBC8">
            <w:pPr>
              <w:snapToGrid w:val="0"/>
              <w:spacing w:before="50" w:after="50"/>
              <w:jc w:val="center"/>
              <w:rPr>
                <w:szCs w:val="21"/>
              </w:rPr>
            </w:pPr>
            <w:r>
              <w:rPr>
                <w:rFonts w:hint="eastAsia"/>
                <w:szCs w:val="21"/>
              </w:rPr>
              <w:t>品牌</w:t>
            </w:r>
          </w:p>
        </w:tc>
        <w:tc>
          <w:tcPr>
            <w:tcW w:w="594" w:type="pct"/>
            <w:tcBorders>
              <w:top w:val="single" w:color="auto" w:sz="4" w:space="0"/>
              <w:left w:val="single" w:color="auto" w:sz="4" w:space="0"/>
              <w:bottom w:val="single" w:color="auto" w:sz="4" w:space="0"/>
              <w:right w:val="single" w:color="auto" w:sz="4" w:space="0"/>
            </w:tcBorders>
            <w:vAlign w:val="center"/>
          </w:tcPr>
          <w:p w14:paraId="0C72BE19">
            <w:pPr>
              <w:snapToGrid w:val="0"/>
              <w:spacing w:before="50" w:after="50"/>
              <w:jc w:val="center"/>
              <w:rPr>
                <w:szCs w:val="21"/>
              </w:rPr>
            </w:pPr>
            <w:r>
              <w:rPr>
                <w:rFonts w:hint="eastAsia"/>
                <w:szCs w:val="21"/>
              </w:rPr>
              <w:t>规格型号</w:t>
            </w:r>
          </w:p>
        </w:tc>
        <w:tc>
          <w:tcPr>
            <w:tcW w:w="578" w:type="pct"/>
            <w:tcBorders>
              <w:top w:val="single" w:color="auto" w:sz="4" w:space="0"/>
              <w:left w:val="single" w:color="auto" w:sz="4" w:space="0"/>
              <w:bottom w:val="single" w:color="auto" w:sz="4" w:space="0"/>
              <w:right w:val="single" w:color="auto" w:sz="4" w:space="0"/>
            </w:tcBorders>
            <w:vAlign w:val="center"/>
          </w:tcPr>
          <w:p w14:paraId="77C59776">
            <w:pPr>
              <w:snapToGrid w:val="0"/>
              <w:spacing w:before="50" w:after="50"/>
              <w:jc w:val="center"/>
              <w:rPr>
                <w:szCs w:val="21"/>
              </w:rPr>
            </w:pPr>
            <w:r>
              <w:rPr>
                <w:rFonts w:hint="eastAsia"/>
                <w:szCs w:val="21"/>
              </w:rPr>
              <w:t>制造商</w:t>
            </w:r>
          </w:p>
        </w:tc>
        <w:tc>
          <w:tcPr>
            <w:tcW w:w="563" w:type="pct"/>
            <w:tcBorders>
              <w:top w:val="single" w:color="auto" w:sz="4" w:space="0"/>
              <w:left w:val="single" w:color="auto" w:sz="4" w:space="0"/>
              <w:bottom w:val="single" w:color="auto" w:sz="4" w:space="0"/>
              <w:right w:val="single" w:color="auto" w:sz="4" w:space="0"/>
            </w:tcBorders>
            <w:vAlign w:val="center"/>
          </w:tcPr>
          <w:p w14:paraId="00DB263D">
            <w:pPr>
              <w:snapToGrid w:val="0"/>
              <w:spacing w:before="50" w:after="50"/>
              <w:jc w:val="center"/>
              <w:rPr>
                <w:szCs w:val="21"/>
              </w:rPr>
            </w:pPr>
            <w:r>
              <w:rPr>
                <w:rFonts w:hint="eastAsia"/>
                <w:szCs w:val="21"/>
              </w:rPr>
              <w:t>原产地</w:t>
            </w:r>
          </w:p>
        </w:tc>
        <w:tc>
          <w:tcPr>
            <w:tcW w:w="1085" w:type="pct"/>
            <w:tcBorders>
              <w:top w:val="single" w:color="auto" w:sz="4" w:space="0"/>
              <w:left w:val="single" w:color="auto" w:sz="4" w:space="0"/>
              <w:bottom w:val="single" w:color="auto" w:sz="4" w:space="0"/>
              <w:right w:val="single" w:color="auto" w:sz="4" w:space="0"/>
            </w:tcBorders>
            <w:vAlign w:val="center"/>
          </w:tcPr>
          <w:p w14:paraId="3C31E609">
            <w:pPr>
              <w:snapToGrid w:val="0"/>
              <w:spacing w:before="50" w:after="50"/>
              <w:jc w:val="center"/>
              <w:rPr>
                <w:szCs w:val="21"/>
              </w:rPr>
            </w:pPr>
            <w:r>
              <w:rPr>
                <w:rFonts w:hint="eastAsia"/>
                <w:szCs w:val="21"/>
              </w:rPr>
              <w:t>技术参数及性能配置</w:t>
            </w:r>
          </w:p>
        </w:tc>
      </w:tr>
      <w:tr w14:paraId="54FB45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247" w:type="pct"/>
            <w:tcBorders>
              <w:top w:val="single" w:color="auto" w:sz="4" w:space="0"/>
              <w:left w:val="single" w:color="auto" w:sz="4" w:space="0"/>
              <w:right w:val="single" w:color="auto" w:sz="4" w:space="0"/>
            </w:tcBorders>
            <w:vAlign w:val="center"/>
          </w:tcPr>
          <w:p w14:paraId="10205FDB">
            <w:pPr>
              <w:snapToGrid w:val="0"/>
              <w:spacing w:before="50" w:after="50"/>
              <w:jc w:val="center"/>
              <w:rPr>
                <w:szCs w:val="21"/>
              </w:rPr>
            </w:pPr>
            <w:r>
              <w:rPr>
                <w:rFonts w:hint="eastAsia"/>
                <w:szCs w:val="21"/>
              </w:rPr>
              <w:t>1</w:t>
            </w:r>
          </w:p>
        </w:tc>
        <w:tc>
          <w:tcPr>
            <w:tcW w:w="905" w:type="pct"/>
            <w:tcBorders>
              <w:top w:val="single" w:color="auto" w:sz="4" w:space="0"/>
              <w:left w:val="single" w:color="auto" w:sz="4" w:space="0"/>
              <w:bottom w:val="single" w:color="auto" w:sz="4" w:space="0"/>
              <w:right w:val="single" w:color="auto" w:sz="4" w:space="0"/>
            </w:tcBorders>
            <w:vAlign w:val="center"/>
          </w:tcPr>
          <w:p w14:paraId="1F74BB4F">
            <w:pPr>
              <w:jc w:val="center"/>
              <w:textAlignment w:val="center"/>
              <w:rPr>
                <w:szCs w:val="21"/>
              </w:rPr>
            </w:pPr>
          </w:p>
        </w:tc>
        <w:tc>
          <w:tcPr>
            <w:tcW w:w="226" w:type="pct"/>
            <w:tcBorders>
              <w:top w:val="single" w:color="auto" w:sz="4" w:space="0"/>
              <w:left w:val="single" w:color="auto" w:sz="4" w:space="0"/>
              <w:bottom w:val="single" w:color="auto" w:sz="4" w:space="0"/>
              <w:right w:val="single" w:color="auto" w:sz="4" w:space="0"/>
            </w:tcBorders>
            <w:vAlign w:val="center"/>
          </w:tcPr>
          <w:p w14:paraId="27877978">
            <w:pPr>
              <w:jc w:val="center"/>
              <w:textAlignment w:val="center"/>
              <w:rPr>
                <w:szCs w:val="21"/>
              </w:rPr>
            </w:pPr>
          </w:p>
        </w:tc>
        <w:tc>
          <w:tcPr>
            <w:tcW w:w="351" w:type="pct"/>
            <w:tcBorders>
              <w:top w:val="single" w:color="auto" w:sz="4" w:space="0"/>
              <w:left w:val="single" w:color="auto" w:sz="4" w:space="0"/>
              <w:bottom w:val="single" w:color="auto" w:sz="4" w:space="0"/>
              <w:right w:val="single" w:color="auto" w:sz="4" w:space="0"/>
            </w:tcBorders>
            <w:vAlign w:val="center"/>
          </w:tcPr>
          <w:p w14:paraId="3476AD1A">
            <w:pPr>
              <w:jc w:val="center"/>
              <w:textAlignment w:val="center"/>
              <w:rPr>
                <w:szCs w:val="21"/>
              </w:rPr>
            </w:pPr>
          </w:p>
        </w:tc>
        <w:tc>
          <w:tcPr>
            <w:tcW w:w="446" w:type="pct"/>
            <w:tcBorders>
              <w:top w:val="single" w:color="auto" w:sz="4" w:space="0"/>
              <w:left w:val="single" w:color="auto" w:sz="4" w:space="0"/>
              <w:bottom w:val="single" w:color="auto" w:sz="4" w:space="0"/>
              <w:right w:val="single" w:color="auto" w:sz="4" w:space="0"/>
            </w:tcBorders>
            <w:vAlign w:val="center"/>
          </w:tcPr>
          <w:p w14:paraId="29EC6CBE">
            <w:pPr>
              <w:snapToGrid w:val="0"/>
              <w:spacing w:before="50" w:after="50"/>
              <w:jc w:val="center"/>
              <w:rPr>
                <w:szCs w:val="21"/>
              </w:rPr>
            </w:pPr>
          </w:p>
        </w:tc>
        <w:tc>
          <w:tcPr>
            <w:tcW w:w="594" w:type="pct"/>
            <w:tcBorders>
              <w:top w:val="single" w:color="auto" w:sz="4" w:space="0"/>
              <w:left w:val="single" w:color="auto" w:sz="4" w:space="0"/>
              <w:bottom w:val="single" w:color="auto" w:sz="4" w:space="0"/>
              <w:right w:val="single" w:color="auto" w:sz="4" w:space="0"/>
            </w:tcBorders>
          </w:tcPr>
          <w:p w14:paraId="7DDCA39D">
            <w:pPr>
              <w:snapToGrid w:val="0"/>
              <w:spacing w:before="50" w:after="50"/>
              <w:jc w:val="center"/>
              <w:rPr>
                <w:szCs w:val="21"/>
              </w:rPr>
            </w:pPr>
          </w:p>
        </w:tc>
        <w:tc>
          <w:tcPr>
            <w:tcW w:w="578" w:type="pct"/>
            <w:tcBorders>
              <w:top w:val="single" w:color="auto" w:sz="4" w:space="0"/>
              <w:left w:val="single" w:color="auto" w:sz="4" w:space="0"/>
              <w:bottom w:val="single" w:color="auto" w:sz="4" w:space="0"/>
              <w:right w:val="single" w:color="auto" w:sz="4" w:space="0"/>
            </w:tcBorders>
            <w:vAlign w:val="center"/>
          </w:tcPr>
          <w:p w14:paraId="67285F6F">
            <w:pPr>
              <w:snapToGrid w:val="0"/>
              <w:spacing w:before="50" w:after="50"/>
              <w:jc w:val="center"/>
              <w:rPr>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03DBD8F5">
            <w:pPr>
              <w:snapToGrid w:val="0"/>
              <w:spacing w:before="50" w:after="50"/>
              <w:jc w:val="center"/>
              <w:rPr>
                <w:szCs w:val="21"/>
              </w:rPr>
            </w:pPr>
          </w:p>
        </w:tc>
        <w:tc>
          <w:tcPr>
            <w:tcW w:w="1085" w:type="pct"/>
            <w:tcBorders>
              <w:top w:val="single" w:color="auto" w:sz="4" w:space="0"/>
              <w:left w:val="single" w:color="auto" w:sz="4" w:space="0"/>
              <w:bottom w:val="single" w:color="auto" w:sz="4" w:space="0"/>
              <w:right w:val="single" w:color="auto" w:sz="4" w:space="0"/>
            </w:tcBorders>
            <w:vAlign w:val="center"/>
          </w:tcPr>
          <w:p w14:paraId="4D02491A">
            <w:pPr>
              <w:snapToGrid w:val="0"/>
              <w:spacing w:before="50" w:after="50"/>
              <w:jc w:val="center"/>
              <w:rPr>
                <w:szCs w:val="21"/>
              </w:rPr>
            </w:pPr>
          </w:p>
        </w:tc>
      </w:tr>
      <w:tr w14:paraId="0B1B09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247" w:type="pct"/>
            <w:tcBorders>
              <w:top w:val="single" w:color="auto" w:sz="4" w:space="0"/>
              <w:left w:val="single" w:color="auto" w:sz="4" w:space="0"/>
              <w:bottom w:val="single" w:color="auto" w:sz="4" w:space="0"/>
              <w:right w:val="single" w:color="auto" w:sz="4" w:space="0"/>
            </w:tcBorders>
            <w:vAlign w:val="center"/>
          </w:tcPr>
          <w:p w14:paraId="6C0B33CF">
            <w:pPr>
              <w:snapToGrid w:val="0"/>
              <w:spacing w:before="50" w:after="50"/>
              <w:jc w:val="center"/>
              <w:rPr>
                <w:szCs w:val="21"/>
              </w:rPr>
            </w:pPr>
            <w:r>
              <w:rPr>
                <w:rFonts w:hint="eastAsia"/>
                <w:szCs w:val="21"/>
              </w:rPr>
              <w:t>2</w:t>
            </w:r>
          </w:p>
        </w:tc>
        <w:tc>
          <w:tcPr>
            <w:tcW w:w="905" w:type="pct"/>
            <w:tcBorders>
              <w:top w:val="single" w:color="auto" w:sz="4" w:space="0"/>
              <w:left w:val="single" w:color="auto" w:sz="4" w:space="0"/>
              <w:bottom w:val="single" w:color="auto" w:sz="4" w:space="0"/>
              <w:right w:val="single" w:color="auto" w:sz="4" w:space="0"/>
            </w:tcBorders>
            <w:vAlign w:val="center"/>
          </w:tcPr>
          <w:p w14:paraId="4C8732D8">
            <w:pPr>
              <w:jc w:val="center"/>
              <w:textAlignment w:val="center"/>
              <w:rPr>
                <w:color w:val="000000"/>
                <w:szCs w:val="21"/>
              </w:rPr>
            </w:pPr>
          </w:p>
        </w:tc>
        <w:tc>
          <w:tcPr>
            <w:tcW w:w="226" w:type="pct"/>
            <w:tcBorders>
              <w:top w:val="single" w:color="auto" w:sz="4" w:space="0"/>
              <w:left w:val="single" w:color="auto" w:sz="4" w:space="0"/>
              <w:bottom w:val="single" w:color="auto" w:sz="4" w:space="0"/>
              <w:right w:val="single" w:color="auto" w:sz="4" w:space="0"/>
            </w:tcBorders>
            <w:vAlign w:val="center"/>
          </w:tcPr>
          <w:p w14:paraId="4E8CD63D">
            <w:pPr>
              <w:jc w:val="center"/>
              <w:textAlignment w:val="center"/>
              <w:rPr>
                <w:szCs w:val="21"/>
              </w:rPr>
            </w:pPr>
          </w:p>
        </w:tc>
        <w:tc>
          <w:tcPr>
            <w:tcW w:w="351" w:type="pct"/>
            <w:tcBorders>
              <w:top w:val="single" w:color="auto" w:sz="4" w:space="0"/>
              <w:left w:val="single" w:color="auto" w:sz="4" w:space="0"/>
              <w:bottom w:val="single" w:color="auto" w:sz="4" w:space="0"/>
              <w:right w:val="single" w:color="auto" w:sz="4" w:space="0"/>
            </w:tcBorders>
            <w:vAlign w:val="center"/>
          </w:tcPr>
          <w:p w14:paraId="67E1489D">
            <w:pPr>
              <w:jc w:val="center"/>
              <w:textAlignment w:val="center"/>
              <w:rPr>
                <w:szCs w:val="21"/>
              </w:rPr>
            </w:pPr>
          </w:p>
        </w:tc>
        <w:tc>
          <w:tcPr>
            <w:tcW w:w="446" w:type="pct"/>
            <w:tcBorders>
              <w:top w:val="single" w:color="auto" w:sz="4" w:space="0"/>
              <w:left w:val="single" w:color="auto" w:sz="4" w:space="0"/>
              <w:bottom w:val="single" w:color="auto" w:sz="4" w:space="0"/>
              <w:right w:val="single" w:color="auto" w:sz="4" w:space="0"/>
            </w:tcBorders>
            <w:vAlign w:val="center"/>
          </w:tcPr>
          <w:p w14:paraId="2EA6E337">
            <w:pPr>
              <w:snapToGrid w:val="0"/>
              <w:spacing w:before="50" w:after="50"/>
              <w:jc w:val="center"/>
              <w:rPr>
                <w:szCs w:val="21"/>
              </w:rPr>
            </w:pPr>
          </w:p>
        </w:tc>
        <w:tc>
          <w:tcPr>
            <w:tcW w:w="594" w:type="pct"/>
            <w:tcBorders>
              <w:top w:val="single" w:color="auto" w:sz="4" w:space="0"/>
              <w:left w:val="single" w:color="auto" w:sz="4" w:space="0"/>
              <w:bottom w:val="single" w:color="auto" w:sz="4" w:space="0"/>
              <w:right w:val="single" w:color="auto" w:sz="4" w:space="0"/>
            </w:tcBorders>
          </w:tcPr>
          <w:p w14:paraId="7FF6C6BE">
            <w:pPr>
              <w:snapToGrid w:val="0"/>
              <w:spacing w:before="50" w:after="50"/>
              <w:jc w:val="center"/>
              <w:rPr>
                <w:szCs w:val="21"/>
              </w:rPr>
            </w:pPr>
          </w:p>
        </w:tc>
        <w:tc>
          <w:tcPr>
            <w:tcW w:w="578" w:type="pct"/>
            <w:tcBorders>
              <w:top w:val="single" w:color="auto" w:sz="4" w:space="0"/>
              <w:left w:val="single" w:color="auto" w:sz="4" w:space="0"/>
              <w:bottom w:val="single" w:color="auto" w:sz="4" w:space="0"/>
              <w:right w:val="single" w:color="auto" w:sz="4" w:space="0"/>
            </w:tcBorders>
            <w:vAlign w:val="center"/>
          </w:tcPr>
          <w:p w14:paraId="2D1EC980">
            <w:pPr>
              <w:snapToGrid w:val="0"/>
              <w:spacing w:before="50" w:after="50"/>
              <w:jc w:val="center"/>
              <w:rPr>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785C57F6">
            <w:pPr>
              <w:snapToGrid w:val="0"/>
              <w:spacing w:before="50" w:after="50"/>
              <w:jc w:val="center"/>
              <w:rPr>
                <w:szCs w:val="21"/>
              </w:rPr>
            </w:pPr>
          </w:p>
        </w:tc>
        <w:tc>
          <w:tcPr>
            <w:tcW w:w="1085" w:type="pct"/>
            <w:tcBorders>
              <w:top w:val="single" w:color="auto" w:sz="4" w:space="0"/>
              <w:left w:val="single" w:color="auto" w:sz="4" w:space="0"/>
              <w:bottom w:val="single" w:color="auto" w:sz="4" w:space="0"/>
              <w:right w:val="single" w:color="auto" w:sz="4" w:space="0"/>
            </w:tcBorders>
            <w:vAlign w:val="center"/>
          </w:tcPr>
          <w:p w14:paraId="319B1543">
            <w:pPr>
              <w:snapToGrid w:val="0"/>
              <w:spacing w:before="50" w:after="50"/>
              <w:jc w:val="center"/>
              <w:rPr>
                <w:szCs w:val="21"/>
              </w:rPr>
            </w:pPr>
          </w:p>
        </w:tc>
      </w:tr>
      <w:tr w14:paraId="7CC08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247" w:type="pct"/>
            <w:tcBorders>
              <w:top w:val="single" w:color="auto" w:sz="4" w:space="0"/>
              <w:left w:val="single" w:color="auto" w:sz="4" w:space="0"/>
              <w:bottom w:val="single" w:color="auto" w:sz="4" w:space="0"/>
              <w:right w:val="single" w:color="auto" w:sz="4" w:space="0"/>
            </w:tcBorders>
            <w:vAlign w:val="center"/>
          </w:tcPr>
          <w:p w14:paraId="2B2E394B">
            <w:pPr>
              <w:snapToGrid w:val="0"/>
              <w:spacing w:before="50" w:after="50"/>
              <w:jc w:val="center"/>
              <w:rPr>
                <w:szCs w:val="21"/>
              </w:rPr>
            </w:pPr>
            <w:r>
              <w:rPr>
                <w:rFonts w:hint="eastAsia"/>
                <w:szCs w:val="21"/>
              </w:rPr>
              <w:t>……</w:t>
            </w:r>
          </w:p>
        </w:tc>
        <w:tc>
          <w:tcPr>
            <w:tcW w:w="905" w:type="pct"/>
            <w:tcBorders>
              <w:top w:val="single" w:color="auto" w:sz="4" w:space="0"/>
              <w:left w:val="single" w:color="auto" w:sz="4" w:space="0"/>
              <w:bottom w:val="single" w:color="auto" w:sz="4" w:space="0"/>
              <w:right w:val="single" w:color="auto" w:sz="4" w:space="0"/>
            </w:tcBorders>
            <w:vAlign w:val="center"/>
          </w:tcPr>
          <w:p w14:paraId="0376EC9C">
            <w:pPr>
              <w:jc w:val="center"/>
              <w:textAlignment w:val="center"/>
              <w:rPr>
                <w:color w:val="000000"/>
                <w:szCs w:val="21"/>
              </w:rPr>
            </w:pPr>
          </w:p>
        </w:tc>
        <w:tc>
          <w:tcPr>
            <w:tcW w:w="226" w:type="pct"/>
            <w:tcBorders>
              <w:top w:val="single" w:color="auto" w:sz="4" w:space="0"/>
              <w:left w:val="single" w:color="auto" w:sz="4" w:space="0"/>
              <w:bottom w:val="single" w:color="auto" w:sz="4" w:space="0"/>
              <w:right w:val="single" w:color="auto" w:sz="4" w:space="0"/>
            </w:tcBorders>
            <w:vAlign w:val="center"/>
          </w:tcPr>
          <w:p w14:paraId="377592BA">
            <w:pPr>
              <w:jc w:val="center"/>
              <w:textAlignment w:val="center"/>
              <w:rPr>
                <w:szCs w:val="21"/>
              </w:rPr>
            </w:pPr>
          </w:p>
        </w:tc>
        <w:tc>
          <w:tcPr>
            <w:tcW w:w="351" w:type="pct"/>
            <w:tcBorders>
              <w:top w:val="single" w:color="auto" w:sz="4" w:space="0"/>
              <w:left w:val="single" w:color="auto" w:sz="4" w:space="0"/>
              <w:bottom w:val="single" w:color="auto" w:sz="4" w:space="0"/>
              <w:right w:val="single" w:color="auto" w:sz="4" w:space="0"/>
            </w:tcBorders>
            <w:vAlign w:val="center"/>
          </w:tcPr>
          <w:p w14:paraId="468EE0D1">
            <w:pPr>
              <w:jc w:val="center"/>
              <w:textAlignment w:val="center"/>
              <w:rPr>
                <w:szCs w:val="21"/>
              </w:rPr>
            </w:pPr>
          </w:p>
        </w:tc>
        <w:tc>
          <w:tcPr>
            <w:tcW w:w="446" w:type="pct"/>
            <w:tcBorders>
              <w:top w:val="single" w:color="auto" w:sz="4" w:space="0"/>
              <w:left w:val="single" w:color="auto" w:sz="4" w:space="0"/>
              <w:bottom w:val="single" w:color="auto" w:sz="4" w:space="0"/>
              <w:right w:val="single" w:color="auto" w:sz="4" w:space="0"/>
            </w:tcBorders>
            <w:vAlign w:val="center"/>
          </w:tcPr>
          <w:p w14:paraId="66B43837">
            <w:pPr>
              <w:snapToGrid w:val="0"/>
              <w:spacing w:before="50" w:after="50"/>
              <w:jc w:val="center"/>
              <w:rPr>
                <w:szCs w:val="21"/>
              </w:rPr>
            </w:pPr>
          </w:p>
        </w:tc>
        <w:tc>
          <w:tcPr>
            <w:tcW w:w="594" w:type="pct"/>
            <w:tcBorders>
              <w:top w:val="single" w:color="auto" w:sz="4" w:space="0"/>
              <w:left w:val="single" w:color="auto" w:sz="4" w:space="0"/>
              <w:bottom w:val="single" w:color="auto" w:sz="4" w:space="0"/>
              <w:right w:val="single" w:color="auto" w:sz="4" w:space="0"/>
            </w:tcBorders>
          </w:tcPr>
          <w:p w14:paraId="5D123DC0">
            <w:pPr>
              <w:snapToGrid w:val="0"/>
              <w:spacing w:before="50" w:after="50"/>
              <w:jc w:val="center"/>
              <w:rPr>
                <w:szCs w:val="21"/>
              </w:rPr>
            </w:pPr>
          </w:p>
        </w:tc>
        <w:tc>
          <w:tcPr>
            <w:tcW w:w="578" w:type="pct"/>
            <w:tcBorders>
              <w:top w:val="single" w:color="auto" w:sz="4" w:space="0"/>
              <w:left w:val="single" w:color="auto" w:sz="4" w:space="0"/>
              <w:bottom w:val="single" w:color="auto" w:sz="4" w:space="0"/>
              <w:right w:val="single" w:color="auto" w:sz="4" w:space="0"/>
            </w:tcBorders>
            <w:vAlign w:val="center"/>
          </w:tcPr>
          <w:p w14:paraId="2E7B8865">
            <w:pPr>
              <w:snapToGrid w:val="0"/>
              <w:spacing w:before="50" w:after="50"/>
              <w:jc w:val="center"/>
              <w:rPr>
                <w:szCs w:val="21"/>
              </w:rPr>
            </w:pPr>
          </w:p>
        </w:tc>
        <w:tc>
          <w:tcPr>
            <w:tcW w:w="563" w:type="pct"/>
            <w:tcBorders>
              <w:top w:val="single" w:color="auto" w:sz="4" w:space="0"/>
              <w:left w:val="single" w:color="auto" w:sz="4" w:space="0"/>
              <w:bottom w:val="single" w:color="auto" w:sz="4" w:space="0"/>
              <w:right w:val="single" w:color="auto" w:sz="4" w:space="0"/>
            </w:tcBorders>
            <w:vAlign w:val="center"/>
          </w:tcPr>
          <w:p w14:paraId="3C48EF83">
            <w:pPr>
              <w:snapToGrid w:val="0"/>
              <w:spacing w:before="50" w:after="50"/>
              <w:jc w:val="center"/>
              <w:rPr>
                <w:szCs w:val="21"/>
              </w:rPr>
            </w:pPr>
          </w:p>
        </w:tc>
        <w:tc>
          <w:tcPr>
            <w:tcW w:w="1085" w:type="pct"/>
            <w:tcBorders>
              <w:top w:val="single" w:color="auto" w:sz="4" w:space="0"/>
              <w:left w:val="single" w:color="auto" w:sz="4" w:space="0"/>
              <w:bottom w:val="single" w:color="auto" w:sz="4" w:space="0"/>
              <w:right w:val="single" w:color="auto" w:sz="4" w:space="0"/>
            </w:tcBorders>
            <w:vAlign w:val="center"/>
          </w:tcPr>
          <w:p w14:paraId="4D654267">
            <w:pPr>
              <w:snapToGrid w:val="0"/>
              <w:spacing w:before="50" w:after="50"/>
              <w:jc w:val="center"/>
              <w:rPr>
                <w:szCs w:val="21"/>
              </w:rPr>
            </w:pPr>
          </w:p>
        </w:tc>
      </w:tr>
    </w:tbl>
    <w:p w14:paraId="648CD903">
      <w:pPr>
        <w:contextualSpacing/>
        <w:rPr>
          <w:szCs w:val="21"/>
        </w:rPr>
      </w:pPr>
      <w:r>
        <w:rPr>
          <w:rFonts w:hint="eastAsia"/>
          <w:szCs w:val="21"/>
        </w:rPr>
        <w:t>备注：</w:t>
      </w:r>
      <w:r>
        <w:rPr>
          <w:rFonts w:hint="eastAsia"/>
          <w:b/>
          <w:bCs/>
          <w:szCs w:val="21"/>
        </w:rPr>
        <w:t>以上货物配置清单中“货物名称、数量及单位、品牌、规格型号、制造商、原产地、技术参数及性能配置”必须如实填写完整，品牌、规格型号没有则填无，填写有缺漏的，响应文件按无效响应处理</w:t>
      </w:r>
      <w:r>
        <w:rPr>
          <w:rFonts w:hint="eastAsia"/>
          <w:b/>
          <w:szCs w:val="21"/>
        </w:rPr>
        <w:t>。</w:t>
      </w:r>
      <w:r>
        <w:rPr>
          <w:rFonts w:hint="eastAsia"/>
          <w:szCs w:val="21"/>
        </w:rPr>
        <w:t>货物名称、数量及单位、品牌必须与“竞标报价表”一致，</w:t>
      </w:r>
      <w:r>
        <w:rPr>
          <w:rFonts w:hint="eastAsia"/>
          <w:bCs/>
          <w:szCs w:val="21"/>
        </w:rPr>
        <w:t>否则响应文件按无效响应处理</w:t>
      </w:r>
      <w:r>
        <w:rPr>
          <w:rFonts w:hint="eastAsia"/>
          <w:b/>
          <w:szCs w:val="21"/>
        </w:rPr>
        <w:t>。</w:t>
      </w:r>
      <w:r>
        <w:rPr>
          <w:rFonts w:hint="eastAsia"/>
          <w:szCs w:val="21"/>
        </w:rPr>
        <w:tab/>
      </w:r>
    </w:p>
    <w:p w14:paraId="24A64991">
      <w:pPr>
        <w:pStyle w:val="7"/>
        <w:ind w:left="480"/>
        <w:rPr>
          <w:rFonts w:ascii="宋体" w:cs="宋体"/>
          <w:szCs w:val="21"/>
        </w:rPr>
      </w:pPr>
    </w:p>
    <w:p w14:paraId="4BFE1AB8">
      <w:pPr>
        <w:ind w:right="-934" w:rightChars="-389"/>
        <w:contextualSpacing/>
        <w:jc w:val="center"/>
        <w:rPr>
          <w:szCs w:val="21"/>
        </w:rPr>
      </w:pPr>
      <w:r>
        <w:rPr>
          <w:rFonts w:hint="eastAsia"/>
          <w:szCs w:val="21"/>
        </w:rPr>
        <w:t>法定代表人或者委托代理人（签字）：</w:t>
      </w:r>
    </w:p>
    <w:p w14:paraId="7347544C">
      <w:pPr>
        <w:ind w:right="-934" w:rightChars="-389" w:firstLine="8280" w:firstLineChars="3450"/>
        <w:contextualSpacing/>
        <w:rPr>
          <w:szCs w:val="21"/>
        </w:rPr>
      </w:pPr>
      <w:r>
        <w:rPr>
          <w:rFonts w:hint="eastAsia"/>
          <w:szCs w:val="21"/>
        </w:rPr>
        <w:t xml:space="preserve">供应商（盖公章）：      </w:t>
      </w:r>
    </w:p>
    <w:p w14:paraId="4188AEF4">
      <w:pPr>
        <w:ind w:right="-934" w:rightChars="-389" w:firstLine="9360" w:firstLineChars="3900"/>
        <w:contextualSpacing/>
      </w:pPr>
      <w:r>
        <w:rPr>
          <w:rFonts w:hint="eastAsia"/>
          <w:szCs w:val="21"/>
        </w:rPr>
        <w:t>日  期：    年   月   日</w:t>
      </w:r>
    </w:p>
    <w:p w14:paraId="7B01908A">
      <w:pPr>
        <w:pStyle w:val="2"/>
        <w:ind w:firstLine="0"/>
      </w:pP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jMjM5MjFlMTc5ZTc0MjU2MDBmMmNmOWQ0Yzk2NjgifQ=="/>
  </w:docVars>
  <w:rsids>
    <w:rsidRoot w:val="002B3C30"/>
    <w:rsid w:val="002B3C30"/>
    <w:rsid w:val="002F35F4"/>
    <w:rsid w:val="00462239"/>
    <w:rsid w:val="00757B9E"/>
    <w:rsid w:val="00ED655D"/>
    <w:rsid w:val="04F62EA0"/>
    <w:rsid w:val="0591547A"/>
    <w:rsid w:val="076874B4"/>
    <w:rsid w:val="0B32229F"/>
    <w:rsid w:val="0B8769D7"/>
    <w:rsid w:val="116C5620"/>
    <w:rsid w:val="130F5C30"/>
    <w:rsid w:val="17326391"/>
    <w:rsid w:val="17716EB9"/>
    <w:rsid w:val="1CA613B3"/>
    <w:rsid w:val="1F240CB5"/>
    <w:rsid w:val="1FA97D98"/>
    <w:rsid w:val="20213E28"/>
    <w:rsid w:val="20967991"/>
    <w:rsid w:val="20F80FF1"/>
    <w:rsid w:val="21F229A5"/>
    <w:rsid w:val="23746403"/>
    <w:rsid w:val="27111B1F"/>
    <w:rsid w:val="2B265A3F"/>
    <w:rsid w:val="2B6B0F88"/>
    <w:rsid w:val="2CD810FA"/>
    <w:rsid w:val="33647AF5"/>
    <w:rsid w:val="3546366F"/>
    <w:rsid w:val="37FD1F8D"/>
    <w:rsid w:val="397523E2"/>
    <w:rsid w:val="3A374711"/>
    <w:rsid w:val="3A52002D"/>
    <w:rsid w:val="3B58097D"/>
    <w:rsid w:val="3E6D686E"/>
    <w:rsid w:val="40BA5DCC"/>
    <w:rsid w:val="40DA716A"/>
    <w:rsid w:val="42B555FD"/>
    <w:rsid w:val="42EA799C"/>
    <w:rsid w:val="454168E5"/>
    <w:rsid w:val="49630702"/>
    <w:rsid w:val="4B0435C5"/>
    <w:rsid w:val="4B7A5635"/>
    <w:rsid w:val="4C7622A1"/>
    <w:rsid w:val="4DF66426"/>
    <w:rsid w:val="500876B4"/>
    <w:rsid w:val="51C001F3"/>
    <w:rsid w:val="53C71634"/>
    <w:rsid w:val="5539030F"/>
    <w:rsid w:val="57F70CF4"/>
    <w:rsid w:val="5B336962"/>
    <w:rsid w:val="60114363"/>
    <w:rsid w:val="64144421"/>
    <w:rsid w:val="669E4476"/>
    <w:rsid w:val="66CD214B"/>
    <w:rsid w:val="6E8E17FA"/>
    <w:rsid w:val="76081826"/>
    <w:rsid w:val="7761696D"/>
    <w:rsid w:val="77B91110"/>
    <w:rsid w:val="7B1418A4"/>
    <w:rsid w:val="7BB36B64"/>
    <w:rsid w:val="7CF46746"/>
    <w:rsid w:val="7DB83C18"/>
    <w:rsid w:val="7FD26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Normal Indent"/>
    <w:basedOn w:val="1"/>
    <w:next w:val="1"/>
    <w:qFormat/>
    <w:uiPriority w:val="99"/>
    <w:pPr>
      <w:widowControl w:val="0"/>
      <w:ind w:firstLine="420"/>
      <w:jc w:val="both"/>
    </w:pPr>
    <w:rPr>
      <w:rFonts w:ascii="Times New Roman" w:hAnsi="Times New Roman" w:cs="Times New Roman"/>
      <w:kern w:val="2"/>
      <w:sz w:val="21"/>
      <w:szCs w:val="21"/>
    </w:rPr>
  </w:style>
  <w:style w:type="paragraph" w:styleId="3">
    <w:name w:val="Body Text"/>
    <w:basedOn w:val="1"/>
    <w:next w:val="1"/>
    <w:qFormat/>
    <w:uiPriority w:val="99"/>
    <w:pPr>
      <w:spacing w:line="380" w:lineRule="exact"/>
    </w:pPr>
  </w:style>
  <w:style w:type="paragraph" w:styleId="4">
    <w:name w:val="Body Text Indent"/>
    <w:basedOn w:val="1"/>
    <w:qFormat/>
    <w:uiPriority w:val="0"/>
    <w:pPr>
      <w:ind w:firstLine="830" w:firstLineChars="352"/>
    </w:pPr>
    <w:rPr>
      <w:rFonts w:ascii="仿宋_GB2312" w:eastAsia="仿宋_GB2312" w:cs="仿宋_GB2312"/>
      <w:sz w:val="32"/>
      <w:szCs w:val="32"/>
    </w:rPr>
  </w:style>
  <w:style w:type="paragraph" w:styleId="5">
    <w:name w:val="footer"/>
    <w:basedOn w:val="1"/>
    <w:link w:val="13"/>
    <w:qFormat/>
    <w:uiPriority w:val="0"/>
    <w:pPr>
      <w:tabs>
        <w:tab w:val="center" w:pos="4153"/>
        <w:tab w:val="right" w:pos="8306"/>
      </w:tabs>
      <w:snapToGrid w:val="0"/>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4"/>
    <w:next w:val="2"/>
    <w:qFormat/>
    <w:uiPriority w:val="0"/>
    <w:pPr>
      <w:spacing w:after="120"/>
      <w:ind w:left="420" w:leftChars="200" w:firstLine="420" w:firstLineChars="200"/>
    </w:pPr>
    <w:rPr>
      <w:rFonts w:ascii="Times New Roman" w:eastAsia="宋体"/>
      <w:sz w:val="21"/>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font31"/>
    <w:basedOn w:val="10"/>
    <w:qFormat/>
    <w:uiPriority w:val="0"/>
    <w:rPr>
      <w:rFonts w:hint="eastAsia" w:ascii="宋体" w:hAnsi="宋体" w:eastAsia="宋体" w:cs="宋体"/>
      <w:color w:val="000000"/>
      <w:sz w:val="20"/>
      <w:szCs w:val="20"/>
      <w:u w:val="none"/>
    </w:rPr>
  </w:style>
  <w:style w:type="character" w:customStyle="1" w:styleId="12">
    <w:name w:val="页眉 字符"/>
    <w:basedOn w:val="10"/>
    <w:link w:val="6"/>
    <w:qFormat/>
    <w:uiPriority w:val="0"/>
    <w:rPr>
      <w:rFonts w:ascii="宋体" w:hAnsi="宋体" w:cs="宋体"/>
      <w:sz w:val="18"/>
      <w:szCs w:val="18"/>
    </w:rPr>
  </w:style>
  <w:style w:type="character" w:customStyle="1" w:styleId="13">
    <w:name w:val="页脚 字符"/>
    <w:basedOn w:val="10"/>
    <w:link w:val="5"/>
    <w:qFormat/>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7472</Words>
  <Characters>8371</Characters>
  <Lines>66</Lines>
  <Paragraphs>18</Paragraphs>
  <TotalTime>6</TotalTime>
  <ScaleCrop>false</ScaleCrop>
  <LinksUpToDate>false</LinksUpToDate>
  <CharactersWithSpaces>8462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2024-10-09T06:10:00Z</dcterms:created>
  <dc:creator>gp</dc:creator>
  <cp:lastModifiedBy>zyzyqqq</cp:lastModifiedBy>
  <dcterms:modified xsi:type="dcterms:W3CDTF">2025-03-13T07:23:30Z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211B1E1BE78B4686A73A5C6722FE0768_13</vt:lpwstr>
  </property>
  <property fmtid="{D5CDD505-2E9C-101B-9397-08002B2CF9AE}" pid="4" name="KSOTemplateDocerSaveRecord">
    <vt:lpwstr>eyJoZGlkIjoiYTUzZDY3MzQ3M2UzMjY1NjBmYTJmNmI0N2ZjODk1Y2QiLCJ1c2VySWQiOiI1ODI0ODIzODAifQ==</vt:lpwstr>
  </property>
</Properties>
</file>