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互联网</w:t>
      </w:r>
      <w:r>
        <w:rPr>
          <w:rFonts w:hint="eastAsia" w:ascii="宋体" w:hAnsi="宋体" w:eastAsia="宋体" w:cs="宋体"/>
          <w:b/>
          <w:bCs/>
          <w:kern w:val="0"/>
          <w:sz w:val="32"/>
          <w:szCs w:val="32"/>
          <w:lang w:val="en-US" w:eastAsia="zh-CN"/>
        </w:rPr>
        <w:t>出口</w:t>
      </w:r>
      <w:r>
        <w:rPr>
          <w:rFonts w:hint="eastAsia" w:ascii="宋体" w:hAnsi="宋体" w:eastAsia="宋体" w:cs="宋体"/>
          <w:b/>
          <w:bCs/>
          <w:kern w:val="0"/>
          <w:sz w:val="32"/>
          <w:szCs w:val="32"/>
        </w:rPr>
        <w:t>专线服务项目采购清单</w:t>
      </w:r>
    </w:p>
    <w:tbl>
      <w:tblPr>
        <w:tblStyle w:val="5"/>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02"/>
        <w:gridCol w:w="1191"/>
        <w:gridCol w:w="7265"/>
        <w:gridCol w:w="640"/>
        <w:gridCol w:w="672"/>
        <w:gridCol w:w="109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trPr>
        <w:tc>
          <w:tcPr>
            <w:tcW w:w="247"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项号</w:t>
            </w:r>
          </w:p>
        </w:tc>
        <w:tc>
          <w:tcPr>
            <w:tcW w:w="525"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货物名称</w:t>
            </w:r>
          </w:p>
        </w:tc>
        <w:tc>
          <w:tcPr>
            <w:tcW w:w="416"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参考品牌</w:t>
            </w:r>
          </w:p>
        </w:tc>
        <w:tc>
          <w:tcPr>
            <w:tcW w:w="2540"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主要技术参数及性能（配置）要求</w:t>
            </w:r>
          </w:p>
        </w:tc>
        <w:tc>
          <w:tcPr>
            <w:tcW w:w="223"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数量</w:t>
            </w:r>
          </w:p>
        </w:tc>
        <w:tc>
          <w:tcPr>
            <w:tcW w:w="234"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单位</w:t>
            </w:r>
          </w:p>
        </w:tc>
        <w:tc>
          <w:tcPr>
            <w:tcW w:w="381"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单价（元）</w:t>
            </w:r>
          </w:p>
        </w:tc>
        <w:tc>
          <w:tcPr>
            <w:tcW w:w="430" w:type="pct"/>
            <w:shd w:val="clear" w:color="auto" w:fill="auto"/>
            <w:vAlign w:val="center"/>
          </w:tcPr>
          <w:p>
            <w:pPr>
              <w:widowControl/>
              <w:spacing w:line="360" w:lineRule="exact"/>
              <w:jc w:val="center"/>
              <w:rPr>
                <w:rFonts w:hint="eastAsia" w:asciiTheme="minorEastAsia" w:hAnsiTheme="minorEastAsia" w:cstheme="minorEastAsia"/>
                <w:b/>
                <w:bCs/>
                <w:kern w:val="0"/>
                <w:szCs w:val="21"/>
                <w:highlight w:val="none"/>
              </w:rPr>
            </w:pPr>
            <w:r>
              <w:rPr>
                <w:rFonts w:hint="eastAsia" w:asciiTheme="minorEastAsia" w:hAnsiTheme="minorEastAsia" w:cstheme="minorEastAsia"/>
                <w:b/>
                <w:bCs/>
                <w:kern w:val="0"/>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pPr>
              <w:widowControl/>
              <w:spacing w:line="36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1</w:t>
            </w:r>
          </w:p>
        </w:tc>
        <w:tc>
          <w:tcPr>
            <w:tcW w:w="525" w:type="pct"/>
            <w:shd w:val="clear" w:color="auto" w:fill="auto"/>
            <w:vAlign w:val="center"/>
          </w:tcPr>
          <w:p>
            <w:pPr>
              <w:widowControl/>
              <w:spacing w:line="36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rPr>
              <w:t>互联网出口带宽租用服务</w:t>
            </w:r>
          </w:p>
        </w:tc>
        <w:tc>
          <w:tcPr>
            <w:tcW w:w="416" w:type="pct"/>
            <w:shd w:val="clear" w:color="auto" w:fill="auto"/>
            <w:vAlign w:val="center"/>
          </w:tcPr>
          <w:p>
            <w:pPr>
              <w:widowControl/>
              <w:spacing w:line="36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定制</w:t>
            </w:r>
          </w:p>
        </w:tc>
        <w:tc>
          <w:tcPr>
            <w:tcW w:w="2540" w:type="pct"/>
            <w:shd w:val="clear" w:color="auto" w:fill="auto"/>
            <w:vAlign w:val="center"/>
          </w:tcPr>
          <w:p>
            <w:pPr>
              <w:widowControl/>
              <w:numPr>
                <w:ilvl w:val="0"/>
                <w:numId w:val="0"/>
              </w:numPr>
              <w:spacing w:line="360" w:lineRule="exact"/>
              <w:rPr>
                <w:rFonts w:hint="eastAsia" w:asciiTheme="minorEastAsia" w:hAnsiTheme="minorEastAsia" w:cstheme="minorEastAsia"/>
                <w:b/>
                <w:bCs/>
                <w:kern w:val="0"/>
                <w:szCs w:val="21"/>
                <w:highlight w:val="none"/>
                <w:lang w:val="en-US" w:eastAsia="zh-CN"/>
              </w:rPr>
            </w:pPr>
            <w:r>
              <w:rPr>
                <w:rFonts w:hint="eastAsia" w:asciiTheme="minorEastAsia" w:hAnsiTheme="minorEastAsia" w:cstheme="minorEastAsia"/>
                <w:b/>
                <w:bCs/>
                <w:kern w:val="0"/>
                <w:szCs w:val="21"/>
                <w:highlight w:val="none"/>
                <w:lang w:val="en-US" w:eastAsia="zh-CN"/>
              </w:rPr>
              <w:t>一、网络服务要求</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1、电路类型：1条互联网数字电路，局域网连接到互联网的带宽≥1000M，接入方式为光纤接入，互联网带宽裸机测试，上下行速率稳定在≥1000M；</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2、电路接入端接口类型：可提供RJ45、G.703、V.35等接口类型；</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3、电路可用率：单条电路端到端全年可用率≥99.9%；</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4、电路误码率：单条电路端到端比特误码率≤1×10-6；</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5、电路丢包率：单条电路端到端丢包率≤0.8%；</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6、电路速率：电路各个节点最大时延≤20ms；</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7、电路速率：单条电路端到端时延抖动率≤15ms；</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8、现网统计本地网元达10000个以上，具备在本地大规模使用网络技术组网的能力；</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9、提供不少于56段的IPv6地址，并在项目合同期内根据客户需要可免费实施 IPv4 向 IPv6 的改造。</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10、供货方汇聚层和骨干层线路需具有自愈环保护功能和不超过50ms保护倒换能力，保证专线不会因光缆的意外阻断或部分设备故障而中断。</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11、为了不影响采购人的日常工作，本项目涉及的互联网出口线路建设不能造成采购人的业务异常或中断，采购人无需额外修改业务的网络配置。</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12、要求全网的传输设备均具备网管能力，全程提供端到端的网管监控功能，实行7*24小时不间断监控，可有效地检测并定位网络故障。</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13、要求提供各种主流物理光、电接口，如RJ45/LC/FC等供采购人使用，并提供相应跳线，如是光纤接口类型，提供相对应的光模块</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14、采购人网络需要扩展或升级时，提供相应解决方案等技术支持服务。</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15、服务期限内每半年对网络系统进行一次巡检，检查网络系统设备的运行情况，提交巡检报告。</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16、服务期限内根据学校需求，可提供学校重大会议、赛事等活动的现场互联网接入网络保障服务。</w:t>
            </w:r>
          </w:p>
          <w:p>
            <w:pPr>
              <w:widowControl/>
              <w:numPr>
                <w:ilvl w:val="0"/>
                <w:numId w:val="0"/>
              </w:numPr>
              <w:spacing w:line="360" w:lineRule="exact"/>
              <w:rPr>
                <w:rFonts w:hint="eastAsia"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17、服务期限内根据学校需求，提供线路接入点位搬迁服务。</w:t>
            </w:r>
          </w:p>
          <w:p>
            <w:pPr>
              <w:widowControl/>
              <w:numPr>
                <w:ilvl w:val="0"/>
                <w:numId w:val="0"/>
              </w:numPr>
              <w:spacing w:line="360" w:lineRule="exact"/>
              <w:rPr>
                <w:rFonts w:hint="default" w:asciiTheme="minorEastAsia" w:hAnsiTheme="minorEastAsia" w:cstheme="minorEastAsia"/>
                <w:b w:val="0"/>
                <w:bCs w:val="0"/>
                <w:kern w:val="0"/>
                <w:szCs w:val="21"/>
                <w:highlight w:val="none"/>
                <w:lang w:val="en-US" w:eastAsia="zh-CN"/>
              </w:rPr>
            </w:pPr>
            <w:r>
              <w:rPr>
                <w:rFonts w:hint="eastAsia" w:asciiTheme="minorEastAsia" w:hAnsiTheme="minorEastAsia" w:cstheme="minorEastAsia"/>
                <w:b w:val="0"/>
                <w:bCs w:val="0"/>
                <w:kern w:val="0"/>
                <w:szCs w:val="21"/>
                <w:highlight w:val="none"/>
                <w:lang w:val="en-US" w:eastAsia="zh-CN"/>
              </w:rPr>
              <w:t>18、</w:t>
            </w:r>
            <w:r>
              <w:rPr>
                <w:rFonts w:hint="eastAsia" w:asciiTheme="minorEastAsia" w:hAnsiTheme="minorEastAsia" w:eastAsiaTheme="minorEastAsia" w:cstheme="minorEastAsia"/>
                <w:b w:val="0"/>
                <w:bCs w:val="0"/>
                <w:kern w:val="0"/>
                <w:sz w:val="21"/>
                <w:szCs w:val="21"/>
                <w:lang w:val="en-US" w:eastAsia="zh-CN" w:bidi="ar-SA"/>
              </w:rPr>
              <w:t xml:space="preserve">为保持原有IPv4业务延续性，需保证现有IP不变（ipv4地址：117.141.254.239-117.141.254.254/255.255.255.192），并另外提供16个IPv4地址，协助校方完成相关备案手续。 </w:t>
            </w:r>
            <w:bookmarkStart w:id="0" w:name="_GoBack"/>
            <w:bookmarkEnd w:id="0"/>
          </w:p>
          <w:p>
            <w:pPr>
              <w:widowControl/>
              <w:numPr>
                <w:ilvl w:val="0"/>
                <w:numId w:val="0"/>
              </w:numPr>
              <w:spacing w:line="360" w:lineRule="exact"/>
              <w:rPr>
                <w:rFonts w:hint="eastAsia" w:asciiTheme="minorEastAsia" w:hAnsiTheme="minorEastAsia" w:cstheme="minorEastAsia"/>
                <w:kern w:val="0"/>
                <w:szCs w:val="21"/>
                <w:highlight w:val="none"/>
              </w:rPr>
            </w:pPr>
            <w:r>
              <w:rPr>
                <w:rFonts w:hint="eastAsia" w:asciiTheme="minorEastAsia" w:hAnsiTheme="minorEastAsia" w:cstheme="minorEastAsia"/>
                <w:b/>
                <w:bCs/>
                <w:kern w:val="0"/>
                <w:szCs w:val="21"/>
                <w:highlight w:val="none"/>
                <w:lang w:val="en-US" w:eastAsia="zh-CN"/>
              </w:rPr>
              <w:t>二、服务期9个月</w:t>
            </w:r>
          </w:p>
        </w:tc>
        <w:tc>
          <w:tcPr>
            <w:tcW w:w="223" w:type="pct"/>
            <w:shd w:val="clear" w:color="auto" w:fill="auto"/>
            <w:noWrap/>
            <w:vAlign w:val="center"/>
          </w:tcPr>
          <w:p>
            <w:pPr>
              <w:widowControl/>
              <w:spacing w:line="36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val="en-US" w:eastAsia="zh-CN"/>
              </w:rPr>
              <w:t>2</w:t>
            </w:r>
          </w:p>
        </w:tc>
        <w:tc>
          <w:tcPr>
            <w:tcW w:w="234" w:type="pct"/>
            <w:shd w:val="clear" w:color="auto" w:fill="auto"/>
            <w:vAlign w:val="center"/>
          </w:tcPr>
          <w:p>
            <w:pPr>
              <w:widowControl/>
              <w:spacing w:line="36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条</w:t>
            </w:r>
          </w:p>
        </w:tc>
        <w:tc>
          <w:tcPr>
            <w:tcW w:w="381" w:type="pct"/>
            <w:shd w:val="clear" w:color="auto" w:fill="auto"/>
            <w:noWrap/>
            <w:vAlign w:val="center"/>
          </w:tcPr>
          <w:p>
            <w:pPr>
              <w:widowControl/>
              <w:spacing w:line="360" w:lineRule="exact"/>
              <w:jc w:val="center"/>
              <w:rPr>
                <w:rFonts w:hint="default" w:asciiTheme="minorEastAsia" w:hAnsiTheme="minorEastAsia" w:eastAsiaTheme="minorEastAsia" w:cstheme="minorEastAsia"/>
                <w:kern w:val="0"/>
                <w:szCs w:val="21"/>
                <w:highlight w:val="none"/>
                <w:lang w:val="en-US" w:eastAsia="zh-CN"/>
              </w:rPr>
            </w:pPr>
            <w:r>
              <w:rPr>
                <w:rFonts w:hint="eastAsia" w:ascii="宋体" w:hAnsi="宋体" w:eastAsia="宋体" w:cs="宋体"/>
                <w:b w:val="0"/>
                <w:bCs w:val="0"/>
                <w:i w:val="0"/>
                <w:iCs w:val="0"/>
                <w:color w:val="000000"/>
                <w:spacing w:val="0"/>
                <w:w w:val="100"/>
                <w:sz w:val="21"/>
                <w:szCs w:val="21"/>
                <w:vertAlign w:val="baseline"/>
                <w:lang w:val="en-US" w:eastAsia="zh-CN"/>
              </w:rPr>
              <w:t>153800</w:t>
            </w:r>
          </w:p>
        </w:tc>
        <w:tc>
          <w:tcPr>
            <w:tcW w:w="430" w:type="pct"/>
            <w:shd w:val="clear" w:color="auto" w:fill="auto"/>
            <w:noWrap/>
            <w:vAlign w:val="center"/>
          </w:tcPr>
          <w:p>
            <w:pPr>
              <w:widowControl/>
              <w:spacing w:line="36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30</w:t>
            </w:r>
            <w:r>
              <w:rPr>
                <w:rFonts w:hint="eastAsia" w:asciiTheme="minorEastAsia" w:hAnsiTheme="minorEastAsia" w:cstheme="minorEastAsia"/>
                <w:kern w:val="0"/>
                <w:szCs w:val="21"/>
                <w:highlight w:val="none"/>
                <w:lang w:val="en-US" w:eastAsia="zh-CN"/>
              </w:rPr>
              <w:t>76</w:t>
            </w:r>
            <w:r>
              <w:rPr>
                <w:rFonts w:hint="eastAsia" w:asciiTheme="minorEastAsia" w:hAnsiTheme="minorEastAsia" w:cstheme="minorEastAsia"/>
                <w:kern w:val="0"/>
                <w:szCs w:val="21"/>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47" w:type="pct"/>
            <w:shd w:val="clear" w:color="auto" w:fill="auto"/>
            <w:noWrap/>
            <w:vAlign w:val="center"/>
          </w:tcPr>
          <w:p>
            <w:pPr>
              <w:widowControl/>
              <w:spacing w:line="360" w:lineRule="exact"/>
              <w:jc w:val="center"/>
              <w:rPr>
                <w:rFonts w:hint="eastAsia" w:asciiTheme="minorEastAsia" w:hAnsiTheme="minorEastAsia" w:cstheme="minorEastAsia"/>
                <w:kern w:val="0"/>
                <w:szCs w:val="21"/>
                <w:highlight w:val="none"/>
              </w:rPr>
            </w:pPr>
          </w:p>
        </w:tc>
        <w:tc>
          <w:tcPr>
            <w:tcW w:w="525" w:type="pct"/>
            <w:shd w:val="clear" w:color="auto" w:fill="auto"/>
            <w:vAlign w:val="center"/>
          </w:tcPr>
          <w:p>
            <w:pPr>
              <w:widowControl/>
              <w:spacing w:line="36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rPr>
              <w:t>合计</w:t>
            </w:r>
          </w:p>
        </w:tc>
        <w:tc>
          <w:tcPr>
            <w:tcW w:w="416" w:type="pct"/>
            <w:shd w:val="clear" w:color="auto" w:fill="auto"/>
            <w:vAlign w:val="center"/>
          </w:tcPr>
          <w:p>
            <w:pPr>
              <w:widowControl/>
              <w:spacing w:line="360" w:lineRule="exact"/>
              <w:jc w:val="center"/>
              <w:rPr>
                <w:rFonts w:hint="eastAsia" w:asciiTheme="minorEastAsia" w:hAnsiTheme="minorEastAsia" w:cstheme="minorEastAsia"/>
                <w:kern w:val="0"/>
                <w:szCs w:val="21"/>
                <w:highlight w:val="none"/>
              </w:rPr>
            </w:pPr>
          </w:p>
        </w:tc>
        <w:tc>
          <w:tcPr>
            <w:tcW w:w="2540" w:type="pct"/>
            <w:shd w:val="clear" w:color="auto" w:fill="auto"/>
            <w:vAlign w:val="center"/>
          </w:tcPr>
          <w:p>
            <w:pPr>
              <w:widowControl/>
              <w:spacing w:line="360" w:lineRule="exact"/>
              <w:rPr>
                <w:rFonts w:hint="eastAsia" w:asciiTheme="minorEastAsia" w:hAnsiTheme="minorEastAsia" w:cstheme="minorEastAsia"/>
                <w:kern w:val="0"/>
                <w:szCs w:val="21"/>
                <w:highlight w:val="none"/>
              </w:rPr>
            </w:pPr>
          </w:p>
        </w:tc>
        <w:tc>
          <w:tcPr>
            <w:tcW w:w="223" w:type="pct"/>
            <w:shd w:val="clear" w:color="auto" w:fill="auto"/>
            <w:noWrap/>
            <w:vAlign w:val="center"/>
          </w:tcPr>
          <w:p>
            <w:pPr>
              <w:widowControl/>
              <w:spacing w:line="360" w:lineRule="exact"/>
              <w:jc w:val="center"/>
              <w:rPr>
                <w:rFonts w:hint="eastAsia" w:asciiTheme="minorEastAsia" w:hAnsiTheme="minorEastAsia" w:cstheme="minorEastAsia"/>
                <w:kern w:val="0"/>
                <w:szCs w:val="21"/>
                <w:highlight w:val="none"/>
              </w:rPr>
            </w:pPr>
          </w:p>
        </w:tc>
        <w:tc>
          <w:tcPr>
            <w:tcW w:w="234" w:type="pct"/>
            <w:shd w:val="clear" w:color="auto" w:fill="auto"/>
            <w:vAlign w:val="center"/>
          </w:tcPr>
          <w:p>
            <w:pPr>
              <w:widowControl/>
              <w:spacing w:line="360" w:lineRule="exact"/>
              <w:jc w:val="center"/>
              <w:rPr>
                <w:rFonts w:hint="eastAsia" w:asciiTheme="minorEastAsia" w:hAnsiTheme="minorEastAsia" w:cstheme="minorEastAsia"/>
                <w:kern w:val="0"/>
                <w:szCs w:val="21"/>
                <w:highlight w:val="none"/>
              </w:rPr>
            </w:pPr>
          </w:p>
        </w:tc>
        <w:tc>
          <w:tcPr>
            <w:tcW w:w="381" w:type="pct"/>
            <w:shd w:val="clear" w:color="auto" w:fill="auto"/>
            <w:noWrap/>
            <w:vAlign w:val="center"/>
          </w:tcPr>
          <w:p>
            <w:pPr>
              <w:widowControl/>
              <w:spacing w:line="360" w:lineRule="exact"/>
              <w:jc w:val="center"/>
              <w:rPr>
                <w:rFonts w:hint="eastAsia" w:asciiTheme="minorEastAsia" w:hAnsiTheme="minorEastAsia" w:cstheme="minorEastAsia"/>
                <w:kern w:val="0"/>
                <w:szCs w:val="21"/>
                <w:highlight w:val="none"/>
              </w:rPr>
            </w:pPr>
          </w:p>
        </w:tc>
        <w:tc>
          <w:tcPr>
            <w:tcW w:w="430" w:type="pct"/>
            <w:shd w:val="clear" w:color="auto" w:fill="auto"/>
            <w:noWrap/>
            <w:vAlign w:val="center"/>
          </w:tcPr>
          <w:p>
            <w:pPr>
              <w:widowControl/>
              <w:spacing w:line="360" w:lineRule="exact"/>
              <w:jc w:val="center"/>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307600</w:t>
            </w:r>
          </w:p>
        </w:tc>
      </w:tr>
    </w:tbl>
    <w:p/>
    <w:p/>
    <w:p/>
    <w:p/>
    <w:p/>
    <w:p/>
    <w:tbl>
      <w:tblPr>
        <w:tblStyle w:val="5"/>
        <w:tblpPr w:leftFromText="180" w:rightFromText="180" w:vertAnchor="text" w:horzAnchor="page" w:tblpXSpec="center" w:tblpY="576"/>
        <w:tblOverlap w:val="never"/>
        <w:tblW w:w="5101" w:type="pct"/>
        <w:jc w:val="center"/>
        <w:tblLayout w:type="autofit"/>
        <w:tblCellMar>
          <w:top w:w="0" w:type="dxa"/>
          <w:left w:w="108" w:type="dxa"/>
          <w:bottom w:w="0" w:type="dxa"/>
          <w:right w:w="108" w:type="dxa"/>
        </w:tblCellMar>
      </w:tblPr>
      <w:tblGrid>
        <w:gridCol w:w="1698"/>
        <w:gridCol w:w="12762"/>
      </w:tblGrid>
      <w:tr>
        <w:tblPrEx>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400" w:lineRule="exact"/>
              <w:jc w:val="left"/>
              <w:textAlignment w:val="center"/>
              <w:rPr>
                <w:rFonts w:hint="eastAsia" w:asciiTheme="minorEastAsia" w:hAnsiTheme="minorEastAsia" w:cstheme="minorEastAsia"/>
                <w:b/>
                <w:bCs/>
                <w:szCs w:val="21"/>
              </w:rPr>
            </w:pP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二、商务服务要求表</w:t>
            </w:r>
          </w:p>
        </w:tc>
      </w:tr>
      <w:tr>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center"/>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交货时间及地点</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left"/>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1.交货期：合同签订之日起</w:t>
            </w:r>
            <w:r>
              <w:rPr>
                <w:rFonts w:hint="eastAsia" w:asciiTheme="minorEastAsia" w:hAnsiTheme="minorEastAsia" w:cstheme="minorEastAsia"/>
                <w:kern w:val="0"/>
                <w:szCs w:val="21"/>
                <w:u w:val="single"/>
              </w:rPr>
              <w:t>15</w:t>
            </w:r>
            <w:r>
              <w:rPr>
                <w:rFonts w:hint="eastAsia" w:asciiTheme="minorEastAsia" w:hAnsiTheme="minorEastAsia" w:cstheme="minorEastAsia"/>
                <w:kern w:val="0"/>
                <w:szCs w:val="21"/>
              </w:rPr>
              <w:t>个日历日内交货并安装调试完毕。</w:t>
            </w:r>
          </w:p>
          <w:p>
            <w:pPr>
              <w:widowControl/>
              <w:snapToGrid w:val="0"/>
              <w:spacing w:line="400" w:lineRule="exact"/>
              <w:jc w:val="left"/>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2.交货地点：</w:t>
            </w:r>
            <w:r>
              <w:rPr>
                <w:rFonts w:hint="eastAsia" w:asciiTheme="minorEastAsia" w:hAnsiTheme="minorEastAsia" w:cstheme="minorEastAsia"/>
                <w:szCs w:val="21"/>
              </w:rPr>
              <w:t>广西南宁市采购人指定地点（广西水利电力职业技术学院里建校区）</w:t>
            </w:r>
            <w:r>
              <w:rPr>
                <w:rStyle w:val="7"/>
                <w:rFonts w:hint="default" w:asciiTheme="minorEastAsia" w:hAnsiTheme="minorEastAsia" w:eastAsiaTheme="minorEastAsia" w:cstheme="minorEastAsia"/>
                <w:color w:val="auto"/>
                <w:sz w:val="21"/>
                <w:szCs w:val="21"/>
              </w:rPr>
              <w:t>。</w:t>
            </w:r>
          </w:p>
        </w:tc>
      </w:tr>
      <w:tr>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center"/>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质保期</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left"/>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按国家有关规定或厂家承诺实行“三包”，</w:t>
            </w:r>
            <w:r>
              <w:rPr>
                <w:rFonts w:hint="eastAsia" w:asciiTheme="minorEastAsia" w:hAnsiTheme="minorEastAsia" w:cstheme="minorEastAsia"/>
                <w:kern w:val="0"/>
                <w:szCs w:val="21"/>
              </w:rPr>
              <w:t>质保期从验收合格之日起整机不少于</w:t>
            </w:r>
            <w:r>
              <w:rPr>
                <w:rFonts w:hint="eastAsia" w:asciiTheme="minorEastAsia" w:hAnsiTheme="minorEastAsia" w:cstheme="minorEastAsia"/>
                <w:kern w:val="0"/>
                <w:szCs w:val="21"/>
                <w:u w:val="single"/>
              </w:rPr>
              <w:t>1</w:t>
            </w:r>
            <w:r>
              <w:rPr>
                <w:rFonts w:hint="eastAsia" w:asciiTheme="minorEastAsia" w:hAnsiTheme="minorEastAsia" w:cstheme="minorEastAsia"/>
                <w:kern w:val="0"/>
                <w:szCs w:val="21"/>
              </w:rPr>
              <w:t>年（技术参数中有特别指明质保期的按参数要求，厂家质保期高于采购要求的按厂家质保）</w:t>
            </w:r>
            <w:r>
              <w:rPr>
                <w:rStyle w:val="7"/>
                <w:rFonts w:hint="default" w:asciiTheme="minorEastAsia" w:hAnsiTheme="minorEastAsia" w:eastAsiaTheme="minorEastAsia" w:cstheme="minorEastAsia"/>
                <w:color w:val="auto"/>
                <w:sz w:val="21"/>
                <w:szCs w:val="21"/>
              </w:rPr>
              <w:t>，质保期内全免费上门维修、免费更换零部件，质保期过后提供终身技术支持和维护。</w:t>
            </w:r>
          </w:p>
        </w:tc>
      </w:tr>
      <w:tr>
        <w:tblPrEx>
          <w:tblCellMar>
            <w:top w:w="0" w:type="dxa"/>
            <w:left w:w="108" w:type="dxa"/>
            <w:bottom w:w="0" w:type="dxa"/>
            <w:right w:w="108" w:type="dxa"/>
          </w:tblCellMar>
        </w:tblPrEx>
        <w:trPr>
          <w:trHeight w:val="1124"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rPr>
              <w:t>产品质量与售后服务要求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rPr>
                <w:rStyle w:val="7"/>
                <w:rFonts w:hint="default"/>
                <w:color w:val="auto"/>
                <w:sz w:val="21"/>
                <w:szCs w:val="21"/>
              </w:rPr>
            </w:pPr>
            <w:r>
              <w:rPr>
                <w:rStyle w:val="7"/>
                <w:rFonts w:hint="default" w:asciiTheme="minorEastAsia" w:hAnsiTheme="minorEastAsia" w:eastAsiaTheme="minorEastAsia" w:cstheme="minorEastAsia"/>
                <w:color w:val="auto"/>
                <w:sz w:val="21"/>
                <w:szCs w:val="21"/>
              </w:rPr>
              <w:t>1、</w:t>
            </w:r>
            <w:r>
              <w:rPr>
                <w:rFonts w:hint="eastAsia" w:asciiTheme="minorEastAsia" w:hAnsiTheme="minorEastAsia" w:cstheme="minorEastAsia"/>
                <w:szCs w:val="21"/>
              </w:rPr>
              <w:t>供应商所投产品必须能实质性响应采购要求（所投产品应完全满足或优于采购参数要求），供货时能按照采购需求的要求提供厂家的供货证明和售后服务承诺书原件，避免假冒伪劣产品。对不能满足参数要求虚假响应，或者签订合同后15个日历日内无法交付使用的，采购人可作废标处理，并依法向供应商追究违约责任。</w:t>
            </w:r>
          </w:p>
          <w:p>
            <w:pPr>
              <w:widowControl/>
              <w:snapToGrid w:val="0"/>
              <w:spacing w:line="400" w:lineRule="exact"/>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2、</w:t>
            </w:r>
            <w:r>
              <w:rPr>
                <w:rFonts w:hint="eastAsia" w:asciiTheme="minorEastAsia" w:hAnsiTheme="minorEastAsia" w:cstheme="minorEastAsia"/>
                <w:szCs w:val="21"/>
              </w:rPr>
              <w:t>验收时，采购方将严格按照采购文件要求进行验收，如交付产品不能满足采购要求和合同约定质量标准的视为验收不合格，双方还有异议则邀请专业的机构做技术检测，所有费用由中标商负责，同时中标供应商需承担因验收不合格被采购人终止合同的一切风险和费用。</w:t>
            </w:r>
          </w:p>
          <w:p>
            <w:pPr>
              <w:widowControl/>
              <w:snapToGrid w:val="0"/>
              <w:spacing w:line="400" w:lineRule="exact"/>
              <w:jc w:val="left"/>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3、故障响应时间：</w:t>
            </w:r>
            <w:r>
              <w:rPr>
                <w:rFonts w:hint="eastAsia" w:asciiTheme="minorEastAsia" w:hAnsiTheme="minorEastAsia" w:cstheme="minorEastAsia"/>
                <w:kern w:val="0"/>
                <w:szCs w:val="21"/>
              </w:rPr>
              <w:t>成交供应商收到采购人的故障维修通知后</w:t>
            </w:r>
            <w:r>
              <w:rPr>
                <w:rFonts w:hint="eastAsia" w:ascii="宋体" w:hAnsi="宋体" w:cs="宋体"/>
                <w:kern w:val="0"/>
                <w:szCs w:val="21"/>
              </w:rPr>
              <w:t>30分钟内</w:t>
            </w:r>
            <w:r>
              <w:rPr>
                <w:rFonts w:hint="eastAsia" w:ascii="宋体" w:hAnsi="宋体" w:cs="宋体"/>
                <w:szCs w:val="21"/>
              </w:rPr>
              <w:t>电话服务应答</w:t>
            </w:r>
            <w:r>
              <w:rPr>
                <w:rFonts w:hint="eastAsia" w:ascii="宋体" w:hAnsi="宋体" w:cs="宋体"/>
                <w:kern w:val="0"/>
                <w:szCs w:val="21"/>
              </w:rPr>
              <w:t>，</w:t>
            </w:r>
            <w:r>
              <w:rPr>
                <w:rFonts w:hint="eastAsia" w:asciiTheme="minorEastAsia" w:hAnsiTheme="minorEastAsia" w:cstheme="minorEastAsia"/>
                <w:kern w:val="0"/>
                <w:szCs w:val="21"/>
              </w:rPr>
              <w:t>2小时内到达现场进行维修，4小时内排除故障，</w:t>
            </w:r>
            <w:r>
              <w:rPr>
                <w:rFonts w:hint="eastAsia" w:ascii="宋体" w:hAnsi="宋体" w:cs="宋体"/>
                <w:szCs w:val="21"/>
              </w:rPr>
              <w:t>如24小时内无法修复的，质保期内成交供应商应无条件更换新设备或提供代用设备，或采取使设备可正常运转的措施(必须响应)。</w:t>
            </w:r>
          </w:p>
        </w:tc>
      </w:tr>
      <w:tr>
        <w:tblPrEx>
          <w:tblCellMar>
            <w:top w:w="0" w:type="dxa"/>
            <w:left w:w="108" w:type="dxa"/>
            <w:bottom w:w="0" w:type="dxa"/>
            <w:right w:w="108" w:type="dxa"/>
          </w:tblCellMar>
        </w:tblPrEx>
        <w:trPr>
          <w:trHeight w:val="47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Theme="minorEastAsia" w:hAnsiTheme="minorEastAsia" w:cstheme="minorEastAsia"/>
                <w:szCs w:val="21"/>
              </w:rPr>
            </w:pPr>
            <w:r>
              <w:rPr>
                <w:rFonts w:hint="eastAsia" w:asciiTheme="minorEastAsia" w:hAnsiTheme="minorEastAsia" w:cstheme="minorEastAsia"/>
                <w:szCs w:val="21"/>
              </w:rPr>
              <w:t>实施和安装要求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hint="eastAsia" w:asciiTheme="minorEastAsia" w:hAnsiTheme="minorEastAsia" w:cstheme="minorEastAsia"/>
                <w:szCs w:val="21"/>
              </w:rPr>
            </w:pPr>
            <w:r>
              <w:rPr>
                <w:rFonts w:hint="eastAsia" w:asciiTheme="minorEastAsia" w:hAnsiTheme="minorEastAsia" w:cstheme="minorEastAsia"/>
                <w:szCs w:val="21"/>
              </w:rPr>
              <w:t>本项目为交钥匙工程，成交后，供应商需应严格按竞标产品的安装规范要求进行安装调试，保证设备正常运行，质量合格。</w:t>
            </w:r>
          </w:p>
          <w:p>
            <w:pPr>
              <w:spacing w:line="400" w:lineRule="exact"/>
              <w:jc w:val="left"/>
              <w:rPr>
                <w:rFonts w:hint="eastAsia" w:asciiTheme="minorEastAsia" w:hAnsiTheme="minorEastAsia" w:cstheme="minorEastAsia"/>
                <w:szCs w:val="21"/>
              </w:rPr>
            </w:pPr>
            <w:r>
              <w:rPr>
                <w:rFonts w:hint="eastAsia" w:asciiTheme="minorEastAsia" w:hAnsiTheme="minorEastAsia" w:cstheme="minorEastAsia"/>
                <w:szCs w:val="21"/>
              </w:rPr>
              <w:t>（1）根据采购要求的工期提供项目实施方案及进度安排计划表；</w:t>
            </w:r>
          </w:p>
          <w:p>
            <w:pPr>
              <w:spacing w:line="400" w:lineRule="exact"/>
              <w:jc w:val="left"/>
              <w:rPr>
                <w:rFonts w:hint="eastAsia" w:asciiTheme="minorEastAsia" w:hAnsiTheme="minorEastAsia" w:cstheme="minorEastAsia"/>
                <w:szCs w:val="21"/>
              </w:rPr>
            </w:pPr>
            <w:r>
              <w:rPr>
                <w:rFonts w:hint="eastAsia" w:asciiTheme="minorEastAsia" w:hAnsiTheme="minorEastAsia" w:cstheme="minorEastAsia"/>
                <w:bCs/>
                <w:szCs w:val="21"/>
              </w:rPr>
              <w:t>（2）</w:t>
            </w:r>
            <w:r>
              <w:rPr>
                <w:rFonts w:hint="eastAsia" w:asciiTheme="minorEastAsia" w:hAnsiTheme="minorEastAsia" w:cstheme="minorEastAsia"/>
                <w:szCs w:val="21"/>
              </w:rPr>
              <w:t>供应商必须服从采购单位现场负责人的指挥，按指定地点进行设备安装、调试，确保设备安装符合国家现行技术规范标准；</w:t>
            </w:r>
          </w:p>
          <w:p>
            <w:pPr>
              <w:spacing w:line="400" w:lineRule="exact"/>
              <w:jc w:val="left"/>
              <w:rPr>
                <w:rFonts w:hint="eastAsia" w:asciiTheme="minorEastAsia" w:hAnsiTheme="minorEastAsia" w:cstheme="minorEastAsia"/>
                <w:szCs w:val="21"/>
              </w:rPr>
            </w:pPr>
            <w:r>
              <w:rPr>
                <w:szCs w:val="21"/>
              </w:rPr>
              <w:t>（3）</w:t>
            </w:r>
            <w:r>
              <w:rPr>
                <w:rFonts w:hint="eastAsia" w:asciiTheme="minorEastAsia" w:hAnsiTheme="minorEastAsia" w:cstheme="minorEastAsia"/>
                <w:szCs w:val="21"/>
              </w:rPr>
              <w:t>安装过程中的所有安全保障由供应商自行负责；</w:t>
            </w:r>
          </w:p>
          <w:p>
            <w:pPr>
              <w:spacing w:line="400" w:lineRule="exact"/>
              <w:rPr>
                <w:rFonts w:hint="eastAsia" w:asciiTheme="minorEastAsia" w:hAnsiTheme="minorEastAsia" w:cstheme="minorEastAsia"/>
                <w:kern w:val="0"/>
                <w:szCs w:val="21"/>
                <w:lang w:val="zh-CN"/>
              </w:rPr>
            </w:pPr>
            <w:r>
              <w:rPr>
                <w:rFonts w:hint="eastAsia" w:asciiTheme="minorEastAsia" w:hAnsiTheme="minorEastAsia" w:cstheme="minorEastAsia"/>
                <w:kern w:val="0"/>
                <w:szCs w:val="21"/>
                <w:lang w:val="zh-CN"/>
              </w:rPr>
              <w:t>（</w:t>
            </w:r>
            <w:r>
              <w:rPr>
                <w:rFonts w:hint="eastAsia" w:asciiTheme="minorEastAsia" w:hAnsiTheme="minorEastAsia" w:cstheme="minorEastAsia"/>
                <w:kern w:val="0"/>
                <w:szCs w:val="21"/>
              </w:rPr>
              <w:t>4</w:t>
            </w:r>
            <w:r>
              <w:rPr>
                <w:rFonts w:hint="eastAsia" w:asciiTheme="minorEastAsia" w:hAnsiTheme="minorEastAsia" w:cstheme="minorEastAsia"/>
                <w:kern w:val="0"/>
                <w:szCs w:val="21"/>
                <w:lang w:val="zh-CN"/>
              </w:rPr>
              <w:t>）项目实施过程中产生的垃圾废料由供应商负责清理至校外。</w:t>
            </w:r>
          </w:p>
        </w:tc>
      </w:tr>
      <w:tr>
        <w:tblPrEx>
          <w:tblCellMar>
            <w:top w:w="0" w:type="dxa"/>
            <w:left w:w="108" w:type="dxa"/>
            <w:bottom w:w="0" w:type="dxa"/>
            <w:right w:w="108" w:type="dxa"/>
          </w:tblCellMar>
        </w:tblPrEx>
        <w:trPr>
          <w:trHeight w:val="839"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center"/>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付款方式</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left"/>
              <w:textAlignment w:val="center"/>
              <w:rPr>
                <w:rFonts w:hint="eastAsia" w:asciiTheme="minorEastAsia" w:hAnsiTheme="minorEastAsia" w:cstheme="minorEastAsia"/>
                <w:szCs w:val="21"/>
              </w:rPr>
            </w:pPr>
            <w:r>
              <w:rPr>
                <w:szCs w:val="21"/>
              </w:rPr>
              <w:t> </w:t>
            </w:r>
            <w:r>
              <w:rPr>
                <w:rFonts w:hint="eastAsia" w:asciiTheme="minorEastAsia" w:hAnsiTheme="minorEastAsia" w:cstheme="minorEastAsia"/>
                <w:kern w:val="0"/>
                <w:szCs w:val="21"/>
              </w:rPr>
              <w:t>项目全部货物服务交付并安装调试至正常运行，经采购人最终验收合格后，中标人开具增值税专用发票给采购人，采购人在收到发票后10个工作日内一次性支付100%合同货款。</w:t>
            </w:r>
          </w:p>
        </w:tc>
      </w:tr>
      <w:tr>
        <w:tblPrEx>
          <w:tblCellMar>
            <w:top w:w="0" w:type="dxa"/>
            <w:left w:w="108" w:type="dxa"/>
            <w:bottom w:w="0" w:type="dxa"/>
            <w:right w:w="108" w:type="dxa"/>
          </w:tblCellMar>
        </w:tblPrEx>
        <w:trPr>
          <w:trHeight w:val="437"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center"/>
              <w:textAlignment w:val="center"/>
              <w:rPr>
                <w:rFonts w:hint="eastAsia" w:asciiTheme="minorEastAsia" w:hAnsiTheme="minorEastAsia" w:cstheme="minorEastAsia"/>
                <w:szCs w:val="21"/>
              </w:rPr>
            </w:pPr>
            <w:r>
              <w:rPr>
                <w:rStyle w:val="7"/>
                <w:rFonts w:hint="default" w:asciiTheme="minorEastAsia" w:hAnsiTheme="minorEastAsia" w:eastAsiaTheme="minorEastAsia" w:cstheme="minorEastAsia"/>
                <w:color w:val="auto"/>
                <w:sz w:val="21"/>
                <w:szCs w:val="21"/>
              </w:rPr>
              <w:t>验收要求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napToGrid w:val="0"/>
              <w:spacing w:line="400" w:lineRule="exact"/>
              <w:jc w:val="left"/>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pPr>
              <w:widowControl/>
              <w:snapToGrid w:val="0"/>
              <w:spacing w:line="400" w:lineRule="exact"/>
              <w:jc w:val="left"/>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pPr>
              <w:widowControl/>
              <w:snapToGrid w:val="0"/>
              <w:spacing w:line="400" w:lineRule="exact"/>
              <w:jc w:val="left"/>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3、货物（设备）验收合格，项目约定产品或服务方可正式交接，双方对相关货物清单、随机附件及验收结论意见书等书面材料进行清点签字后，作为项目的最终验收。</w:t>
            </w:r>
          </w:p>
          <w:p>
            <w:pPr>
              <w:widowControl/>
              <w:snapToGrid w:val="0"/>
              <w:spacing w:line="400" w:lineRule="exact"/>
              <w:jc w:val="left"/>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4、验收费用：验收所产生的劳务费、检验费及相关发生的全部费用均由成交人承担。</w:t>
            </w:r>
          </w:p>
        </w:tc>
      </w:tr>
      <w:tr>
        <w:tblPrEx>
          <w:tblCellMar>
            <w:top w:w="0" w:type="dxa"/>
            <w:left w:w="108" w:type="dxa"/>
            <w:bottom w:w="0" w:type="dxa"/>
            <w:right w:w="108" w:type="dxa"/>
          </w:tblCellMar>
        </w:tblPrEx>
        <w:trPr>
          <w:trHeight w:val="421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400" w:lineRule="exact"/>
              <w:jc w:val="center"/>
              <w:textAlignment w:val="center"/>
              <w:rPr>
                <w:rFonts w:hint="eastAsia" w:asciiTheme="minorEastAsia" w:hAnsiTheme="minorEastAsia" w:cstheme="minorEastAsia"/>
                <w:szCs w:val="21"/>
              </w:rPr>
            </w:pPr>
            <w:r>
              <w:rPr>
                <w:rFonts w:hint="eastAsia" w:asciiTheme="minorEastAsia" w:hAnsiTheme="minorEastAsia" w:cstheme="minorEastAsia"/>
                <w:kern w:val="0"/>
                <w:szCs w:val="21"/>
              </w:rPr>
              <w:t>其他要求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ind w:firstLine="420" w:firstLineChars="200"/>
              <w:rPr>
                <w:rFonts w:hint="eastAsia" w:ascii="宋体" w:hAnsi="宋体" w:eastAsia="宋体" w:cs="宋体"/>
                <w:szCs w:val="21"/>
              </w:rPr>
            </w:pPr>
            <w:r>
              <w:rPr>
                <w:rFonts w:hint="eastAsia" w:ascii="宋体" w:hAnsi="宋体" w:eastAsia="宋体" w:cs="宋体"/>
                <w:kern w:val="0"/>
                <w:szCs w:val="21"/>
              </w:rPr>
              <w:t>1、供应商必须实质性响应本项目标注“★”的技术参数要求，不允许负偏离。投标时，供应商所投产品须满足或优于技术参数配置要求【</w:t>
            </w:r>
            <w:r>
              <w:rPr>
                <w:rFonts w:hint="eastAsia" w:ascii="宋体" w:hAnsi="宋体" w:eastAsia="宋体"/>
                <w:szCs w:val="21"/>
              </w:rPr>
              <w:t>需提供</w:t>
            </w:r>
            <w:r>
              <w:rPr>
                <w:rFonts w:hint="eastAsia" w:ascii="宋体" w:hAnsi="宋体"/>
                <w:szCs w:val="21"/>
              </w:rPr>
              <w:t>《商务、技术响应、偏离情况说明表》（格式自拟）、《竞标报价表》和</w:t>
            </w:r>
            <w:r>
              <w:rPr>
                <w:rFonts w:hint="eastAsia" w:ascii="宋体" w:hAnsi="宋体" w:eastAsia="宋体" w:cs="宋体"/>
                <w:kern w:val="0"/>
                <w:szCs w:val="21"/>
              </w:rPr>
              <w:t>投标产品的《技术参数配置清单》（格式见附件）及相关佐证材料，以上材料加盖供应商公章】， 否则视为无效响应。</w:t>
            </w:r>
          </w:p>
          <w:p>
            <w:pPr>
              <w:autoSpaceDE w:val="0"/>
              <w:autoSpaceDN w:val="0"/>
              <w:adjustRightInd w:val="0"/>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szCs w:val="21"/>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szCs w:val="21"/>
              </w:rPr>
              <w:t>本项目采购的产品如属于</w:t>
            </w:r>
            <w:r>
              <w:rPr>
                <w:rFonts w:hint="eastAsia"/>
                <w:szCs w:val="21"/>
              </w:rPr>
              <w:t>节能产品政府采购品目清单内标注“</w:t>
            </w:r>
            <w:r>
              <w:rPr>
                <w:rFonts w:hint="eastAsia" w:ascii="宋体" w:hAnsi="宋体" w:eastAsia="宋体" w:cs="宋体"/>
                <w:kern w:val="0"/>
                <w:szCs w:val="21"/>
              </w:rPr>
              <w:t>▲</w:t>
            </w:r>
            <w:r>
              <w:rPr>
                <w:rFonts w:hint="eastAsia"/>
                <w:szCs w:val="21"/>
              </w:rPr>
              <w:t>”的产品的，供应商的竞标货物必须使用政府强制采购的节能产品，</w:t>
            </w:r>
            <w:r>
              <w:rPr>
                <w:rFonts w:hint="eastAsia" w:ascii="宋体" w:hAnsi="宋体" w:eastAsia="宋体" w:cs="宋体"/>
                <w:szCs w:val="21"/>
              </w:rPr>
              <w:t>竞标时须提供国家确定的认证机构出具的、处于有效期之内的有效的节能产品、环保产品认证证书复印件并加盖供应商公章，</w:t>
            </w:r>
            <w:r>
              <w:rPr>
                <w:rFonts w:hint="eastAsia"/>
                <w:szCs w:val="21"/>
              </w:rPr>
              <w:t>否则响应文件作无效竞标处理。</w:t>
            </w:r>
          </w:p>
          <w:p>
            <w:pPr>
              <w:widowControl/>
              <w:snapToGrid w:val="0"/>
              <w:spacing w:line="400" w:lineRule="exact"/>
              <w:ind w:firstLine="420" w:firstLineChars="200"/>
              <w:jc w:val="left"/>
              <w:textAlignment w:val="center"/>
              <w:rPr>
                <w:rFonts w:hint="eastAsia" w:asciiTheme="minorEastAsia" w:hAnsiTheme="minorEastAsia" w:cstheme="minorEastAsia"/>
                <w:szCs w:val="21"/>
              </w:rPr>
            </w:pPr>
            <w:r>
              <w:rPr>
                <w:rFonts w:hint="eastAsia" w:ascii="宋体" w:hAnsi="宋体" w:eastAsia="宋体" w:cs="宋体"/>
                <w:kern w:val="0"/>
                <w:szCs w:val="21"/>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szCs w:val="21"/>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pPr>
        <w:rPr>
          <w:rFonts w:hint="eastAsia"/>
        </w:rPr>
      </w:pPr>
    </w:p>
    <w:p>
      <w:pPr>
        <w:rPr>
          <w:rFonts w:hint="eastAsia"/>
        </w:rPr>
      </w:pPr>
    </w:p>
    <w:p>
      <w:r>
        <w:rPr>
          <w:rFonts w:hint="eastAsia"/>
        </w:rPr>
        <w:t>附件</w:t>
      </w:r>
    </w:p>
    <w:p>
      <w:pPr>
        <w:tabs>
          <w:tab w:val="left" w:pos="3479"/>
        </w:tabs>
        <w:spacing w:line="520" w:lineRule="exact"/>
        <w:jc w:val="center"/>
        <w:rPr>
          <w:rFonts w:hint="eastAsia" w:asciiTheme="minorEastAsia" w:hAnsiTheme="minorEastAsia" w:cstheme="minorEastAsia"/>
          <w:b/>
          <w:sz w:val="32"/>
          <w:szCs w:val="32"/>
        </w:rPr>
      </w:pPr>
      <w:r>
        <w:rPr>
          <w:rFonts w:hint="eastAsia" w:asciiTheme="minorEastAsia" w:hAnsiTheme="minorEastAsia" w:cstheme="minorEastAsia"/>
          <w:b/>
          <w:sz w:val="44"/>
          <w:szCs w:val="44"/>
        </w:rPr>
        <w:t>竞  标  报  价  表</w:t>
      </w:r>
    </w:p>
    <w:p>
      <w:pPr>
        <w:spacing w:line="520" w:lineRule="exact"/>
        <w:jc w:val="center"/>
        <w:rPr>
          <w:rFonts w:hint="eastAsia" w:ascii="方正小标宋简体" w:hAnsi="方正小标宋简体" w:eastAsia="方正小标宋简体" w:cs="方正小标宋简体"/>
          <w:bCs/>
          <w:sz w:val="32"/>
          <w:szCs w:val="32"/>
        </w:rPr>
      </w:pPr>
    </w:p>
    <w:p>
      <w:pPr>
        <w:snapToGrid w:val="0"/>
        <w:spacing w:line="360" w:lineRule="auto"/>
        <w:rPr>
          <w:rFonts w:hint="eastAsia" w:ascii="宋体" w:hAnsi="宋体" w:cs="仿宋_GB2312"/>
          <w:sz w:val="24"/>
        </w:rPr>
      </w:pPr>
      <w:r>
        <w:rPr>
          <w:rFonts w:hint="eastAsia" w:ascii="宋体" w:hAnsi="宋体" w:cs="仿宋_GB2312"/>
          <w:sz w:val="24"/>
        </w:rPr>
        <w:t>项目名称：                                                                                    单位：元</w:t>
      </w:r>
    </w:p>
    <w:tbl>
      <w:tblPr>
        <w:tblStyle w:val="5"/>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项号</w:t>
            </w:r>
          </w:p>
        </w:tc>
        <w:tc>
          <w:tcPr>
            <w:tcW w:w="43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品牌</w:t>
            </w: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单位</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数量</w:t>
            </w:r>
          </w:p>
          <w:p>
            <w:pPr>
              <w:spacing w:line="360" w:lineRule="exact"/>
              <w:jc w:val="center"/>
              <w:rPr>
                <w:rFonts w:hint="eastAsia" w:ascii="宋体" w:hAnsi="宋体" w:cs="仿宋_GB2312"/>
                <w:b/>
                <w:bCs/>
                <w:szCs w:val="21"/>
              </w:rPr>
            </w:pPr>
            <w:r>
              <w:rPr>
                <w:rFonts w:hint="eastAsia" w:ascii="宋体" w:hAnsi="宋体" w:cs="仿宋_GB2312"/>
                <w:b/>
                <w:bCs/>
                <w:szCs w:val="21"/>
              </w:rPr>
              <w:t>①</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单价</w:t>
            </w:r>
          </w:p>
          <w:p>
            <w:pPr>
              <w:spacing w:line="360" w:lineRule="exact"/>
              <w:jc w:val="center"/>
              <w:rPr>
                <w:rFonts w:hint="eastAsia" w:ascii="宋体" w:hAnsi="宋体" w:cs="仿宋_GB2312"/>
                <w:b/>
                <w:bCs/>
                <w:szCs w:val="21"/>
              </w:rPr>
            </w:pPr>
            <w:r>
              <w:rPr>
                <w:rFonts w:hint="eastAsia" w:ascii="宋体" w:hAnsi="宋体" w:cs="仿宋_GB2312"/>
                <w:b/>
                <w:bCs/>
                <w:szCs w:val="21"/>
              </w:rPr>
              <w:t>②</w:t>
            </w:r>
          </w:p>
        </w:tc>
        <w:tc>
          <w:tcPr>
            <w:tcW w:w="23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r>
              <w:rPr>
                <w:rFonts w:hint="eastAsia" w:ascii="宋体" w:hAnsi="宋体" w:cs="仿宋_GB2312"/>
                <w:b/>
                <w:bCs/>
                <w:szCs w:val="21"/>
              </w:rPr>
              <w:t>竞标报价</w:t>
            </w:r>
          </w:p>
          <w:p>
            <w:pPr>
              <w:spacing w:line="360" w:lineRule="exact"/>
              <w:jc w:val="center"/>
              <w:rPr>
                <w:rFonts w:hint="eastAsia" w:ascii="宋体" w:hAnsi="宋体" w:cs="仿宋_GB2312"/>
                <w:b/>
                <w:bCs/>
                <w:szCs w:val="21"/>
              </w:rPr>
            </w:pPr>
            <w:r>
              <w:rPr>
                <w:rFonts w:hint="eastAsia" w:ascii="宋体" w:hAnsi="宋体" w:cs="仿宋_GB2312"/>
                <w:b/>
                <w:bCs/>
                <w:szCs w:val="21"/>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r>
              <w:rPr>
                <w:rFonts w:hint="eastAsia" w:ascii="宋体" w:hAnsi="宋体" w:cs="仿宋_GB2312"/>
                <w:szCs w:val="21"/>
              </w:rPr>
              <w:t>1</w:t>
            </w:r>
          </w:p>
        </w:tc>
        <w:tc>
          <w:tcPr>
            <w:tcW w:w="4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r>
              <w:rPr>
                <w:rFonts w:hint="eastAsia" w:ascii="宋体" w:hAnsi="宋体" w:cs="仿宋_GB2312"/>
                <w:szCs w:val="21"/>
              </w:rPr>
              <w:t>2</w:t>
            </w:r>
          </w:p>
        </w:tc>
        <w:tc>
          <w:tcPr>
            <w:tcW w:w="4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r>
              <w:rPr>
                <w:rFonts w:hint="eastAsia" w:ascii="宋体" w:hAnsi="宋体"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r>
              <w:rPr>
                <w:rFonts w:hint="eastAsia" w:ascii="宋体" w:hAnsi="宋体"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r>
              <w:rPr>
                <w:rFonts w:hint="eastAsia" w:ascii="宋体" w:hAnsi="宋体" w:cs="仿宋_GB2312"/>
                <w:szCs w:val="21"/>
              </w:rPr>
              <w:t>…</w:t>
            </w:r>
          </w:p>
        </w:tc>
        <w:tc>
          <w:tcPr>
            <w:tcW w:w="43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r>
              <w:rPr>
                <w:rFonts w:hint="eastAsia" w:ascii="宋体" w:hAnsi="宋体" w:cs="仿宋_GB2312"/>
                <w:szCs w:val="21"/>
              </w:rPr>
              <w:t>……</w:t>
            </w:r>
          </w:p>
        </w:tc>
        <w:tc>
          <w:tcPr>
            <w:tcW w:w="2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仿宋_GB2312"/>
                <w:b/>
                <w:bCs/>
                <w:szCs w:val="21"/>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c>
          <w:tcPr>
            <w:tcW w:w="2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仿宋_GB2312"/>
                <w:szCs w:val="21"/>
                <w:u w:val="single"/>
              </w:rPr>
            </w:pPr>
            <w:r>
              <w:rPr>
                <w:rFonts w:hint="eastAsia" w:ascii="宋体" w:hAnsi="宋体" w:cs="仿宋_GB2312"/>
                <w:szCs w:val="21"/>
              </w:rPr>
              <w:t>合计金额大写：人民币      （</w:t>
            </w:r>
            <w:r>
              <w:rPr>
                <w:rFonts w:hint="eastAsia" w:ascii="宋体" w:hAnsi="宋体" w:eastAsia="宋体" w:cs="宋体"/>
                <w:szCs w:val="21"/>
              </w:rPr>
              <w:t>￥</w:t>
            </w:r>
            <w:r>
              <w:rPr>
                <w:rFonts w:hint="eastAsia" w:ascii="宋体" w:hAnsi="宋体" w:cs="仿宋_GB2312"/>
                <w:szCs w:val="21"/>
              </w:rPr>
              <w:t>：   ）</w:t>
            </w:r>
          </w:p>
        </w:tc>
      </w:tr>
    </w:tbl>
    <w:p>
      <w:pPr>
        <w:spacing w:line="3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注: 1.所有价格均用人民币表示，单位为元，精确到小数点后两数位。</w:t>
      </w:r>
    </w:p>
    <w:p>
      <w:pPr>
        <w:spacing w:line="360" w:lineRule="exact"/>
        <w:ind w:firstLine="840" w:firstLineChars="400"/>
        <w:contextualSpacing/>
        <w:rPr>
          <w:rFonts w:hint="eastAsia" w:ascii="宋体" w:hAnsi="宋体" w:eastAsia="宋体" w:cs="Times New Roman"/>
          <w:szCs w:val="21"/>
        </w:rPr>
      </w:pPr>
      <w:r>
        <w:rPr>
          <w:rFonts w:hint="eastAsia" w:ascii="宋体" w:hAnsi="宋体" w:eastAsia="宋体" w:cs="Times New Roman"/>
          <w:szCs w:val="21"/>
        </w:rPr>
        <w:t>2、供应商的报价表必须加盖供应商公章并由法定代表人或者委托代理人签字，否则其响应文件按无效响应处理。</w:t>
      </w:r>
    </w:p>
    <w:p>
      <w:pPr>
        <w:spacing w:line="360" w:lineRule="exact"/>
        <w:ind w:firstLine="840" w:firstLineChars="400"/>
        <w:contextualSpacing/>
        <w:rPr>
          <w:rFonts w:hint="eastAsia" w:ascii="宋体" w:hAnsi="宋体" w:eastAsia="宋体" w:cs="Times New Roman"/>
          <w:szCs w:val="21"/>
        </w:rPr>
      </w:pPr>
      <w:r>
        <w:rPr>
          <w:rFonts w:hint="eastAsia" w:ascii="宋体" w:hAnsi="宋体" w:eastAsia="宋体" w:cs="Times New Roman"/>
          <w:szCs w:val="21"/>
        </w:rPr>
        <w:t>3、报价一经涂改，应在涂改处加盖供应商公章或者由法定代表人或者授权委托人签字或者盖章，否则其响应文件按无效响应处理。</w:t>
      </w:r>
    </w:p>
    <w:p>
      <w:pPr>
        <w:spacing w:line="360" w:lineRule="exact"/>
        <w:contextualSpacing/>
        <w:rPr>
          <w:rFonts w:hint="eastAsia" w:ascii="宋体" w:hAnsi="宋体" w:eastAsia="宋体" w:cs="Times New Roman"/>
          <w:szCs w:val="21"/>
        </w:rPr>
      </w:pPr>
    </w:p>
    <w:p>
      <w:pPr>
        <w:spacing w:line="360" w:lineRule="auto"/>
        <w:ind w:right="-817" w:rightChars="-389" w:firstLine="5460" w:firstLineChars="2600"/>
        <w:contextualSpacing/>
        <w:rPr>
          <w:rFonts w:hint="eastAsia" w:ascii="宋体" w:hAnsi="宋体" w:cs="仿宋_GB2312"/>
          <w:szCs w:val="21"/>
        </w:rPr>
      </w:pPr>
      <w:r>
        <w:rPr>
          <w:rFonts w:hint="eastAsia" w:ascii="宋体" w:hAnsi="宋体" w:cs="仿宋_GB2312"/>
          <w:szCs w:val="21"/>
        </w:rPr>
        <w:t xml:space="preserve">法定代表人或者委托代理人（签字）：                    </w:t>
      </w:r>
    </w:p>
    <w:p>
      <w:pPr>
        <w:spacing w:line="360" w:lineRule="auto"/>
        <w:ind w:right="-817" w:rightChars="-389" w:firstLine="7140" w:firstLineChars="3400"/>
        <w:contextualSpacing/>
        <w:rPr>
          <w:rFonts w:hint="eastAsia" w:ascii="宋体" w:hAnsi="宋体" w:cs="仿宋_GB2312"/>
          <w:szCs w:val="21"/>
        </w:rPr>
      </w:pPr>
      <w:r>
        <w:rPr>
          <w:rFonts w:hint="eastAsia" w:ascii="宋体" w:hAnsi="宋体" w:cs="仿宋_GB2312"/>
          <w:szCs w:val="21"/>
        </w:rPr>
        <w:t xml:space="preserve">供应商（盖公章）：      </w:t>
      </w:r>
    </w:p>
    <w:p>
      <w:pPr>
        <w:spacing w:line="360" w:lineRule="auto"/>
        <w:ind w:right="-817" w:rightChars="-389" w:firstLine="8190" w:firstLineChars="3900"/>
        <w:contextualSpacing/>
        <w:rPr>
          <w:rFonts w:hint="eastAsia" w:ascii="宋体" w:hAnsi="宋体" w:cs="仿宋_GB2312"/>
          <w:szCs w:val="21"/>
        </w:rPr>
      </w:pPr>
      <w:r>
        <w:rPr>
          <w:rFonts w:hint="eastAsia" w:ascii="宋体" w:hAnsi="宋体" w:cs="仿宋_GB2312"/>
          <w:szCs w:val="21"/>
        </w:rPr>
        <w:t>日 期：   年   月   日</w:t>
      </w:r>
    </w:p>
    <w:p>
      <w:pPr>
        <w:adjustRightInd w:val="0"/>
        <w:snapToGrid w:val="0"/>
        <w:spacing w:line="520" w:lineRule="exact"/>
        <w:jc w:val="center"/>
        <w:rPr>
          <w:rFonts w:hint="eastAsia" w:ascii="方正小标宋简体" w:hAnsi="方正小标宋简体" w:eastAsia="方正小标宋简体" w:cs="方正小标宋简体"/>
          <w:bCs/>
          <w:sz w:val="44"/>
          <w:szCs w:val="44"/>
        </w:rPr>
      </w:pPr>
      <w:r>
        <w:rPr>
          <w:rFonts w:hint="eastAsia" w:ascii="宋体" w:hAnsi="宋体" w:eastAsia="宋体" w:cs="宋体"/>
          <w:b/>
          <w:sz w:val="44"/>
          <w:szCs w:val="44"/>
        </w:rPr>
        <w:t>货物技术参数配置清单</w:t>
      </w:r>
    </w:p>
    <w:p>
      <w:pPr>
        <w:spacing w:line="360" w:lineRule="auto"/>
        <w:rPr>
          <w:rFonts w:hint="eastAsia" w:ascii="宋体" w:hAnsi="宋体" w:eastAsia="宋体" w:cs="宋体"/>
          <w:szCs w:val="21"/>
        </w:rPr>
      </w:pPr>
      <w:r>
        <w:rPr>
          <w:rFonts w:hint="eastAsia" w:ascii="宋体" w:hAnsi="宋体" w:eastAsia="宋体" w:cs="宋体"/>
          <w:szCs w:val="21"/>
        </w:rPr>
        <w:t xml:space="preserve">项目名称： </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0"/>
        <w:gridCol w:w="2568"/>
        <w:gridCol w:w="641"/>
        <w:gridCol w:w="996"/>
        <w:gridCol w:w="1266"/>
        <w:gridCol w:w="1686"/>
        <w:gridCol w:w="1640"/>
        <w:gridCol w:w="1598"/>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序号</w:t>
            </w:r>
          </w:p>
        </w:tc>
        <w:tc>
          <w:tcPr>
            <w:tcW w:w="905"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货物名称</w:t>
            </w:r>
          </w:p>
        </w:tc>
        <w:tc>
          <w:tcPr>
            <w:tcW w:w="22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单位</w:t>
            </w:r>
          </w:p>
        </w:tc>
        <w:tc>
          <w:tcPr>
            <w:tcW w:w="351"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数量</w:t>
            </w:r>
          </w:p>
        </w:tc>
        <w:tc>
          <w:tcPr>
            <w:tcW w:w="44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品牌</w:t>
            </w:r>
          </w:p>
        </w:tc>
        <w:tc>
          <w:tcPr>
            <w:tcW w:w="5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规格型号</w:t>
            </w:r>
          </w:p>
        </w:tc>
        <w:tc>
          <w:tcPr>
            <w:tcW w:w="578"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制造商</w:t>
            </w:r>
          </w:p>
        </w:tc>
        <w:tc>
          <w:tcPr>
            <w:tcW w:w="56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原产地</w:t>
            </w:r>
          </w:p>
        </w:tc>
        <w:tc>
          <w:tcPr>
            <w:tcW w:w="1085"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技术参数及性能配置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247" w:type="pct"/>
            <w:tcBorders>
              <w:top w:val="single" w:color="auto" w:sz="4" w:space="0"/>
              <w:left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1</w:t>
            </w:r>
          </w:p>
        </w:tc>
        <w:tc>
          <w:tcPr>
            <w:tcW w:w="90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594"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2</w:t>
            </w:r>
          </w:p>
        </w:tc>
        <w:tc>
          <w:tcPr>
            <w:tcW w:w="90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594"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r>
              <w:rPr>
                <w:rFonts w:hint="eastAsia" w:ascii="宋体" w:hAnsi="宋体" w:eastAsia="宋体" w:cs="宋体"/>
                <w:szCs w:val="21"/>
              </w:rPr>
              <w:t>……</w:t>
            </w:r>
          </w:p>
        </w:tc>
        <w:tc>
          <w:tcPr>
            <w:tcW w:w="90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rPr>
            </w:pPr>
          </w:p>
        </w:tc>
        <w:tc>
          <w:tcPr>
            <w:tcW w:w="22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szCs w:val="21"/>
              </w:rPr>
            </w:pPr>
          </w:p>
        </w:tc>
        <w:tc>
          <w:tcPr>
            <w:tcW w:w="446"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594" w:type="pct"/>
            <w:tcBorders>
              <w:top w:val="single" w:color="auto" w:sz="4" w:space="0"/>
              <w:left w:val="single" w:color="auto" w:sz="4" w:space="0"/>
              <w:bottom w:val="single" w:color="auto" w:sz="4" w:space="0"/>
              <w:right w:val="single" w:color="auto" w:sz="4" w:space="0"/>
            </w:tcBorders>
          </w:tcPr>
          <w:p>
            <w:pPr>
              <w:snapToGrid w:val="0"/>
              <w:spacing w:before="50" w:after="50"/>
              <w:jc w:val="center"/>
              <w:rPr>
                <w:rFonts w:hint="eastAsia" w:ascii="宋体" w:hAnsi="宋体" w:eastAsia="宋体" w:cs="宋体"/>
                <w:szCs w:val="21"/>
              </w:rPr>
            </w:pPr>
          </w:p>
        </w:tc>
        <w:tc>
          <w:tcPr>
            <w:tcW w:w="578"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563"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c>
          <w:tcPr>
            <w:tcW w:w="1085" w:type="pct"/>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cs="宋体"/>
                <w:szCs w:val="21"/>
              </w:rPr>
            </w:pPr>
          </w:p>
        </w:tc>
      </w:tr>
    </w:tbl>
    <w:p>
      <w:pPr>
        <w:contextualSpacing/>
        <w:rPr>
          <w:rFonts w:hint="eastAsia" w:ascii="宋体" w:hAnsi="宋体" w:eastAsia="宋体" w:cs="宋体"/>
          <w:szCs w:val="21"/>
        </w:rPr>
      </w:pPr>
      <w:r>
        <w:rPr>
          <w:rFonts w:hint="eastAsia" w:ascii="宋体" w:hAnsi="宋体" w:eastAsia="宋体" w:cs="宋体"/>
          <w:szCs w:val="21"/>
        </w:rPr>
        <w:t>备注：</w:t>
      </w:r>
      <w:r>
        <w:rPr>
          <w:rFonts w:hint="eastAsia" w:ascii="宋体" w:hAnsi="宋体" w:eastAsia="宋体" w:cs="宋体"/>
          <w:b/>
          <w:bCs/>
          <w:szCs w:val="21"/>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eastAsia="宋体" w:cs="宋体"/>
          <w:b/>
          <w:szCs w:val="21"/>
        </w:rPr>
        <w:t>。</w:t>
      </w:r>
      <w:r>
        <w:rPr>
          <w:rFonts w:hint="eastAsia" w:ascii="宋体" w:hAnsi="宋体" w:eastAsia="宋体" w:cs="宋体"/>
          <w:szCs w:val="21"/>
        </w:rPr>
        <w:t>货物名称、数量及单位、品牌必须与“竞标报价表”一致，</w:t>
      </w:r>
      <w:r>
        <w:rPr>
          <w:rFonts w:hint="eastAsia" w:ascii="宋体" w:hAnsi="宋体" w:eastAsia="宋体" w:cs="宋体"/>
          <w:bCs/>
          <w:szCs w:val="21"/>
        </w:rPr>
        <w:t>否则响应文件按无效响应处理</w:t>
      </w:r>
      <w:r>
        <w:rPr>
          <w:rFonts w:hint="eastAsia" w:ascii="宋体" w:hAnsi="宋体" w:eastAsia="宋体" w:cs="宋体"/>
          <w:b/>
          <w:szCs w:val="21"/>
        </w:rPr>
        <w:t>。</w:t>
      </w:r>
      <w:r>
        <w:rPr>
          <w:rFonts w:hint="eastAsia" w:ascii="宋体" w:hAnsi="宋体" w:eastAsia="宋体" w:cs="宋体"/>
          <w:szCs w:val="21"/>
        </w:rPr>
        <w:tab/>
      </w:r>
    </w:p>
    <w:p>
      <w:pPr>
        <w:pStyle w:val="4"/>
        <w:rPr>
          <w:rFonts w:hint="eastAsia" w:ascii="宋体" w:hAnsi="宋体" w:cs="宋体"/>
          <w:szCs w:val="21"/>
        </w:rPr>
      </w:pPr>
    </w:p>
    <w:p>
      <w:pPr>
        <w:ind w:right="-817" w:rightChars="-389"/>
        <w:contextualSpacing/>
        <w:jc w:val="center"/>
        <w:rPr>
          <w:rFonts w:hint="eastAsia" w:ascii="宋体" w:hAnsi="宋体" w:eastAsia="宋体" w:cs="宋体"/>
          <w:szCs w:val="21"/>
        </w:rPr>
      </w:pPr>
      <w:r>
        <w:rPr>
          <w:rFonts w:hint="eastAsia" w:ascii="宋体" w:hAnsi="宋体" w:eastAsia="宋体" w:cs="宋体"/>
          <w:szCs w:val="21"/>
        </w:rPr>
        <w:t>法定代表人或者委托代理人（签字）：</w:t>
      </w:r>
    </w:p>
    <w:p>
      <w:pPr>
        <w:ind w:right="-817" w:rightChars="-389" w:firstLine="7245" w:firstLineChars="3450"/>
        <w:contextualSpacing/>
        <w:rPr>
          <w:rFonts w:hint="eastAsia" w:ascii="宋体" w:hAnsi="宋体" w:eastAsia="宋体" w:cs="宋体"/>
          <w:szCs w:val="21"/>
        </w:rPr>
      </w:pPr>
      <w:r>
        <w:rPr>
          <w:rFonts w:hint="eastAsia" w:ascii="宋体" w:hAnsi="宋体" w:eastAsia="宋体" w:cs="宋体"/>
          <w:szCs w:val="21"/>
        </w:rPr>
        <w:t xml:space="preserve">供应商（盖公章）：      </w:t>
      </w:r>
    </w:p>
    <w:p>
      <w:pPr>
        <w:ind w:right="-817" w:rightChars="-389" w:firstLine="8190" w:firstLineChars="3900"/>
        <w:contextualSpacing/>
      </w:pPr>
      <w:r>
        <w:rPr>
          <w:rFonts w:hint="eastAsia" w:ascii="宋体" w:hAnsi="宋体" w:eastAsia="宋体" w:cs="宋体"/>
          <w:szCs w:val="21"/>
        </w:rPr>
        <w:t>日  期：    年   月   日</w:t>
      </w:r>
    </w:p>
    <w:p>
      <w:pPr>
        <w:rPr>
          <w:rFonts w:hint="eastAsia" w:ascii="宋体" w:hAnsi="宋体" w:eastAsia="宋体" w:cs="宋体"/>
          <w:b/>
          <w:bCs/>
          <w:color w:val="000000"/>
          <w:kern w:val="0"/>
          <w:sz w:val="18"/>
          <w:szCs w:val="18"/>
          <w:lang w:bidi="ar"/>
        </w:rPr>
      </w:pPr>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BD42C"/>
    <w:multiLevelType w:val="singleLevel"/>
    <w:tmpl w:val="49CBD4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hZjJlOWU1OGQzMGY1OTg5Y2I3ZDc0ZDRkMWViYTUifQ=="/>
    <w:docVar w:name="KSO_WPS_MARK_KEY" w:val="f75432fe-cdf5-4437-8a1c-a31f184b8f81"/>
  </w:docVars>
  <w:rsids>
    <w:rsidRoot w:val="64A549C9"/>
    <w:rsid w:val="09D70FBC"/>
    <w:rsid w:val="20D7406F"/>
    <w:rsid w:val="23C077F8"/>
    <w:rsid w:val="31BB5734"/>
    <w:rsid w:val="33717928"/>
    <w:rsid w:val="45DF1D79"/>
    <w:rsid w:val="54F269DD"/>
    <w:rsid w:val="61102E0F"/>
    <w:rsid w:val="64A549C9"/>
    <w:rsid w:val="65CD161E"/>
    <w:rsid w:val="7B32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Body Text First Indent 2"/>
    <w:basedOn w:val="3"/>
    <w:next w:val="2"/>
    <w:qFormat/>
    <w:uiPriority w:val="0"/>
    <w:pPr>
      <w:spacing w:after="120"/>
      <w:ind w:left="420" w:leftChars="200" w:firstLine="420" w:firstLineChars="200"/>
    </w:pPr>
    <w:rPr>
      <w:rFonts w:ascii="Times New Roman" w:eastAsia="宋体"/>
      <w:sz w:val="21"/>
      <w:szCs w:val="24"/>
    </w:rPr>
  </w:style>
  <w:style w:type="character" w:customStyle="1" w:styleId="7">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4838</Words>
  <Characters>5545</Characters>
  <Lines>0</Lines>
  <Paragraphs>0</Paragraphs>
  <TotalTime>1</TotalTime>
  <ScaleCrop>false</ScaleCrop>
  <LinksUpToDate>false</LinksUpToDate>
  <CharactersWithSpaces>5753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2024-09-14T00:40:00Z</dcterms:created>
  <dc:creator>刘阳</dc:creator>
  <cp:lastModifiedBy>唐秀河</cp:lastModifiedBy>
  <dcterms:modified xsi:type="dcterms:W3CDTF">2024-09-18T03:41:25Z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11DA8315469B4B0E89593C21FBB530B5_13</vt:lpwstr>
  </property>
</Properties>
</file>