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97765">
      <w:pPr>
        <w:spacing w:line="360" w:lineRule="auto"/>
        <w:jc w:val="center"/>
        <w:rPr>
          <w:b/>
          <w:bCs/>
          <w:sz w:val="30"/>
          <w:szCs w:val="30"/>
        </w:rPr>
      </w:pPr>
      <w:r>
        <w:rPr>
          <w:rFonts w:hint="eastAsia"/>
          <w:b/>
          <w:bCs/>
          <w:sz w:val="30"/>
          <w:szCs w:val="30"/>
        </w:rPr>
        <w:t>项目名称：桂林理工大学雁山校区</w:t>
      </w:r>
      <w:ins w:id="0" w:author="john" w:date="2025-03-10T15:52:45Z">
        <w:r>
          <w:rPr>
            <w:rFonts w:hint="eastAsia"/>
            <w:b/>
            <w:bCs/>
            <w:sz w:val="30"/>
            <w:szCs w:val="30"/>
            <w:lang w:val="en-US" w:eastAsia="zh-CN"/>
          </w:rPr>
          <w:t>5</w:t>
        </w:r>
      </w:ins>
      <w:r>
        <w:rPr>
          <w:rFonts w:hint="eastAsia"/>
          <w:b/>
          <w:bCs/>
          <w:sz w:val="30"/>
          <w:szCs w:val="30"/>
        </w:rPr>
        <w:t>#研究生宿舍项目电梯采购</w:t>
      </w:r>
    </w:p>
    <w:p w14:paraId="667972E9">
      <w:pPr>
        <w:spacing w:line="360" w:lineRule="auto"/>
        <w:rPr>
          <w:b/>
          <w:bCs/>
          <w:sz w:val="32"/>
          <w:szCs w:val="32"/>
        </w:rPr>
      </w:pPr>
      <w:r>
        <w:rPr>
          <w:rFonts w:hint="eastAsia"/>
          <w:b/>
          <w:bCs/>
          <w:sz w:val="32"/>
          <w:szCs w:val="32"/>
        </w:rPr>
        <w:t>反向竞价采购商务要求：</w:t>
      </w:r>
      <w:bookmarkStart w:id="54" w:name="_GoBack"/>
      <w:bookmarkEnd w:id="54"/>
      <w:r>
        <w:rPr>
          <w:rFonts w:hint="eastAsia"/>
          <w:b/>
          <w:bCs/>
          <w:sz w:val="32"/>
          <w:szCs w:val="32"/>
        </w:rPr>
        <w:t xml:space="preserve">               </w:t>
      </w:r>
    </w:p>
    <w:p w14:paraId="386A6537">
      <w:pPr>
        <w:spacing w:line="24" w:lineRule="atLeast"/>
        <w:rPr>
          <w:rFonts w:hint="eastAsia" w:ascii="宋体" w:hAnsi="宋体" w:cs="宋体"/>
          <w:bCs/>
          <w:kern w:val="0"/>
        </w:rPr>
      </w:pPr>
    </w:p>
    <w:p w14:paraId="71CEE0A4">
      <w:pPr>
        <w:pStyle w:val="5"/>
        <w:spacing w:before="312" w:beforeLines="100" w:line="460" w:lineRule="exact"/>
        <w:ind w:left="1027" w:hanging="488"/>
      </w:pPr>
      <w:r>
        <w:rPr>
          <w:rFonts w:hint="eastAsia"/>
        </w:rPr>
        <w:t>一、商务报价要求</w:t>
      </w:r>
    </w:p>
    <w:p w14:paraId="5A364E49">
      <w:pPr>
        <w:spacing w:line="24" w:lineRule="atLeast"/>
        <w:ind w:firstLine="420" w:firstLineChars="200"/>
        <w:rPr>
          <w:rFonts w:hint="eastAsia" w:ascii="宋体" w:hAnsi="宋体"/>
          <w:b/>
          <w:bCs/>
          <w:szCs w:val="21"/>
        </w:rPr>
      </w:pPr>
      <w:ins w:id="1" w:author="Administrator" w:date="2025-03-10T15:22:00Z">
        <w:r>
          <w:rPr>
            <w:rFonts w:hint="eastAsia" w:ascii="宋体" w:hAnsi="宋体"/>
            <w:bCs/>
            <w:szCs w:val="21"/>
          </w:rPr>
          <w:t>电梯为有机房电梯，兼备消防电梯要求。</w:t>
        </w:r>
      </w:ins>
      <w:r>
        <w:rPr>
          <w:rFonts w:hint="eastAsia" w:ascii="宋体" w:hAnsi="宋体"/>
          <w:b/>
          <w:bCs/>
        </w:rPr>
        <w:t>竞标人报价为采购人指定地点的现场交货价，</w:t>
      </w:r>
      <w:r>
        <w:rPr>
          <w:rFonts w:hint="eastAsia" w:hAnsi="宋体"/>
          <w:b/>
          <w:bCs/>
        </w:rPr>
        <w:t>竞标人的报价应包含设备的设计、制造、设备成本、包装、运输、保险、装卸、安装（电梯控制箱由电梯厂家配套带来）、预埋（包括支撑架、钢架、钢梁、配电箱至电梯控制箱及控制箱至电梯各部件线缆）、井道整修改造、调试、检验（包括商检、市场监督管理局相关检验）、技术服务、税金（含关税）、保险、与土建施工配合费</w:t>
      </w:r>
      <w:r>
        <w:rPr>
          <w:rFonts w:hint="eastAsia"/>
          <w:b/>
        </w:rPr>
        <w:t>（按1500元/台支付给主体施工单位）</w:t>
      </w:r>
      <w:r>
        <w:rPr>
          <w:rFonts w:hint="eastAsia" w:hAnsi="宋体"/>
          <w:b/>
          <w:bCs/>
        </w:rPr>
        <w:t>、电费、技术服务、检测等所涉及的一切费用的总和（即为交钥匙工程）。</w:t>
      </w:r>
    </w:p>
    <w:p w14:paraId="19A99D55">
      <w:pPr>
        <w:pStyle w:val="5"/>
        <w:spacing w:before="312" w:beforeLines="100" w:line="460" w:lineRule="exact"/>
        <w:ind w:left="1027" w:hanging="488"/>
      </w:pPr>
      <w:r>
        <w:rPr>
          <w:rFonts w:hint="eastAsia"/>
        </w:rPr>
        <w:t>二、交付使用时间及地点</w:t>
      </w:r>
    </w:p>
    <w:p w14:paraId="30B3258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1、合同签订期：自成交通知书发出之日起5个工作日内。</w:t>
      </w:r>
    </w:p>
    <w:p w14:paraId="0902E0C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2、交付使用时间：自甲方发出交货通知之日起50日历天内交付并安装验收完毕。</w:t>
      </w:r>
    </w:p>
    <w:p w14:paraId="1FFC3B3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3、交货地点：广西桂林市雁山区雁山街桂林理工大学雁山校区内。</w:t>
      </w:r>
    </w:p>
    <w:p w14:paraId="0391CD59">
      <w:pPr>
        <w:pStyle w:val="2"/>
        <w:rPr>
          <w:rFonts w:hint="eastAsia" w:ascii="宋体" w:hAnsi="宋体" w:cs="宋体"/>
          <w:kern w:val="0"/>
          <w:szCs w:val="21"/>
          <w:lang w:bidi="ar"/>
        </w:rPr>
      </w:pPr>
      <w:r>
        <w:rPr>
          <w:rFonts w:hint="eastAsia" w:ascii="宋体" w:hAnsi="宋体" w:cs="宋体"/>
          <w:kern w:val="0"/>
          <w:szCs w:val="21"/>
          <w:lang w:bidi="ar"/>
        </w:rPr>
        <w:t>4、交货方式：现场交货。</w:t>
      </w:r>
    </w:p>
    <w:p w14:paraId="1CD3C1CB">
      <w:pPr>
        <w:pStyle w:val="5"/>
        <w:spacing w:before="312" w:beforeLines="100" w:line="460" w:lineRule="exact"/>
        <w:ind w:left="1027" w:hanging="488"/>
      </w:pPr>
      <w:r>
        <w:rPr>
          <w:rFonts w:hint="eastAsia"/>
        </w:rPr>
        <w:t>三、付款方式</w:t>
      </w:r>
    </w:p>
    <w:p w14:paraId="7922C4A2">
      <w:pPr>
        <w:pStyle w:val="9"/>
        <w:tabs>
          <w:tab w:val="left" w:pos="0"/>
        </w:tabs>
        <w:spacing w:line="460" w:lineRule="exact"/>
        <w:ind w:firstLine="407" w:firstLineChars="193"/>
        <w:rPr>
          <w:rFonts w:hint="eastAsia" w:hAnsi="宋体" w:cs="宋体"/>
          <w:b/>
          <w:szCs w:val="24"/>
        </w:rPr>
      </w:pPr>
      <w:r>
        <w:rPr>
          <w:rFonts w:hint="eastAsia" w:hAnsi="宋体" w:cs="宋体"/>
          <w:b/>
          <w:szCs w:val="24"/>
        </w:rPr>
        <w:t>（1）合同生效后，乙方提交请款申请，并提供发票后，14个工作日内，甲方向乙方支付合同价款30％的预付款</w:t>
      </w:r>
      <w:r>
        <w:rPr>
          <w:rFonts w:hint="eastAsia" w:hAnsi="宋体" w:cs="宋体"/>
          <w:b/>
          <w:szCs w:val="21"/>
        </w:rPr>
        <w:t>；</w:t>
      </w:r>
    </w:p>
    <w:p w14:paraId="564466CD">
      <w:pPr>
        <w:pStyle w:val="9"/>
        <w:tabs>
          <w:tab w:val="left" w:pos="0"/>
        </w:tabs>
        <w:spacing w:line="460" w:lineRule="exact"/>
        <w:ind w:firstLine="407" w:firstLineChars="193"/>
        <w:rPr>
          <w:rFonts w:hint="eastAsia" w:hAnsi="宋体" w:cs="宋体"/>
          <w:b/>
          <w:szCs w:val="24"/>
        </w:rPr>
      </w:pPr>
      <w:r>
        <w:rPr>
          <w:rFonts w:hint="eastAsia" w:hAnsi="宋体" w:cs="宋体"/>
          <w:b/>
          <w:szCs w:val="24"/>
        </w:rPr>
        <w:t>（2）电梯设备安装完毕并验收合格取得</w:t>
      </w:r>
      <w:r>
        <w:rPr>
          <w:rFonts w:hint="eastAsia" w:hAnsi="宋体" w:cs="宋体"/>
          <w:b/>
          <w:szCs w:val="24"/>
          <w:u w:val="single"/>
        </w:rPr>
        <w:t>特种设备使用登记证</w:t>
      </w:r>
      <w:r>
        <w:rPr>
          <w:rFonts w:hint="eastAsia" w:hAnsi="宋体" w:cs="宋体"/>
          <w:b/>
          <w:szCs w:val="24"/>
        </w:rPr>
        <w:t>后，乙方提交请款申请，并提供发票后，14个工作日内，甲方向乙方支付至合同价款85％</w:t>
      </w:r>
      <w:r>
        <w:rPr>
          <w:rFonts w:hint="eastAsia" w:hAnsi="宋体" w:cs="宋体"/>
          <w:b/>
          <w:szCs w:val="21"/>
        </w:rPr>
        <w:t>；</w:t>
      </w:r>
    </w:p>
    <w:p w14:paraId="7801BC06">
      <w:pPr>
        <w:pStyle w:val="2"/>
        <w:ind w:firstLine="422" w:firstLineChars="200"/>
        <w:rPr>
          <w:b/>
        </w:rPr>
      </w:pPr>
      <w:r>
        <w:rPr>
          <w:rFonts w:hint="eastAsia"/>
          <w:b/>
        </w:rPr>
        <w:t>（3）按</w:t>
      </w:r>
      <w:r>
        <w:rPr>
          <w:b/>
        </w:rPr>
        <w:t>桂林市</w:t>
      </w:r>
      <w:r>
        <w:rPr>
          <w:rFonts w:hint="eastAsia"/>
          <w:b/>
        </w:rPr>
        <w:t>城建档案管理部门要求整理提交全套工程设备资料，通过档案管理部门的验收</w:t>
      </w:r>
      <w:r>
        <w:rPr>
          <w:b/>
        </w:rPr>
        <w:t>且整改意见为符合要求</w:t>
      </w:r>
      <w:r>
        <w:rPr>
          <w:rFonts w:hint="eastAsia"/>
          <w:b/>
        </w:rPr>
        <w:t>，并向发包人提交约定的全部档案资料（一式三份原件）及全过程电子档案一份后（含隐蔽工程施工过程及验收时的图片、视频等），涉及消防电梯部分的消防验收合格，乙方向甲方缴纳结算总价的3%作为质保金后，款项支付至结算总价的100%（含已支付的），产品正常运行，无质量问题满2年后，收到乙方提交退还质保金申请书之日起15个工作日内质保金扣除相关售后罚款后退回乙方（均不计利息）。</w:t>
      </w:r>
    </w:p>
    <w:p w14:paraId="1F926C55">
      <w:pPr>
        <w:pStyle w:val="5"/>
        <w:spacing w:before="312" w:beforeLines="100" w:line="460" w:lineRule="exact"/>
        <w:ind w:left="1027" w:hanging="488"/>
      </w:pPr>
      <w:r>
        <w:rPr>
          <w:rFonts w:hint="eastAsia"/>
        </w:rPr>
        <w:t>四、履约保证金</w:t>
      </w:r>
    </w:p>
    <w:p w14:paraId="25F94AA8">
      <w:pPr>
        <w:pStyle w:val="9"/>
        <w:tabs>
          <w:tab w:val="left" w:pos="0"/>
        </w:tabs>
        <w:spacing w:line="460" w:lineRule="exact"/>
        <w:ind w:firstLine="407" w:firstLineChars="193"/>
        <w:rPr>
          <w:rFonts w:hint="eastAsia" w:hAnsi="宋体" w:cs="宋体"/>
          <w:b/>
          <w:bCs/>
        </w:rPr>
      </w:pPr>
      <w:r>
        <w:rPr>
          <w:rFonts w:hint="eastAsia" w:hAnsi="宋体" w:cs="宋体"/>
          <w:b/>
          <w:bCs/>
        </w:rPr>
        <w:t>在签订合同前，乙方支付合同价款总额5%的履约保证金（或5％银行履约保函）（有效期至全部设备通过国家相关市场监督管理部门及住建部门验收合格之日止）；银行保函必须是各银行地级市以上（含本级）分支机构出具的。产品安装完毕，满足验收条件，提交竣工验收申请表、验收合格证办理履约保证金退款手续，由采购人在十五个工作日内将履约保证金（无息）退还给乙方。如乙方（成交供应商）不按双方签订的合同规定履约，则没收其全部履约保证金，履约保证金不足以赔偿损失的，按实际损失赔偿。</w:t>
      </w:r>
    </w:p>
    <w:p w14:paraId="740F43D0">
      <w:pPr>
        <w:pStyle w:val="2"/>
        <w:rPr>
          <w:b/>
        </w:rPr>
      </w:pPr>
    </w:p>
    <w:p w14:paraId="1B9E9197">
      <w:pPr>
        <w:pStyle w:val="5"/>
        <w:spacing w:before="312" w:beforeLines="100" w:line="460" w:lineRule="exact"/>
        <w:ind w:left="1027" w:hanging="488"/>
      </w:pPr>
      <w:r>
        <w:rPr>
          <w:rFonts w:hint="eastAsia"/>
        </w:rPr>
        <w:t>五、其他要求</w:t>
      </w:r>
    </w:p>
    <w:p w14:paraId="63E6A36C">
      <w:pPr>
        <w:widowControl/>
        <w:spacing w:line="288" w:lineRule="auto"/>
        <w:jc w:val="left"/>
        <w:textAlignment w:val="center"/>
      </w:pPr>
      <w:r>
        <w:rPr>
          <w:rFonts w:hint="eastAsia"/>
        </w:rPr>
        <w:t xml:space="preserve">1、其他相关资格文件要求：  </w:t>
      </w:r>
    </w:p>
    <w:p w14:paraId="2364972C">
      <w:pPr>
        <w:widowControl/>
        <w:spacing w:line="288" w:lineRule="auto"/>
        <w:jc w:val="left"/>
        <w:textAlignment w:val="center"/>
        <w:rPr>
          <w:rFonts w:hint="eastAsia" w:ascii="宋体" w:hAnsi="宋体" w:cs="宋体"/>
        </w:rPr>
      </w:pPr>
      <w:r>
        <w:rPr>
          <w:rFonts w:hint="eastAsia"/>
        </w:rPr>
        <w:t>（1）</w:t>
      </w:r>
      <w:r>
        <w:rPr>
          <w:rFonts w:hint="eastAsia" w:ascii="宋体" w:hAnsi="宋体" w:cs="宋体"/>
        </w:rPr>
        <w:t>竞标产品制</w:t>
      </w:r>
      <w:r>
        <w:rPr>
          <w:rFonts w:hint="eastAsia"/>
        </w:rPr>
        <w:t>造厂家必须具有《中华人民共和国特种设备制造许可证》（电梯）曳引式客梯C级及以上资质或《中华人民共和国特种设备生产许可证》相应许可项目（须提供证书复印件）；</w:t>
      </w:r>
    </w:p>
    <w:p w14:paraId="285BC96D">
      <w:pPr>
        <w:widowControl/>
        <w:spacing w:line="288" w:lineRule="auto"/>
        <w:jc w:val="left"/>
        <w:textAlignment w:val="center"/>
      </w:pPr>
      <w:r>
        <w:rPr>
          <w:rFonts w:hint="eastAsia"/>
        </w:rPr>
        <w:t>（2）签订合同后，成交人必须提供生产厂家/代理商针对本项目供货证明，否则不予验收。</w:t>
      </w:r>
    </w:p>
    <w:p w14:paraId="7C02CB57">
      <w:pPr>
        <w:widowControl/>
        <w:spacing w:line="288" w:lineRule="auto"/>
        <w:jc w:val="left"/>
        <w:textAlignment w:val="center"/>
      </w:pPr>
      <w:r>
        <w:rPr>
          <w:rFonts w:hint="eastAsia"/>
        </w:rPr>
        <w:t>2、竞标报价：</w:t>
      </w:r>
    </w:p>
    <w:p w14:paraId="180D0440">
      <w:pPr>
        <w:widowControl/>
        <w:spacing w:line="288" w:lineRule="auto"/>
        <w:jc w:val="left"/>
        <w:textAlignment w:val="center"/>
      </w:pPr>
      <w:r>
        <w:rPr>
          <w:rFonts w:hint="eastAsia"/>
        </w:rPr>
        <w:t>本项目实行交钥匙工程，竞标人报价为采购人指定地点的现场交货价，竞标人的报价应包含设备的设计、制造、设备成本、包装、运输、保险、装卸、安装（电梯控制箱由电梯厂家配套带来）、预埋（包括支撑架、钢架、钢梁、配电箱至电梯控制箱及控制箱至电梯各部件线缆）、井道整修改造、调试、检验（包括商检、市场监督管理局相关检验）、技术服务、税金（含关税）、保险、与土建施工配合费、电费、技术服务、检测等所涉及的一切费用的总和（即为交钥匙工程）。</w:t>
      </w:r>
    </w:p>
    <w:p w14:paraId="03F00BB4">
      <w:pPr>
        <w:pStyle w:val="5"/>
        <w:spacing w:before="312" w:beforeLines="100" w:line="460" w:lineRule="exact"/>
        <w:ind w:left="1027" w:hanging="488"/>
      </w:pPr>
      <w:r>
        <w:rPr>
          <w:rFonts w:hint="eastAsia"/>
        </w:rPr>
        <w:t>六、售后服务</w:t>
      </w:r>
    </w:p>
    <w:p w14:paraId="4A07C3C2">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1、如在使用过程中发生故障，乙方在接到甲方通知后一般故障30分钟以内响应，1小时以内到位，否则每超过1小时罚款100元；如电梯发生大故障，乙方维修时间不能超过24小时，否则每超过一天罚款500元，如超过三天未能完成服务，则每增加一天罚款1000元。应急服务30分钟到现场；困人事故到现场后10分钟内解决。</w:t>
      </w:r>
    </w:p>
    <w:p w14:paraId="072E3A97">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2、全面负责电梯的机械安装、电气安装、调试、和验收工作，免费办理报装、报验手续。</w:t>
      </w:r>
    </w:p>
    <w:p w14:paraId="6673C9F8">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3、设备投入使用之日起，提供“产品三包”期不少于24个月；并从电梯安装完毕经检测合格投入使用之日起，提供免费保修、维护保养服务24个月，负责支付免保期相应的年检费。</w:t>
      </w:r>
    </w:p>
    <w:p w14:paraId="4D5FA053">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4、在质保期内，在用户指定的任何时间上门为用户提供定期维保服务（检测、清洁、加油、调整、校正），以用户设备管理人员签署“满意”为准。在质保期内，免费更换所有的零部件。</w:t>
      </w:r>
    </w:p>
    <w:p w14:paraId="6D7FEBA1">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5、质保期满后：按优惠价格提供终身有偿维修、保养服务；用户提供年维保费用。</w:t>
      </w:r>
    </w:p>
    <w:p w14:paraId="3044EDAE">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6、负责为采购人免费培训电梯司机及电梯维修人员2名。</w:t>
      </w:r>
    </w:p>
    <w:p w14:paraId="1C834666">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7、自设备交付使用之日起24小时值班守侯，即招即修，保证在接到故障报修电话后60分钟到位，一般故障不超过6小时，重大故障不超过24小时修复。</w:t>
      </w:r>
    </w:p>
    <w:p w14:paraId="2E3AA30F">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8、乙方可根据自己的实际情况对质量保证及售后服务方案做出更优的详细承诺。</w:t>
      </w:r>
    </w:p>
    <w:p w14:paraId="0CC6091E">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9、乙方必须按采购需求规定地点及合同约定的时间内（电梯核心部件曳引机及控制柜防止为贴牌产品，要求电梯制造商为自主生产的原品牌产品，提供厂家出厂证明材料）依据国家相关标准进行安装、调试、试运行（30日）直至通过最终验收。</w:t>
      </w:r>
    </w:p>
    <w:p w14:paraId="45FB0078">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10、质保期：自验收合格交付使用之日起两年。质保期内免费维修、更换配件；</w:t>
      </w:r>
    </w:p>
    <w:p w14:paraId="6B86C3C7">
      <w:pPr>
        <w:pStyle w:val="2"/>
        <w:numPr>
          <w:ilvl w:val="0"/>
          <w:numId w:val="1"/>
        </w:numPr>
        <w:ind w:firstLine="420" w:firstLineChars="200"/>
        <w:rPr>
          <w:rFonts w:hint="eastAsia" w:ascii="宋体" w:hAnsi="宋体" w:cs="宋体"/>
          <w:kern w:val="0"/>
          <w:szCs w:val="21"/>
          <w:lang w:bidi="ar"/>
        </w:rPr>
      </w:pPr>
      <w:r>
        <w:rPr>
          <w:rFonts w:hint="eastAsia" w:ascii="宋体" w:hAnsi="宋体" w:cs="宋体"/>
          <w:kern w:val="0"/>
          <w:szCs w:val="21"/>
          <w:lang w:bidi="ar"/>
        </w:rPr>
        <w:t>质保期内每月上门两次维护保养（检查、清洁、除尘、调整）。</w:t>
      </w:r>
    </w:p>
    <w:p w14:paraId="3F79215D">
      <w:pPr>
        <w:pStyle w:val="2"/>
        <w:numPr>
          <w:ilvl w:val="0"/>
          <w:numId w:val="1"/>
        </w:numPr>
        <w:ind w:firstLine="420" w:firstLineChars="200"/>
        <w:rPr>
          <w:rFonts w:hint="eastAsia" w:ascii="宋体" w:hAnsi="宋体" w:cs="宋体"/>
          <w:kern w:val="0"/>
          <w:szCs w:val="21"/>
          <w:lang w:bidi="ar"/>
        </w:rPr>
      </w:pPr>
      <w:r>
        <w:rPr>
          <w:rFonts w:hint="eastAsia" w:ascii="宋体" w:hAnsi="宋体" w:cs="宋体"/>
          <w:kern w:val="0"/>
          <w:szCs w:val="21"/>
          <w:lang w:bidi="ar"/>
        </w:rPr>
        <w:t>具体要求详见“</w:t>
      </w:r>
      <w:r>
        <w:rPr>
          <w:rFonts w:hint="eastAsia"/>
          <w:b/>
          <w:bCs/>
          <w:szCs w:val="21"/>
        </w:rPr>
        <w:t>七、合同格式 附件1：售后服务承诺书</w:t>
      </w:r>
      <w:r>
        <w:rPr>
          <w:rFonts w:hint="eastAsia" w:ascii="宋体" w:hAnsi="宋体" w:cs="宋体"/>
          <w:kern w:val="0"/>
          <w:szCs w:val="21"/>
          <w:lang w:bidi="ar"/>
        </w:rPr>
        <w:t>”</w:t>
      </w:r>
    </w:p>
    <w:p w14:paraId="6DD7C832">
      <w:pPr>
        <w:pStyle w:val="2"/>
      </w:pPr>
    </w:p>
    <w:p w14:paraId="770BCBAF">
      <w:pPr>
        <w:pStyle w:val="5"/>
        <w:spacing w:before="312" w:beforeLines="100" w:line="460" w:lineRule="exact"/>
        <w:ind w:left="1027" w:hanging="488"/>
        <w:sectPr>
          <w:pgSz w:w="11906" w:h="16838"/>
          <w:pgMar w:top="1440" w:right="1800" w:bottom="1440" w:left="1800" w:header="851" w:footer="992" w:gutter="0"/>
          <w:cols w:space="425" w:num="1"/>
          <w:docGrid w:type="lines" w:linePitch="312" w:charSpace="0"/>
        </w:sectPr>
      </w:pPr>
      <w:r>
        <w:rPr>
          <w:rFonts w:hint="eastAsia"/>
        </w:rPr>
        <w:t>七、合同格式（详见下页）</w:t>
      </w:r>
    </w:p>
    <w:p w14:paraId="5D1C5571">
      <w:pPr>
        <w:tabs>
          <w:tab w:val="left" w:pos="5040"/>
        </w:tabs>
        <w:spacing w:line="400" w:lineRule="exact"/>
        <w:rPr>
          <w:rFonts w:hint="eastAsia" w:ascii="宋体" w:hAnsi="宋体" w:cs="宋体"/>
          <w:szCs w:val="21"/>
        </w:rPr>
      </w:pPr>
    </w:p>
    <w:p w14:paraId="4EDEBFFA">
      <w:pPr>
        <w:tabs>
          <w:tab w:val="left" w:pos="5040"/>
        </w:tabs>
        <w:spacing w:line="400" w:lineRule="exact"/>
        <w:rPr>
          <w:rFonts w:hint="eastAsia" w:ascii="宋体" w:hAnsi="宋体" w:cs="宋体"/>
          <w:szCs w:val="21"/>
        </w:rPr>
      </w:pPr>
    </w:p>
    <w:p w14:paraId="74CDB551">
      <w:pPr>
        <w:spacing w:line="1000" w:lineRule="exact"/>
        <w:jc w:val="center"/>
        <w:rPr>
          <w:rFonts w:ascii="宋体"/>
          <w:b/>
          <w:sz w:val="92"/>
        </w:rPr>
      </w:pPr>
    </w:p>
    <w:p w14:paraId="766A683F">
      <w:pPr>
        <w:jc w:val="center"/>
        <w:rPr>
          <w:b/>
          <w:sz w:val="52"/>
          <w:szCs w:val="52"/>
        </w:rPr>
      </w:pPr>
      <w:r>
        <w:rPr>
          <w:rFonts w:hint="eastAsia" w:ascii="宋体"/>
          <w:b/>
          <w:sz w:val="92"/>
        </w:rPr>
        <w:t>电梯采购安装合同</w:t>
      </w:r>
    </w:p>
    <w:p w14:paraId="1135065D">
      <w:pPr>
        <w:spacing w:line="1000" w:lineRule="exact"/>
        <w:jc w:val="center"/>
        <w:rPr>
          <w:rFonts w:ascii="宋体"/>
          <w:b/>
          <w:sz w:val="84"/>
        </w:rPr>
      </w:pPr>
    </w:p>
    <w:p w14:paraId="4607FB0E">
      <w:pPr>
        <w:spacing w:line="1000" w:lineRule="exact"/>
        <w:jc w:val="center"/>
        <w:rPr>
          <w:rFonts w:ascii="宋体"/>
          <w:b/>
          <w:sz w:val="84"/>
        </w:rPr>
      </w:pPr>
    </w:p>
    <w:p w14:paraId="295553C6">
      <w:pPr>
        <w:spacing w:line="1000" w:lineRule="exact"/>
        <w:jc w:val="center"/>
        <w:rPr>
          <w:rFonts w:ascii="宋体"/>
          <w:b/>
          <w:sz w:val="84"/>
        </w:rPr>
      </w:pPr>
    </w:p>
    <w:tbl>
      <w:tblPr>
        <w:tblStyle w:val="14"/>
        <w:tblW w:w="0" w:type="auto"/>
        <w:jc w:val="center"/>
        <w:tblLayout w:type="fixed"/>
        <w:tblCellMar>
          <w:top w:w="0" w:type="dxa"/>
          <w:left w:w="0" w:type="dxa"/>
          <w:bottom w:w="0" w:type="dxa"/>
          <w:right w:w="0" w:type="dxa"/>
        </w:tblCellMar>
      </w:tblPr>
      <w:tblGrid>
        <w:gridCol w:w="3367"/>
        <w:gridCol w:w="6073"/>
      </w:tblGrid>
      <w:tr w14:paraId="6B8FBC82">
        <w:tblPrEx>
          <w:tblCellMar>
            <w:top w:w="0" w:type="dxa"/>
            <w:left w:w="0" w:type="dxa"/>
            <w:bottom w:w="0" w:type="dxa"/>
            <w:right w:w="0" w:type="dxa"/>
          </w:tblCellMar>
        </w:tblPrEx>
        <w:trPr>
          <w:jc w:val="center"/>
        </w:trPr>
        <w:tc>
          <w:tcPr>
            <w:tcW w:w="3367" w:type="dxa"/>
            <w:tcMar>
              <w:top w:w="0" w:type="dxa"/>
              <w:left w:w="108" w:type="dxa"/>
              <w:bottom w:w="0" w:type="dxa"/>
              <w:right w:w="108" w:type="dxa"/>
            </w:tcMar>
            <w:vAlign w:val="center"/>
          </w:tcPr>
          <w:p w14:paraId="0101E475">
            <w:pPr>
              <w:spacing w:line="360" w:lineRule="auto"/>
              <w:jc w:val="center"/>
              <w:rPr>
                <w:rFonts w:ascii="宋体"/>
                <w:b/>
                <w:sz w:val="84"/>
              </w:rPr>
            </w:pPr>
            <w:r>
              <w:rPr>
                <w:rFonts w:ascii="宋体"/>
                <w:b/>
                <w:sz w:val="32"/>
              </w:rPr>
              <w:t>项目名称：</w:t>
            </w:r>
          </w:p>
        </w:tc>
        <w:tc>
          <w:tcPr>
            <w:tcW w:w="6073" w:type="dxa"/>
            <w:tcMar>
              <w:top w:w="0" w:type="dxa"/>
              <w:left w:w="108" w:type="dxa"/>
              <w:bottom w:w="0" w:type="dxa"/>
              <w:right w:w="108" w:type="dxa"/>
            </w:tcMar>
            <w:vAlign w:val="center"/>
          </w:tcPr>
          <w:p w14:paraId="53EF8713">
            <w:pPr>
              <w:spacing w:line="480" w:lineRule="auto"/>
              <w:jc w:val="center"/>
              <w:rPr>
                <w:rFonts w:ascii="宋体"/>
                <w:b/>
                <w:sz w:val="84"/>
              </w:rPr>
            </w:pPr>
          </w:p>
        </w:tc>
      </w:tr>
      <w:tr w14:paraId="48D90E02">
        <w:tblPrEx>
          <w:tblCellMar>
            <w:top w:w="0" w:type="dxa"/>
            <w:left w:w="0" w:type="dxa"/>
            <w:bottom w:w="0" w:type="dxa"/>
            <w:right w:w="0" w:type="dxa"/>
          </w:tblCellMar>
        </w:tblPrEx>
        <w:trPr>
          <w:jc w:val="center"/>
        </w:trPr>
        <w:tc>
          <w:tcPr>
            <w:tcW w:w="3367" w:type="dxa"/>
            <w:tcMar>
              <w:top w:w="0" w:type="dxa"/>
              <w:left w:w="108" w:type="dxa"/>
              <w:bottom w:w="0" w:type="dxa"/>
              <w:right w:w="108" w:type="dxa"/>
            </w:tcMar>
            <w:vAlign w:val="center"/>
          </w:tcPr>
          <w:p w14:paraId="6E2C7CBB">
            <w:pPr>
              <w:spacing w:line="360" w:lineRule="auto"/>
              <w:jc w:val="center"/>
              <w:rPr>
                <w:rFonts w:ascii="宋体"/>
                <w:b/>
                <w:sz w:val="32"/>
              </w:rPr>
            </w:pPr>
            <w:r>
              <w:rPr>
                <w:rFonts w:ascii="宋体"/>
                <w:b/>
                <w:sz w:val="32"/>
              </w:rPr>
              <w:t>项目编号：</w:t>
            </w:r>
          </w:p>
        </w:tc>
        <w:tc>
          <w:tcPr>
            <w:tcW w:w="6073" w:type="dxa"/>
            <w:tcMar>
              <w:top w:w="0" w:type="dxa"/>
              <w:left w:w="108" w:type="dxa"/>
              <w:bottom w:w="0" w:type="dxa"/>
              <w:right w:w="108" w:type="dxa"/>
            </w:tcMar>
            <w:vAlign w:val="center"/>
          </w:tcPr>
          <w:p w14:paraId="0468990C">
            <w:pPr>
              <w:spacing w:line="360" w:lineRule="auto"/>
              <w:rPr>
                <w:rFonts w:ascii="宋体"/>
                <w:b/>
                <w:sz w:val="32"/>
              </w:rPr>
            </w:pPr>
          </w:p>
        </w:tc>
      </w:tr>
      <w:tr w14:paraId="272CE1E9">
        <w:tblPrEx>
          <w:tblCellMar>
            <w:top w:w="0" w:type="dxa"/>
            <w:left w:w="0" w:type="dxa"/>
            <w:bottom w:w="0" w:type="dxa"/>
            <w:right w:w="0" w:type="dxa"/>
          </w:tblCellMar>
        </w:tblPrEx>
        <w:trPr>
          <w:jc w:val="center"/>
        </w:trPr>
        <w:tc>
          <w:tcPr>
            <w:tcW w:w="3367" w:type="dxa"/>
            <w:tcMar>
              <w:top w:w="0" w:type="dxa"/>
              <w:left w:w="108" w:type="dxa"/>
              <w:bottom w:w="0" w:type="dxa"/>
              <w:right w:w="108" w:type="dxa"/>
            </w:tcMar>
            <w:vAlign w:val="center"/>
          </w:tcPr>
          <w:p w14:paraId="67FF4175">
            <w:pPr>
              <w:spacing w:line="360" w:lineRule="auto"/>
              <w:jc w:val="center"/>
              <w:rPr>
                <w:rFonts w:ascii="宋体"/>
                <w:b/>
                <w:sz w:val="84"/>
              </w:rPr>
            </w:pPr>
            <w:r>
              <w:rPr>
                <w:rFonts w:hint="eastAsia" w:ascii="宋体"/>
                <w:b/>
                <w:sz w:val="32"/>
              </w:rPr>
              <w:t xml:space="preserve">    </w:t>
            </w:r>
            <w:r>
              <w:rPr>
                <w:rFonts w:ascii="宋体"/>
                <w:b/>
                <w:sz w:val="32"/>
              </w:rPr>
              <w:t>甲方</w:t>
            </w:r>
            <w:r>
              <w:rPr>
                <w:rFonts w:hint="eastAsia" w:ascii="宋体"/>
                <w:b/>
                <w:sz w:val="32"/>
              </w:rPr>
              <w:t>（采购人）</w:t>
            </w:r>
            <w:r>
              <w:rPr>
                <w:rFonts w:ascii="宋体"/>
                <w:b/>
                <w:sz w:val="32"/>
              </w:rPr>
              <w:t>：</w:t>
            </w:r>
          </w:p>
        </w:tc>
        <w:tc>
          <w:tcPr>
            <w:tcW w:w="6073" w:type="dxa"/>
            <w:tcMar>
              <w:top w:w="0" w:type="dxa"/>
              <w:left w:w="108" w:type="dxa"/>
              <w:bottom w:w="0" w:type="dxa"/>
              <w:right w:w="108" w:type="dxa"/>
            </w:tcMar>
            <w:vAlign w:val="center"/>
          </w:tcPr>
          <w:p w14:paraId="70F48428">
            <w:pPr>
              <w:spacing w:before="60" w:after="60" w:line="360" w:lineRule="auto"/>
              <w:rPr>
                <w:rFonts w:ascii="宋体"/>
                <w:b/>
                <w:sz w:val="84"/>
              </w:rPr>
            </w:pPr>
            <w:r>
              <w:rPr>
                <w:rFonts w:ascii="宋体"/>
                <w:b/>
                <w:sz w:val="32"/>
              </w:rPr>
              <w:t>桂林理工大学</w:t>
            </w:r>
          </w:p>
        </w:tc>
      </w:tr>
      <w:tr w14:paraId="33E87135">
        <w:tblPrEx>
          <w:tblCellMar>
            <w:top w:w="0" w:type="dxa"/>
            <w:left w:w="0" w:type="dxa"/>
            <w:bottom w:w="0" w:type="dxa"/>
            <w:right w:w="0" w:type="dxa"/>
          </w:tblCellMar>
        </w:tblPrEx>
        <w:trPr>
          <w:trHeight w:val="972" w:hRule="atLeast"/>
          <w:jc w:val="center"/>
        </w:trPr>
        <w:tc>
          <w:tcPr>
            <w:tcW w:w="3367" w:type="dxa"/>
            <w:tcMar>
              <w:top w:w="0" w:type="dxa"/>
              <w:left w:w="108" w:type="dxa"/>
              <w:bottom w:w="0" w:type="dxa"/>
              <w:right w:w="108" w:type="dxa"/>
            </w:tcMar>
            <w:vAlign w:val="center"/>
          </w:tcPr>
          <w:p w14:paraId="3D639DF7">
            <w:pPr>
              <w:spacing w:before="60" w:after="60" w:line="360" w:lineRule="auto"/>
              <w:ind w:firstLine="315" w:firstLineChars="98"/>
              <w:rPr>
                <w:rFonts w:ascii="宋体"/>
                <w:b/>
                <w:sz w:val="32"/>
              </w:rPr>
            </w:pPr>
            <w:r>
              <w:rPr>
                <w:rFonts w:ascii="宋体"/>
                <w:b/>
                <w:sz w:val="32"/>
              </w:rPr>
              <w:t>乙方</w:t>
            </w:r>
            <w:r>
              <w:rPr>
                <w:rFonts w:hint="eastAsia" w:ascii="宋体"/>
                <w:b/>
                <w:sz w:val="32"/>
              </w:rPr>
              <w:t>（成交供应商）</w:t>
            </w:r>
            <w:r>
              <w:rPr>
                <w:rFonts w:ascii="宋体"/>
                <w:b/>
                <w:sz w:val="32"/>
              </w:rPr>
              <w:t>：</w:t>
            </w:r>
          </w:p>
        </w:tc>
        <w:tc>
          <w:tcPr>
            <w:tcW w:w="6073" w:type="dxa"/>
            <w:tcMar>
              <w:top w:w="0" w:type="dxa"/>
              <w:left w:w="108" w:type="dxa"/>
              <w:bottom w:w="0" w:type="dxa"/>
              <w:right w:w="108" w:type="dxa"/>
            </w:tcMar>
            <w:vAlign w:val="center"/>
          </w:tcPr>
          <w:p w14:paraId="47AD9AD7">
            <w:pPr>
              <w:spacing w:before="60" w:after="60" w:line="360" w:lineRule="auto"/>
              <w:rPr>
                <w:rFonts w:ascii="宋体"/>
                <w:b/>
                <w:sz w:val="32"/>
              </w:rPr>
            </w:pPr>
          </w:p>
        </w:tc>
      </w:tr>
      <w:tr w14:paraId="5E3B5C9D">
        <w:tblPrEx>
          <w:tblCellMar>
            <w:top w:w="0" w:type="dxa"/>
            <w:left w:w="0" w:type="dxa"/>
            <w:bottom w:w="0" w:type="dxa"/>
            <w:right w:w="0" w:type="dxa"/>
          </w:tblCellMar>
        </w:tblPrEx>
        <w:trPr>
          <w:jc w:val="center"/>
        </w:trPr>
        <w:tc>
          <w:tcPr>
            <w:tcW w:w="3367" w:type="dxa"/>
            <w:tcMar>
              <w:top w:w="0" w:type="dxa"/>
              <w:left w:w="108" w:type="dxa"/>
              <w:bottom w:w="0" w:type="dxa"/>
              <w:right w:w="108" w:type="dxa"/>
            </w:tcMar>
            <w:vAlign w:val="center"/>
          </w:tcPr>
          <w:p w14:paraId="170ED36F">
            <w:pPr>
              <w:spacing w:line="360" w:lineRule="auto"/>
              <w:jc w:val="left"/>
              <w:rPr>
                <w:rFonts w:ascii="宋体"/>
                <w:b/>
                <w:sz w:val="32"/>
              </w:rPr>
            </w:pPr>
          </w:p>
        </w:tc>
        <w:tc>
          <w:tcPr>
            <w:tcW w:w="6073" w:type="dxa"/>
            <w:tcMar>
              <w:top w:w="0" w:type="dxa"/>
              <w:left w:w="108" w:type="dxa"/>
              <w:bottom w:w="0" w:type="dxa"/>
              <w:right w:w="108" w:type="dxa"/>
            </w:tcMar>
            <w:vAlign w:val="center"/>
          </w:tcPr>
          <w:p w14:paraId="14CB5F0F">
            <w:pPr>
              <w:spacing w:before="60" w:after="60" w:line="360" w:lineRule="auto"/>
              <w:rPr>
                <w:rFonts w:ascii="宋体"/>
                <w:b/>
                <w:sz w:val="32"/>
              </w:rPr>
            </w:pPr>
          </w:p>
        </w:tc>
      </w:tr>
      <w:tr w14:paraId="53DE6F41">
        <w:tblPrEx>
          <w:tblCellMar>
            <w:top w:w="0" w:type="dxa"/>
            <w:left w:w="0" w:type="dxa"/>
            <w:bottom w:w="0" w:type="dxa"/>
            <w:right w:w="0" w:type="dxa"/>
          </w:tblCellMar>
        </w:tblPrEx>
        <w:trPr>
          <w:jc w:val="center"/>
        </w:trPr>
        <w:tc>
          <w:tcPr>
            <w:tcW w:w="3367" w:type="dxa"/>
            <w:tcMar>
              <w:top w:w="0" w:type="dxa"/>
              <w:left w:w="108" w:type="dxa"/>
              <w:bottom w:w="0" w:type="dxa"/>
              <w:right w:w="108" w:type="dxa"/>
            </w:tcMar>
            <w:vAlign w:val="center"/>
          </w:tcPr>
          <w:p w14:paraId="25E68D6E">
            <w:pPr>
              <w:spacing w:line="360" w:lineRule="auto"/>
              <w:jc w:val="left"/>
              <w:rPr>
                <w:rFonts w:ascii="宋体"/>
                <w:b/>
                <w:sz w:val="32"/>
              </w:rPr>
            </w:pPr>
            <w:r>
              <w:rPr>
                <w:rFonts w:ascii="宋体"/>
                <w:b/>
                <w:sz w:val="32"/>
              </w:rPr>
              <w:t>签订合同时间</w:t>
            </w:r>
            <w:r>
              <w:rPr>
                <w:rFonts w:hint="eastAsia" w:ascii="宋体"/>
                <w:b/>
                <w:sz w:val="32"/>
              </w:rPr>
              <w:t>：</w:t>
            </w:r>
          </w:p>
        </w:tc>
        <w:tc>
          <w:tcPr>
            <w:tcW w:w="6073" w:type="dxa"/>
            <w:tcMar>
              <w:top w:w="0" w:type="dxa"/>
              <w:left w:w="108" w:type="dxa"/>
              <w:bottom w:w="0" w:type="dxa"/>
              <w:right w:w="108" w:type="dxa"/>
            </w:tcMar>
            <w:vAlign w:val="center"/>
          </w:tcPr>
          <w:p w14:paraId="546C4307">
            <w:pPr>
              <w:spacing w:before="60" w:after="60" w:line="360" w:lineRule="auto"/>
              <w:rPr>
                <w:rFonts w:ascii="宋体"/>
                <w:b/>
                <w:sz w:val="32"/>
              </w:rPr>
            </w:pPr>
            <w:r>
              <w:rPr>
                <w:rFonts w:ascii="宋体"/>
                <w:b/>
                <w:sz w:val="32"/>
              </w:rPr>
              <w:t xml:space="preserve">  </w:t>
            </w:r>
            <w:r>
              <w:rPr>
                <w:rFonts w:hint="eastAsia" w:ascii="宋体"/>
                <w:b/>
                <w:sz w:val="32"/>
              </w:rPr>
              <w:t xml:space="preserve"> </w:t>
            </w:r>
            <w:r>
              <w:rPr>
                <w:rFonts w:ascii="宋体"/>
                <w:b/>
                <w:sz w:val="32"/>
              </w:rPr>
              <w:t xml:space="preserve"> </w:t>
            </w:r>
            <w:r>
              <w:rPr>
                <w:rFonts w:hint="eastAsia" w:ascii="宋体"/>
                <w:b/>
                <w:sz w:val="32"/>
              </w:rPr>
              <w:t xml:space="preserve">  </w:t>
            </w:r>
            <w:r>
              <w:rPr>
                <w:rFonts w:ascii="宋体"/>
                <w:b/>
                <w:sz w:val="32"/>
              </w:rPr>
              <w:t xml:space="preserve">年 </w:t>
            </w:r>
            <w:r>
              <w:rPr>
                <w:rFonts w:hint="eastAsia" w:ascii="宋体"/>
                <w:b/>
                <w:sz w:val="32"/>
              </w:rPr>
              <w:t xml:space="preserve"> </w:t>
            </w:r>
            <w:r>
              <w:rPr>
                <w:rFonts w:ascii="宋体"/>
                <w:b/>
                <w:sz w:val="32"/>
              </w:rPr>
              <w:t xml:space="preserve"> </w:t>
            </w:r>
            <w:r>
              <w:rPr>
                <w:rFonts w:hint="eastAsia" w:ascii="宋体"/>
                <w:b/>
                <w:sz w:val="32"/>
              </w:rPr>
              <w:t xml:space="preserve"> </w:t>
            </w:r>
            <w:r>
              <w:rPr>
                <w:rFonts w:ascii="宋体"/>
                <w:b/>
                <w:sz w:val="32"/>
              </w:rPr>
              <w:t xml:space="preserve">月 </w:t>
            </w:r>
            <w:r>
              <w:rPr>
                <w:rFonts w:hint="eastAsia" w:ascii="宋体"/>
                <w:b/>
                <w:sz w:val="32"/>
              </w:rPr>
              <w:t xml:space="preserve">  </w:t>
            </w:r>
            <w:r>
              <w:rPr>
                <w:rFonts w:ascii="宋体"/>
                <w:b/>
                <w:sz w:val="32"/>
              </w:rPr>
              <w:t xml:space="preserve"> 日</w:t>
            </w:r>
          </w:p>
        </w:tc>
      </w:tr>
    </w:tbl>
    <w:p w14:paraId="339D3D7B">
      <w:pPr>
        <w:spacing w:line="1000" w:lineRule="exact"/>
        <w:jc w:val="center"/>
        <w:rPr>
          <w:rFonts w:ascii="宋体"/>
          <w:b/>
          <w:sz w:val="84"/>
        </w:rPr>
      </w:pPr>
    </w:p>
    <w:p w14:paraId="2078CC4F">
      <w:pPr>
        <w:spacing w:before="160" w:after="160" w:line="360" w:lineRule="auto"/>
        <w:ind w:firstLine="643"/>
        <w:rPr>
          <w:rFonts w:ascii="宋体"/>
          <w:b/>
          <w:sz w:val="32"/>
        </w:rPr>
      </w:pPr>
    </w:p>
    <w:p w14:paraId="27E2B757">
      <w:pPr>
        <w:tabs>
          <w:tab w:val="center" w:pos="4153"/>
          <w:tab w:val="right" w:pos="8306"/>
        </w:tabs>
        <w:snapToGrid w:val="0"/>
        <w:jc w:val="left"/>
        <w:rPr>
          <w:rFonts w:ascii="宋体"/>
          <w:b/>
          <w:sz w:val="32"/>
        </w:rPr>
      </w:pPr>
    </w:p>
    <w:p w14:paraId="6271451E">
      <w:pPr>
        <w:tabs>
          <w:tab w:val="center" w:pos="4153"/>
          <w:tab w:val="right" w:pos="8306"/>
        </w:tabs>
        <w:snapToGrid w:val="0"/>
        <w:jc w:val="left"/>
        <w:sectPr>
          <w:footerReference r:id="rId4" w:type="first"/>
          <w:footerReference r:id="rId3" w:type="default"/>
          <w:pgSz w:w="11906" w:h="16838"/>
          <w:pgMar w:top="1020" w:right="1134" w:bottom="1134" w:left="1247" w:header="851" w:footer="850" w:gutter="0"/>
          <w:cols w:space="720" w:num="1"/>
          <w:docGrid w:type="lines" w:linePitch="312" w:charSpace="0"/>
        </w:sectPr>
      </w:pPr>
    </w:p>
    <w:p w14:paraId="5699D417">
      <w:pPr>
        <w:pStyle w:val="3"/>
        <w:jc w:val="center"/>
        <w:rPr>
          <w:rFonts w:hint="eastAsia" w:ascii="宋体" w:hAnsi="宋体" w:cs="宋体"/>
        </w:rPr>
      </w:pPr>
      <w:r>
        <w:rPr>
          <w:rFonts w:hint="eastAsia" w:ascii="宋体" w:hAnsi="宋体" w:cs="宋体"/>
        </w:rPr>
        <w:t>合同条款及格式</w:t>
      </w:r>
    </w:p>
    <w:p w14:paraId="0E97D958">
      <w:pPr>
        <w:snapToGrid w:val="0"/>
        <w:spacing w:line="460" w:lineRule="exact"/>
        <w:ind w:right="480"/>
        <w:rPr>
          <w:b/>
          <w:szCs w:val="21"/>
          <w:u w:val="single"/>
        </w:rPr>
      </w:pPr>
      <w:bookmarkStart w:id="0" w:name="_bookmark104"/>
      <w:bookmarkEnd w:id="0"/>
      <w:r>
        <w:rPr>
          <w:rFonts w:hint="eastAsia"/>
          <w:bCs/>
          <w:szCs w:val="21"/>
        </w:rPr>
        <w:t>合同编号：</w:t>
      </w:r>
      <w:r>
        <w:rPr>
          <w:rFonts w:hint="eastAsia"/>
          <w:b/>
          <w:szCs w:val="21"/>
          <w:u w:val="single"/>
        </w:rPr>
        <w:t xml:space="preserve"> </w:t>
      </w:r>
    </w:p>
    <w:p w14:paraId="1D7305CD">
      <w:pPr>
        <w:tabs>
          <w:tab w:val="left" w:pos="6059"/>
        </w:tabs>
        <w:snapToGrid w:val="0"/>
        <w:spacing w:line="460" w:lineRule="exact"/>
        <w:rPr>
          <w:szCs w:val="21"/>
        </w:rPr>
      </w:pPr>
      <w:r>
        <w:rPr>
          <w:rFonts w:hint="eastAsia"/>
          <w:szCs w:val="21"/>
        </w:rPr>
        <w:tab/>
      </w:r>
    </w:p>
    <w:p w14:paraId="5E22CC66">
      <w:pPr>
        <w:snapToGrid w:val="0"/>
        <w:spacing w:line="460" w:lineRule="exact"/>
        <w:rPr>
          <w:szCs w:val="21"/>
        </w:rPr>
      </w:pPr>
      <w:r>
        <w:rPr>
          <w:rFonts w:hint="eastAsia"/>
          <w:szCs w:val="21"/>
        </w:rPr>
        <w:t>甲方（采购人）：</w:t>
      </w:r>
      <w:r>
        <w:rPr>
          <w:rFonts w:hint="eastAsia"/>
          <w:szCs w:val="21"/>
          <w:u w:val="single"/>
        </w:rPr>
        <w:t xml:space="preserve">桂林理工大学                </w:t>
      </w:r>
      <w:r>
        <w:rPr>
          <w:rFonts w:hint="eastAsia"/>
          <w:szCs w:val="21"/>
        </w:rPr>
        <w:t xml:space="preserve">                           </w:t>
      </w:r>
    </w:p>
    <w:p w14:paraId="1C45B78E">
      <w:pPr>
        <w:snapToGrid w:val="0"/>
        <w:spacing w:line="460" w:lineRule="exact"/>
        <w:rPr>
          <w:szCs w:val="21"/>
        </w:rPr>
      </w:pPr>
      <w:r>
        <w:rPr>
          <w:rFonts w:hint="eastAsia"/>
          <w:szCs w:val="21"/>
        </w:rPr>
        <w:t>乙方（供应商）：</w:t>
      </w:r>
      <w:r>
        <w:rPr>
          <w:rFonts w:hint="eastAsia"/>
          <w:szCs w:val="21"/>
          <w:u w:val="single"/>
        </w:rPr>
        <w:t xml:space="preserve">                            </w:t>
      </w:r>
      <w:r>
        <w:rPr>
          <w:rFonts w:hint="eastAsia"/>
          <w:szCs w:val="21"/>
        </w:rPr>
        <w:t xml:space="preserve">    </w:t>
      </w:r>
    </w:p>
    <w:p w14:paraId="72F12DD6">
      <w:pPr>
        <w:snapToGrid w:val="0"/>
        <w:spacing w:line="460" w:lineRule="exact"/>
        <w:rPr>
          <w:szCs w:val="21"/>
        </w:rPr>
      </w:pPr>
      <w:r>
        <w:rPr>
          <w:rFonts w:hint="eastAsia"/>
          <w:szCs w:val="21"/>
        </w:rPr>
        <w:t xml:space="preserve">    </w:t>
      </w:r>
      <w:r>
        <w:rPr>
          <w:rFonts w:hint="eastAsia"/>
        </w:rPr>
        <w:t>根据《中华人民共和国政府采购法》、《中华人民共和国民法典》等法律、法规规定，按照采购需求文件规定条款和中标供应商承诺、甲乙双方签订本采购合同。</w:t>
      </w:r>
    </w:p>
    <w:p w14:paraId="614AC61F">
      <w:pPr>
        <w:pStyle w:val="5"/>
        <w:spacing w:before="331" w:beforeLines="100" w:line="460" w:lineRule="exact"/>
        <w:ind w:left="1027" w:hanging="488"/>
        <w:rPr>
          <w:b w:val="0"/>
        </w:rPr>
      </w:pPr>
      <w:bookmarkStart w:id="1" w:name="_Toc497061624"/>
      <w:bookmarkStart w:id="2" w:name="_Toc498673620"/>
      <w:r>
        <w:rPr>
          <w:rFonts w:hint="eastAsia"/>
          <w:b w:val="0"/>
        </w:rPr>
        <w:t>第一条　合同标的</w:t>
      </w:r>
      <w:bookmarkEnd w:id="1"/>
      <w:bookmarkEnd w:id="2"/>
    </w:p>
    <w:p w14:paraId="46473617">
      <w:pPr>
        <w:spacing w:line="460" w:lineRule="exact"/>
        <w:ind w:firstLine="420" w:firstLineChars="200"/>
        <w:rPr>
          <w:szCs w:val="21"/>
        </w:rPr>
      </w:pPr>
      <w:r>
        <w:rPr>
          <w:rFonts w:hint="eastAsia"/>
          <w:szCs w:val="21"/>
        </w:rPr>
        <w:t>1、供货一览表（具体参数及要求详见《附件：货物采购技术参数需求》（中标后提供））</w:t>
      </w:r>
    </w:p>
    <w:tbl>
      <w:tblPr>
        <w:tblStyle w:val="1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50"/>
        <w:gridCol w:w="1035"/>
        <w:gridCol w:w="1050"/>
        <w:gridCol w:w="2268"/>
        <w:gridCol w:w="702"/>
        <w:gridCol w:w="1173"/>
        <w:gridCol w:w="1283"/>
      </w:tblGrid>
      <w:tr w14:paraId="303E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08" w:type="dxa"/>
            <w:vAlign w:val="center"/>
          </w:tcPr>
          <w:p w14:paraId="3D4156B3">
            <w:pPr>
              <w:snapToGrid w:val="0"/>
              <w:spacing w:line="460" w:lineRule="exact"/>
              <w:jc w:val="center"/>
              <w:rPr>
                <w:sz w:val="20"/>
                <w:szCs w:val="20"/>
              </w:rPr>
            </w:pPr>
            <w:r>
              <w:rPr>
                <w:rFonts w:hint="eastAsia"/>
                <w:sz w:val="20"/>
                <w:szCs w:val="20"/>
              </w:rPr>
              <w:t>序号</w:t>
            </w:r>
          </w:p>
        </w:tc>
        <w:tc>
          <w:tcPr>
            <w:tcW w:w="1050" w:type="dxa"/>
            <w:vAlign w:val="center"/>
          </w:tcPr>
          <w:p w14:paraId="79E34223">
            <w:pPr>
              <w:snapToGrid w:val="0"/>
              <w:spacing w:line="460" w:lineRule="exact"/>
              <w:jc w:val="center"/>
              <w:rPr>
                <w:sz w:val="20"/>
                <w:szCs w:val="20"/>
              </w:rPr>
            </w:pPr>
            <w:r>
              <w:rPr>
                <w:rFonts w:hint="eastAsia"/>
                <w:sz w:val="20"/>
                <w:szCs w:val="20"/>
              </w:rPr>
              <w:t>设备名称</w:t>
            </w:r>
          </w:p>
        </w:tc>
        <w:tc>
          <w:tcPr>
            <w:tcW w:w="1035" w:type="dxa"/>
            <w:vAlign w:val="center"/>
          </w:tcPr>
          <w:p w14:paraId="79E162A9">
            <w:pPr>
              <w:snapToGrid w:val="0"/>
              <w:spacing w:line="460" w:lineRule="exact"/>
              <w:jc w:val="center"/>
              <w:rPr>
                <w:sz w:val="20"/>
                <w:szCs w:val="20"/>
              </w:rPr>
            </w:pPr>
            <w:r>
              <w:rPr>
                <w:rFonts w:hint="eastAsia"/>
                <w:sz w:val="20"/>
                <w:szCs w:val="20"/>
              </w:rPr>
              <w:t>产地品牌</w:t>
            </w:r>
          </w:p>
        </w:tc>
        <w:tc>
          <w:tcPr>
            <w:tcW w:w="1050" w:type="dxa"/>
            <w:vAlign w:val="center"/>
          </w:tcPr>
          <w:p w14:paraId="1659DDBF">
            <w:pPr>
              <w:snapToGrid w:val="0"/>
              <w:spacing w:line="460" w:lineRule="exact"/>
              <w:jc w:val="center"/>
              <w:rPr>
                <w:sz w:val="20"/>
                <w:szCs w:val="20"/>
              </w:rPr>
            </w:pPr>
            <w:r>
              <w:rPr>
                <w:rFonts w:hint="eastAsia"/>
                <w:sz w:val="20"/>
                <w:szCs w:val="20"/>
              </w:rPr>
              <w:t>型号</w:t>
            </w:r>
          </w:p>
        </w:tc>
        <w:tc>
          <w:tcPr>
            <w:tcW w:w="2268" w:type="dxa"/>
            <w:vAlign w:val="center"/>
          </w:tcPr>
          <w:p w14:paraId="4A4AC7BB">
            <w:pPr>
              <w:snapToGrid w:val="0"/>
              <w:spacing w:line="460" w:lineRule="exact"/>
              <w:jc w:val="center"/>
              <w:rPr>
                <w:sz w:val="20"/>
                <w:szCs w:val="20"/>
              </w:rPr>
            </w:pPr>
            <w:r>
              <w:rPr>
                <w:rFonts w:hint="eastAsia"/>
                <w:sz w:val="20"/>
                <w:szCs w:val="20"/>
              </w:rPr>
              <w:t>规格</w:t>
            </w:r>
          </w:p>
        </w:tc>
        <w:tc>
          <w:tcPr>
            <w:tcW w:w="702" w:type="dxa"/>
            <w:vAlign w:val="center"/>
          </w:tcPr>
          <w:p w14:paraId="2F2088C6">
            <w:pPr>
              <w:snapToGrid w:val="0"/>
              <w:spacing w:line="460" w:lineRule="exact"/>
              <w:jc w:val="center"/>
              <w:rPr>
                <w:sz w:val="20"/>
                <w:szCs w:val="20"/>
              </w:rPr>
            </w:pPr>
            <w:r>
              <w:rPr>
                <w:rFonts w:hint="eastAsia"/>
                <w:sz w:val="20"/>
                <w:szCs w:val="20"/>
              </w:rPr>
              <w:t>数量</w:t>
            </w:r>
          </w:p>
        </w:tc>
        <w:tc>
          <w:tcPr>
            <w:tcW w:w="1173" w:type="dxa"/>
            <w:vAlign w:val="center"/>
          </w:tcPr>
          <w:p w14:paraId="0ADC81B1">
            <w:pPr>
              <w:snapToGrid w:val="0"/>
              <w:spacing w:line="460" w:lineRule="exact"/>
              <w:jc w:val="center"/>
              <w:rPr>
                <w:sz w:val="20"/>
                <w:szCs w:val="20"/>
              </w:rPr>
            </w:pPr>
            <w:r>
              <w:rPr>
                <w:rFonts w:hint="eastAsia"/>
                <w:sz w:val="20"/>
                <w:szCs w:val="20"/>
              </w:rPr>
              <w:t>单价（元）</w:t>
            </w:r>
          </w:p>
        </w:tc>
        <w:tc>
          <w:tcPr>
            <w:tcW w:w="1283" w:type="dxa"/>
            <w:vAlign w:val="center"/>
          </w:tcPr>
          <w:p w14:paraId="2E32B0C3">
            <w:pPr>
              <w:snapToGrid w:val="0"/>
              <w:spacing w:line="460" w:lineRule="exact"/>
              <w:jc w:val="center"/>
              <w:rPr>
                <w:sz w:val="20"/>
                <w:szCs w:val="20"/>
              </w:rPr>
            </w:pPr>
            <w:r>
              <w:rPr>
                <w:rFonts w:hint="eastAsia"/>
                <w:sz w:val="20"/>
                <w:szCs w:val="20"/>
              </w:rPr>
              <w:t>合计（元）</w:t>
            </w:r>
          </w:p>
        </w:tc>
      </w:tr>
      <w:tr w14:paraId="1DF0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08" w:type="dxa"/>
            <w:vAlign w:val="center"/>
          </w:tcPr>
          <w:p w14:paraId="1870B966">
            <w:pPr>
              <w:snapToGrid w:val="0"/>
              <w:spacing w:line="460" w:lineRule="exact"/>
              <w:jc w:val="center"/>
              <w:rPr>
                <w:sz w:val="20"/>
                <w:szCs w:val="20"/>
              </w:rPr>
            </w:pPr>
            <w:r>
              <w:rPr>
                <w:rFonts w:hint="eastAsia"/>
                <w:sz w:val="20"/>
                <w:szCs w:val="20"/>
              </w:rPr>
              <w:t>1</w:t>
            </w:r>
          </w:p>
        </w:tc>
        <w:tc>
          <w:tcPr>
            <w:tcW w:w="1050" w:type="dxa"/>
            <w:vAlign w:val="center"/>
          </w:tcPr>
          <w:p w14:paraId="7AD453FA">
            <w:pPr>
              <w:snapToGrid w:val="0"/>
              <w:spacing w:line="460" w:lineRule="exact"/>
              <w:jc w:val="center"/>
              <w:rPr>
                <w:sz w:val="20"/>
                <w:szCs w:val="20"/>
                <w:shd w:val="clear" w:color="auto" w:fill="FFFFFF"/>
              </w:rPr>
            </w:pPr>
          </w:p>
          <w:p w14:paraId="4DF9FB18">
            <w:pPr>
              <w:pStyle w:val="2"/>
            </w:pPr>
          </w:p>
        </w:tc>
        <w:tc>
          <w:tcPr>
            <w:tcW w:w="1035" w:type="dxa"/>
            <w:vAlign w:val="center"/>
          </w:tcPr>
          <w:p w14:paraId="1E34AFA0">
            <w:pPr>
              <w:snapToGrid w:val="0"/>
              <w:spacing w:line="460" w:lineRule="exact"/>
              <w:jc w:val="center"/>
              <w:rPr>
                <w:sz w:val="20"/>
                <w:szCs w:val="20"/>
              </w:rPr>
            </w:pPr>
          </w:p>
        </w:tc>
        <w:tc>
          <w:tcPr>
            <w:tcW w:w="1050" w:type="dxa"/>
            <w:vAlign w:val="center"/>
          </w:tcPr>
          <w:p w14:paraId="11193B65">
            <w:pPr>
              <w:snapToGrid w:val="0"/>
              <w:spacing w:line="460" w:lineRule="exact"/>
              <w:jc w:val="center"/>
              <w:rPr>
                <w:sz w:val="20"/>
                <w:szCs w:val="20"/>
              </w:rPr>
            </w:pPr>
          </w:p>
        </w:tc>
        <w:tc>
          <w:tcPr>
            <w:tcW w:w="2268" w:type="dxa"/>
          </w:tcPr>
          <w:p w14:paraId="36435822">
            <w:pPr>
              <w:snapToGrid w:val="0"/>
              <w:spacing w:line="340" w:lineRule="exact"/>
              <w:jc w:val="center"/>
              <w:rPr>
                <w:sz w:val="20"/>
                <w:szCs w:val="20"/>
              </w:rPr>
            </w:pPr>
          </w:p>
          <w:p w14:paraId="38B4DE84">
            <w:pPr>
              <w:snapToGrid w:val="0"/>
              <w:spacing w:line="340" w:lineRule="exact"/>
              <w:jc w:val="center"/>
              <w:rPr>
                <w:sz w:val="20"/>
                <w:szCs w:val="20"/>
              </w:rPr>
            </w:pPr>
          </w:p>
        </w:tc>
        <w:tc>
          <w:tcPr>
            <w:tcW w:w="702" w:type="dxa"/>
            <w:vAlign w:val="center"/>
          </w:tcPr>
          <w:p w14:paraId="1ED76BA3">
            <w:pPr>
              <w:snapToGrid w:val="0"/>
              <w:spacing w:line="460" w:lineRule="exact"/>
              <w:jc w:val="center"/>
              <w:rPr>
                <w:sz w:val="20"/>
                <w:szCs w:val="20"/>
              </w:rPr>
            </w:pPr>
            <w:r>
              <w:rPr>
                <w:rFonts w:hint="eastAsia"/>
                <w:sz w:val="20"/>
                <w:szCs w:val="20"/>
              </w:rPr>
              <w:t>2台</w:t>
            </w:r>
          </w:p>
        </w:tc>
        <w:tc>
          <w:tcPr>
            <w:tcW w:w="1173" w:type="dxa"/>
            <w:vAlign w:val="center"/>
          </w:tcPr>
          <w:p w14:paraId="67BF3BC7">
            <w:pPr>
              <w:snapToGrid w:val="0"/>
              <w:spacing w:line="460" w:lineRule="exact"/>
              <w:jc w:val="center"/>
              <w:rPr>
                <w:sz w:val="20"/>
                <w:szCs w:val="20"/>
                <w:highlight w:val="yellow"/>
              </w:rPr>
            </w:pPr>
          </w:p>
        </w:tc>
        <w:tc>
          <w:tcPr>
            <w:tcW w:w="1283" w:type="dxa"/>
            <w:vAlign w:val="center"/>
          </w:tcPr>
          <w:p w14:paraId="09540247">
            <w:pPr>
              <w:snapToGrid w:val="0"/>
              <w:spacing w:line="460" w:lineRule="exact"/>
              <w:jc w:val="center"/>
              <w:rPr>
                <w:sz w:val="20"/>
                <w:szCs w:val="20"/>
                <w:highlight w:val="yellow"/>
              </w:rPr>
            </w:pPr>
          </w:p>
        </w:tc>
      </w:tr>
      <w:tr w14:paraId="626B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269" w:type="dxa"/>
            <w:gridSpan w:val="8"/>
            <w:vAlign w:val="center"/>
          </w:tcPr>
          <w:p w14:paraId="66EB56F7">
            <w:pPr>
              <w:snapToGrid w:val="0"/>
              <w:spacing w:line="460" w:lineRule="exact"/>
              <w:jc w:val="center"/>
              <w:rPr>
                <w:sz w:val="20"/>
                <w:szCs w:val="20"/>
              </w:rPr>
            </w:pPr>
            <w:r>
              <w:rPr>
                <w:rFonts w:hint="eastAsia"/>
                <w:b/>
                <w:bCs/>
              </w:rPr>
              <w:t>合同合计金额：</w:t>
            </w:r>
            <w:r>
              <w:rPr>
                <w:rFonts w:hint="eastAsia"/>
                <w:b/>
                <w:bCs/>
                <w:u w:val="single"/>
              </w:rPr>
              <w:t xml:space="preserve">        元整（￥   元）</w:t>
            </w:r>
          </w:p>
        </w:tc>
      </w:tr>
    </w:tbl>
    <w:p w14:paraId="180FF950">
      <w:pPr>
        <w:spacing w:line="360" w:lineRule="auto"/>
        <w:ind w:firstLine="420" w:firstLineChars="200"/>
        <w:rPr>
          <w:rFonts w:ascii="等线"/>
          <w:b/>
          <w:color w:val="000000"/>
        </w:rPr>
      </w:pPr>
      <w:r>
        <w:rPr>
          <w:rFonts w:hint="eastAsia"/>
          <w:b/>
        </w:rPr>
        <w:t>2、合同合计金额包括交钥匙工程所需的全部费用，为采购人指定地点的现场交货价，竞标人的报价应包含设备的设计、制造、设备成本、包装、运输、保险、装卸、安装（电梯控制箱由电梯厂家配套）、预埋（包括支撑架、钢架、钢梁、配电箱至电梯控制箱及电梯各部件线缆）、</w:t>
      </w:r>
      <w:r>
        <w:rPr>
          <w:rFonts w:hint="eastAsia" w:hAnsi="宋体"/>
          <w:b/>
          <w:bCs/>
        </w:rPr>
        <w:t>井道整修改造</w:t>
      </w:r>
      <w:r>
        <w:rPr>
          <w:rFonts w:hint="eastAsia"/>
          <w:b/>
        </w:rPr>
        <w:t>、调试、检验（包括商检、</w:t>
      </w:r>
      <w:r>
        <w:rPr>
          <w:rFonts w:hint="eastAsia" w:hAnsi="宋体"/>
          <w:b/>
          <w:bCs/>
        </w:rPr>
        <w:t>市场监督管理局相关检验</w:t>
      </w:r>
      <w:r>
        <w:rPr>
          <w:rFonts w:hint="eastAsia"/>
          <w:b/>
        </w:rPr>
        <w:t>）、技术服务、税金（含关税）、保险、与土建施工配合费（按1500元/台支付给主体施工单位）、电费、技术服务、检测等所涉及的一切费用的总和（即为交钥匙工程）。合同期内价格不作调整。</w:t>
      </w:r>
    </w:p>
    <w:p w14:paraId="3083D051">
      <w:pPr>
        <w:pStyle w:val="5"/>
        <w:spacing w:before="331" w:beforeLines="100" w:line="460" w:lineRule="exact"/>
        <w:ind w:left="1027" w:hanging="488"/>
        <w:rPr>
          <w:b w:val="0"/>
        </w:rPr>
      </w:pPr>
      <w:bookmarkStart w:id="3" w:name="_Toc497061625"/>
      <w:bookmarkStart w:id="4" w:name="_Toc498673621"/>
      <w:r>
        <w:rPr>
          <w:rFonts w:hint="eastAsia"/>
          <w:b w:val="0"/>
        </w:rPr>
        <w:t>第二条　质量保证</w:t>
      </w:r>
      <w:bookmarkEnd w:id="3"/>
      <w:bookmarkEnd w:id="4"/>
    </w:p>
    <w:p w14:paraId="7315AB02">
      <w:pPr>
        <w:pStyle w:val="9"/>
        <w:tabs>
          <w:tab w:val="left" w:pos="360"/>
        </w:tabs>
        <w:spacing w:line="460" w:lineRule="exact"/>
        <w:ind w:firstLine="403" w:firstLineChars="192"/>
        <w:rPr>
          <w:rFonts w:hint="eastAsia" w:hAnsi="宋体" w:cs="宋体"/>
        </w:rPr>
      </w:pPr>
      <w:r>
        <w:rPr>
          <w:rFonts w:hint="eastAsia" w:hAnsi="宋体" w:cs="宋体"/>
        </w:rPr>
        <w:t>1、乙方所提供货物的数量和质量（如品牌、型号、技术规格、技术参数、材料种类和主配件来源地等）必须与采购需求文件和承诺相一致。</w:t>
      </w:r>
    </w:p>
    <w:p w14:paraId="4EB4A833">
      <w:pPr>
        <w:pStyle w:val="9"/>
        <w:tabs>
          <w:tab w:val="left" w:pos="360"/>
        </w:tabs>
        <w:spacing w:line="460" w:lineRule="exact"/>
        <w:ind w:firstLine="403" w:firstLineChars="192"/>
        <w:rPr>
          <w:rFonts w:hint="eastAsia" w:hAnsi="宋体" w:cs="宋体"/>
        </w:rPr>
      </w:pPr>
      <w:r>
        <w:rPr>
          <w:rFonts w:hint="eastAsia" w:hAnsi="宋体" w:cs="宋体"/>
        </w:rPr>
        <w:t>2、乙方所提供的货物必须是满足采购需求文件规定的货物性能、技术要求、全新的质量标准，并是未使用的原装产品，且在正常安装、使用和保养条件下，其使用寿命期内各项指标均达到质量要求。</w:t>
      </w:r>
    </w:p>
    <w:p w14:paraId="07A726B3">
      <w:pPr>
        <w:pStyle w:val="9"/>
        <w:tabs>
          <w:tab w:val="left" w:pos="360"/>
        </w:tabs>
        <w:spacing w:line="460" w:lineRule="exact"/>
        <w:ind w:firstLine="403" w:firstLineChars="192"/>
        <w:rPr>
          <w:rFonts w:hint="eastAsia" w:hAnsi="宋体" w:cs="宋体"/>
        </w:rPr>
      </w:pPr>
      <w:r>
        <w:rPr>
          <w:rFonts w:hint="eastAsia" w:hAnsi="宋体" w:cs="宋体"/>
        </w:rPr>
        <w:t>3、乙方对设备的安装必须符合国家及地方现行的相关标准。</w:t>
      </w:r>
    </w:p>
    <w:p w14:paraId="15888D8B">
      <w:pPr>
        <w:pStyle w:val="5"/>
        <w:spacing w:before="331" w:beforeLines="100" w:line="460" w:lineRule="exact"/>
        <w:ind w:left="1027" w:hanging="488"/>
        <w:rPr>
          <w:b w:val="0"/>
        </w:rPr>
      </w:pPr>
      <w:bookmarkStart w:id="5" w:name="_Toc497061626"/>
      <w:bookmarkStart w:id="6" w:name="_Toc498673622"/>
      <w:r>
        <w:rPr>
          <w:rFonts w:hint="eastAsia"/>
          <w:b w:val="0"/>
        </w:rPr>
        <w:t>第三条　权力保证</w:t>
      </w:r>
      <w:bookmarkEnd w:id="5"/>
      <w:bookmarkEnd w:id="6"/>
    </w:p>
    <w:p w14:paraId="64B56CCC">
      <w:pPr>
        <w:pStyle w:val="9"/>
        <w:tabs>
          <w:tab w:val="left" w:pos="360"/>
        </w:tabs>
        <w:spacing w:line="460" w:lineRule="exact"/>
        <w:ind w:firstLine="403" w:firstLineChars="192"/>
        <w:rPr>
          <w:rFonts w:hint="eastAsia" w:hAnsi="宋体" w:cs="宋体"/>
        </w:rPr>
      </w:pPr>
      <w:r>
        <w:rPr>
          <w:rFonts w:hint="eastAsia" w:hAnsi="宋体" w:cs="宋体"/>
        </w:rPr>
        <w:t>1、乙方应保证所提供货物在使用时不会侵犯任何第三方的专利权、商标权、工业设计权或其他权利。</w:t>
      </w:r>
    </w:p>
    <w:p w14:paraId="7FD316E6">
      <w:pPr>
        <w:pStyle w:val="9"/>
        <w:tabs>
          <w:tab w:val="left" w:pos="360"/>
        </w:tabs>
        <w:spacing w:line="460" w:lineRule="exact"/>
        <w:ind w:firstLine="403" w:firstLineChars="192"/>
        <w:rPr>
          <w:rFonts w:hint="eastAsia" w:hAnsi="宋体" w:cs="宋体"/>
        </w:rPr>
      </w:pPr>
      <w:r>
        <w:rPr>
          <w:rFonts w:hint="eastAsia" w:hAnsi="宋体" w:cs="宋体"/>
        </w:rPr>
        <w:t>2、乙方应按采购需求文件规定的时间向甲方提供货物和使用货物的有关技术资料。</w:t>
      </w:r>
    </w:p>
    <w:p w14:paraId="541E7E9D">
      <w:pPr>
        <w:pStyle w:val="9"/>
        <w:tabs>
          <w:tab w:val="left" w:pos="360"/>
        </w:tabs>
        <w:spacing w:line="460" w:lineRule="exact"/>
        <w:ind w:firstLine="403" w:firstLineChars="192"/>
        <w:rPr>
          <w:rFonts w:hint="eastAsia" w:hAnsi="宋体" w:cs="宋体"/>
        </w:rPr>
      </w:pPr>
      <w:r>
        <w:rPr>
          <w:rFonts w:hint="eastAsia" w:hAnsi="宋体" w:cs="宋体"/>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6FBAB7B">
      <w:pPr>
        <w:pStyle w:val="9"/>
        <w:tabs>
          <w:tab w:val="left" w:pos="360"/>
        </w:tabs>
        <w:spacing w:line="460" w:lineRule="exact"/>
        <w:ind w:firstLine="403" w:firstLineChars="192"/>
        <w:rPr>
          <w:rFonts w:hint="eastAsia" w:hAnsi="宋体" w:cs="宋体"/>
        </w:rPr>
      </w:pPr>
      <w:r>
        <w:rPr>
          <w:rFonts w:hint="eastAsia" w:hAnsi="宋体" w:cs="宋体"/>
        </w:rPr>
        <w:t>4、乙方保证所交付的货物的所有权完全属于乙方且无任何抵押、质押、查封等产权瑕疵。</w:t>
      </w:r>
      <w:bookmarkStart w:id="7" w:name="_Toc207442886"/>
      <w:bookmarkStart w:id="8" w:name="_Toc267581913"/>
      <w:bookmarkStart w:id="9" w:name="_Toc267640442"/>
    </w:p>
    <w:p w14:paraId="3940BD66">
      <w:pPr>
        <w:pStyle w:val="9"/>
        <w:tabs>
          <w:tab w:val="left" w:pos="360"/>
        </w:tabs>
        <w:spacing w:line="460" w:lineRule="exact"/>
        <w:ind w:firstLine="403" w:firstLineChars="192"/>
        <w:rPr>
          <w:rFonts w:hint="eastAsia" w:hAnsi="宋体" w:cs="宋体"/>
        </w:rPr>
      </w:pPr>
      <w:r>
        <w:rPr>
          <w:rFonts w:hint="eastAsia" w:hAnsi="宋体" w:cs="宋体"/>
        </w:rPr>
        <w:t>5、</w:t>
      </w:r>
      <w:bookmarkEnd w:id="7"/>
      <w:bookmarkEnd w:id="8"/>
      <w:bookmarkEnd w:id="9"/>
      <w:bookmarkStart w:id="10" w:name="_Toc498673623"/>
      <w:bookmarkStart w:id="11" w:name="_Toc497061627"/>
      <w:r>
        <w:rPr>
          <w:rFonts w:hint="eastAsia" w:hAnsi="宋体" w:cs="宋体"/>
        </w:rPr>
        <w:t>本项目不允许转包，本项目不可以分包。</w:t>
      </w:r>
    </w:p>
    <w:p w14:paraId="0A3DA98F">
      <w:pPr>
        <w:pStyle w:val="5"/>
        <w:spacing w:before="331" w:beforeLines="100" w:line="460" w:lineRule="exact"/>
        <w:ind w:left="1027" w:hanging="488"/>
        <w:rPr>
          <w:b w:val="0"/>
        </w:rPr>
      </w:pPr>
      <w:r>
        <w:rPr>
          <w:rFonts w:hint="eastAsia"/>
          <w:b w:val="0"/>
        </w:rPr>
        <w:t>第四条　包装和运输</w:t>
      </w:r>
      <w:bookmarkEnd w:id="10"/>
      <w:bookmarkEnd w:id="11"/>
    </w:p>
    <w:p w14:paraId="59C5E9AB">
      <w:pPr>
        <w:pStyle w:val="9"/>
        <w:tabs>
          <w:tab w:val="left" w:pos="360"/>
        </w:tabs>
        <w:spacing w:line="460" w:lineRule="exact"/>
        <w:ind w:firstLine="403" w:firstLineChars="192"/>
        <w:rPr>
          <w:rFonts w:hint="eastAsia" w:hAnsi="宋体" w:cs="宋体"/>
        </w:rPr>
      </w:pPr>
      <w:r>
        <w:rPr>
          <w:rFonts w:hint="eastAsia" w:hAnsi="宋体" w:cs="宋体"/>
        </w:rPr>
        <w:t>乙方提供的全部设备，均应采用国家或专业标准保护措施进行包装。使用长途公路或铁路运输的，并有良好的防湿、防潮、防震、防腐蚀的能力，电梯设备的导轨为可以妥善保护的软包装，若由于包装不当引起的设备锈蚀、损坏和损失均由乙方承担。每一包装箱内必须附有装箱清单。</w:t>
      </w:r>
    </w:p>
    <w:p w14:paraId="24A6F0B1">
      <w:pPr>
        <w:pStyle w:val="5"/>
        <w:spacing w:before="331" w:beforeLines="100" w:line="460" w:lineRule="exact"/>
        <w:ind w:left="1027" w:hanging="488"/>
        <w:rPr>
          <w:b w:val="0"/>
        </w:rPr>
      </w:pPr>
      <w:bookmarkStart w:id="12" w:name="_Toc498673624"/>
      <w:bookmarkStart w:id="13" w:name="_Toc497061628"/>
      <w:r>
        <w:rPr>
          <w:rFonts w:hint="eastAsia"/>
          <w:b w:val="0"/>
        </w:rPr>
        <w:t>第五条　交付和验收</w:t>
      </w:r>
      <w:bookmarkEnd w:id="12"/>
      <w:bookmarkEnd w:id="13"/>
    </w:p>
    <w:p w14:paraId="660B7119">
      <w:pPr>
        <w:pStyle w:val="9"/>
        <w:tabs>
          <w:tab w:val="left" w:pos="360"/>
        </w:tabs>
        <w:spacing w:line="460" w:lineRule="exact"/>
        <w:ind w:firstLine="420" w:firstLineChars="200"/>
        <w:rPr>
          <w:rFonts w:hint="eastAsia" w:hAnsi="宋体" w:cs="宋体"/>
        </w:rPr>
      </w:pPr>
      <w:r>
        <w:rPr>
          <w:rFonts w:hint="eastAsia" w:hAnsi="宋体" w:cs="宋体"/>
        </w:rPr>
        <w:t>1、交货时间：</w:t>
      </w:r>
      <w:r>
        <w:rPr>
          <w:rFonts w:hint="eastAsia" w:hAnsi="宋体" w:cs="宋体"/>
          <w:b/>
        </w:rPr>
        <w:t>合同签订后</w:t>
      </w:r>
      <w:r>
        <w:rPr>
          <w:rFonts w:hint="eastAsia" w:hAnsi="宋体" w:cs="宋体"/>
          <w:b/>
          <w:bCs/>
        </w:rPr>
        <w:t>自甲方发出交货通知之日起</w:t>
      </w:r>
      <w:r>
        <w:rPr>
          <w:rFonts w:hint="eastAsia" w:hAnsi="宋体" w:cs="宋体"/>
          <w:b/>
        </w:rPr>
        <w:t>，50日历天内通过验收（含报市场监督管理局相关部门验收合格，取得运行合格证（特种设备使用登记证））并交付使用。</w:t>
      </w:r>
      <w:r>
        <w:rPr>
          <w:rFonts w:hint="eastAsia" w:hAnsi="宋体" w:cs="宋体"/>
        </w:rPr>
        <w:t>如因甲方原因造成延误的，工期顺延。甲方发出交货通知之日起，7日内未进场进行安装的，将从交货通知之日起算至进场安装日，每天处罚合同价5‰的处罚金，乙方未能在规定时间内通过验收（含市场监督管理局相关部门验收合格，取得运行合格证（特种设备使用登记证））逾期交付使用的，按本合同第十三条第4款逾期交货处罚违约金。</w:t>
      </w:r>
    </w:p>
    <w:p w14:paraId="7DA010BB">
      <w:pPr>
        <w:pStyle w:val="9"/>
        <w:tabs>
          <w:tab w:val="left" w:pos="360"/>
        </w:tabs>
        <w:spacing w:line="460" w:lineRule="exact"/>
        <w:ind w:firstLine="420" w:firstLineChars="200"/>
        <w:rPr>
          <w:rFonts w:hint="eastAsia" w:hAnsi="宋体" w:cs="宋体"/>
        </w:rPr>
      </w:pPr>
      <w:r>
        <w:rPr>
          <w:rFonts w:hint="eastAsia" w:hAnsi="宋体" w:cs="宋体"/>
        </w:rPr>
        <w:t>2、乙方提供不符合采购需求文件和本合同规定的货物，甲方有权拒绝接收。</w:t>
      </w:r>
    </w:p>
    <w:p w14:paraId="448BD668">
      <w:pPr>
        <w:pStyle w:val="9"/>
        <w:tabs>
          <w:tab w:val="left" w:pos="360"/>
        </w:tabs>
        <w:spacing w:line="460" w:lineRule="exact"/>
        <w:ind w:firstLine="420" w:firstLineChars="200"/>
        <w:rPr>
          <w:rFonts w:hint="eastAsia" w:hAnsi="宋体" w:cs="宋体"/>
        </w:rPr>
      </w:pPr>
      <w:r>
        <w:rPr>
          <w:rFonts w:hint="eastAsia" w:hAnsi="宋体" w:cs="宋体"/>
        </w:rPr>
        <w:t>3、乙方应将所提供货物的装箱清单、用户手册、原厂保修卡、随机资料、工具和备品、备件等交付给甲方，如有缺失应及时补齐，否则视为逾期交货。</w:t>
      </w:r>
    </w:p>
    <w:p w14:paraId="2B2FBBB6">
      <w:pPr>
        <w:pStyle w:val="9"/>
        <w:tabs>
          <w:tab w:val="left" w:pos="360"/>
        </w:tabs>
        <w:spacing w:line="460" w:lineRule="exact"/>
        <w:ind w:firstLine="420" w:firstLineChars="200"/>
      </w:pPr>
      <w:r>
        <w:rPr>
          <w:rFonts w:hint="eastAsia" w:hAnsi="宋体" w:cs="宋体"/>
        </w:rPr>
        <w:t>4、货物安装调试完成后，成交供应商需提交由监理确认的验收申请单给甲方后，采购人依据采购需求文件和本合同文件规定的技术规格要求及承诺和国家有关质量标准对货物进行现场验收，验收合格后由采购人及成交供应商双方签署货物验收单并加盖公章，采购人及成交供应商双方各执一份。如验收不合格，成交供应商需在10个日历日内整改完成，并按上述验收流程申请验收。</w:t>
      </w:r>
    </w:p>
    <w:p w14:paraId="02EA2414">
      <w:pPr>
        <w:pStyle w:val="9"/>
        <w:tabs>
          <w:tab w:val="left" w:pos="360"/>
        </w:tabs>
        <w:spacing w:line="460" w:lineRule="exact"/>
        <w:ind w:firstLine="420" w:firstLineChars="200"/>
        <w:rPr>
          <w:rFonts w:hint="eastAsia" w:hAnsi="宋体" w:cs="宋体"/>
        </w:rPr>
      </w:pPr>
      <w:r>
        <w:rPr>
          <w:rFonts w:hint="eastAsia" w:hAnsi="宋体" w:cs="宋体"/>
        </w:rPr>
        <w:t>5、甲方组织的验收项目，其验收时间以桂林市质量技术监督局验收合格报告结论的时间为准，验收结果以该项目验收报告结论为准。在验收过程中发现乙方有违约问题，可暂缓资金结算，待违约问题解决后，方可办理资金结算事宜。</w:t>
      </w:r>
    </w:p>
    <w:p w14:paraId="72445303">
      <w:pPr>
        <w:pStyle w:val="9"/>
        <w:tabs>
          <w:tab w:val="left" w:pos="360"/>
        </w:tabs>
        <w:spacing w:line="460" w:lineRule="exact"/>
        <w:ind w:firstLine="420" w:firstLineChars="200"/>
        <w:rPr>
          <w:rFonts w:hint="eastAsia" w:hAnsi="宋体" w:cs="宋体"/>
        </w:rPr>
      </w:pPr>
      <w:r>
        <w:rPr>
          <w:rFonts w:hint="eastAsia" w:hAnsi="宋体" w:cs="宋体"/>
        </w:rPr>
        <w:t>6、甲方对验收有异议的，在验收后5个工作日内以书面形式向乙方提出，乙方应自收到甲方书面异议后5个工作日内及时予以回复意见。</w:t>
      </w:r>
    </w:p>
    <w:p w14:paraId="6BFB450E">
      <w:pPr>
        <w:pStyle w:val="5"/>
        <w:spacing w:before="331" w:beforeLines="100" w:line="460" w:lineRule="exact"/>
        <w:ind w:left="1027" w:hanging="488"/>
        <w:rPr>
          <w:b w:val="0"/>
        </w:rPr>
      </w:pPr>
      <w:bookmarkStart w:id="14" w:name="_Toc498673625"/>
      <w:bookmarkStart w:id="15" w:name="_Toc497061629"/>
      <w:r>
        <w:rPr>
          <w:rFonts w:hint="eastAsia"/>
          <w:b w:val="0"/>
        </w:rPr>
        <w:t>第六条　安装和培训</w:t>
      </w:r>
      <w:bookmarkEnd w:id="14"/>
      <w:bookmarkEnd w:id="15"/>
    </w:p>
    <w:p w14:paraId="0D60B8AA">
      <w:pPr>
        <w:pStyle w:val="9"/>
        <w:tabs>
          <w:tab w:val="left" w:pos="0"/>
        </w:tabs>
        <w:spacing w:line="460" w:lineRule="exact"/>
        <w:ind w:firstLine="420" w:firstLineChars="200"/>
        <w:rPr>
          <w:rFonts w:hint="eastAsia" w:hAnsi="宋体" w:cs="宋体"/>
        </w:rPr>
      </w:pPr>
      <w:r>
        <w:rPr>
          <w:rFonts w:hint="eastAsia" w:hAnsi="宋体" w:cs="宋体"/>
        </w:rPr>
        <w:t>1、乙方应及时与本项目施工总承包方进行沟通协调电梯的安装条件（如场地、电源、水源等），因土建施工未能具备安装条件或土建施工单位原因造成的工期延期的应以书面联系函告知甲方，工期可顺延，未以书面联系函告知的视为逾期交货，按逾期交货进行处罚。</w:t>
      </w:r>
    </w:p>
    <w:p w14:paraId="20B65304">
      <w:pPr>
        <w:pStyle w:val="9"/>
        <w:tabs>
          <w:tab w:val="left" w:pos="360"/>
        </w:tabs>
        <w:spacing w:line="460" w:lineRule="exact"/>
        <w:ind w:left="405" w:leftChars="193"/>
        <w:rPr>
          <w:rFonts w:hint="eastAsia" w:hAnsi="宋体" w:cs="宋体"/>
        </w:rPr>
      </w:pPr>
      <w:r>
        <w:rPr>
          <w:rFonts w:hint="eastAsia" w:hAnsi="宋体" w:cs="宋体"/>
        </w:rPr>
        <w:t>2、乙方负责甲方有关人员的培训。培训时间、地点：</w:t>
      </w:r>
      <w:r>
        <w:rPr>
          <w:rFonts w:hint="eastAsia" w:hAnsi="宋体" w:cs="宋体"/>
          <w:u w:val="single"/>
        </w:rPr>
        <w:t xml:space="preserve">   甲方安排确定   </w:t>
      </w:r>
      <w:r>
        <w:rPr>
          <w:rFonts w:hint="eastAsia" w:hAnsi="宋体" w:cs="宋体"/>
        </w:rPr>
        <w:t>。</w:t>
      </w:r>
    </w:p>
    <w:p w14:paraId="074E8563">
      <w:pPr>
        <w:pStyle w:val="5"/>
        <w:spacing w:before="331" w:beforeLines="100" w:line="460" w:lineRule="exact"/>
        <w:ind w:left="1027" w:hanging="488"/>
        <w:rPr>
          <w:b w:val="0"/>
        </w:rPr>
      </w:pPr>
      <w:bookmarkStart w:id="16" w:name="_Toc497061630"/>
      <w:bookmarkStart w:id="17" w:name="_Toc498673626"/>
      <w:r>
        <w:rPr>
          <w:rFonts w:hint="eastAsia"/>
          <w:b w:val="0"/>
        </w:rPr>
        <w:t>第七条  售后服务、保修期</w:t>
      </w:r>
      <w:bookmarkEnd w:id="16"/>
      <w:bookmarkEnd w:id="17"/>
    </w:p>
    <w:p w14:paraId="1274AB16">
      <w:pPr>
        <w:pStyle w:val="9"/>
        <w:tabs>
          <w:tab w:val="left" w:pos="0"/>
        </w:tabs>
        <w:spacing w:line="460" w:lineRule="exact"/>
        <w:ind w:firstLine="405" w:firstLineChars="193"/>
        <w:rPr>
          <w:rFonts w:hint="eastAsia" w:hAnsi="宋体" w:cs="宋体"/>
        </w:rPr>
      </w:pPr>
      <w:r>
        <w:rPr>
          <w:rFonts w:hint="eastAsia" w:hAnsi="宋体" w:cs="宋体"/>
        </w:rPr>
        <w:t>1、乙方应按照国家有关法律法规和“三包”规定以及采购需求文件和本合同所附的《服务承诺》，为甲方提供售后服务。</w:t>
      </w:r>
    </w:p>
    <w:p w14:paraId="046F864A">
      <w:pPr>
        <w:pStyle w:val="9"/>
        <w:tabs>
          <w:tab w:val="left" w:pos="0"/>
        </w:tabs>
        <w:spacing w:line="460" w:lineRule="exact"/>
        <w:ind w:firstLine="405" w:firstLineChars="193"/>
        <w:rPr>
          <w:rFonts w:hint="eastAsia" w:hAnsi="宋体" w:cs="宋体"/>
        </w:rPr>
      </w:pPr>
      <w:r>
        <w:rPr>
          <w:rFonts w:hint="eastAsia" w:hAnsi="宋体" w:cs="宋体"/>
        </w:rPr>
        <w:t>2、保修期：24个月。</w:t>
      </w:r>
    </w:p>
    <w:p w14:paraId="4C1FB6AA">
      <w:pPr>
        <w:pStyle w:val="9"/>
        <w:tabs>
          <w:tab w:val="left" w:pos="0"/>
        </w:tabs>
        <w:spacing w:line="460" w:lineRule="exact"/>
        <w:ind w:firstLine="405" w:firstLineChars="193"/>
        <w:rPr>
          <w:rFonts w:hint="eastAsia" w:hAnsi="宋体" w:cs="宋体"/>
        </w:rPr>
      </w:pPr>
      <w:r>
        <w:rPr>
          <w:rFonts w:hint="eastAsia" w:hAnsi="宋体" w:cs="宋体"/>
        </w:rPr>
        <w:t>3、乙方提供的服务承诺和售后服务及保修期责任等其它具体约定事项。（见合同附件1）</w:t>
      </w:r>
    </w:p>
    <w:p w14:paraId="1437203D">
      <w:pPr>
        <w:pStyle w:val="5"/>
        <w:spacing w:before="331" w:beforeLines="100" w:line="460" w:lineRule="exact"/>
        <w:ind w:left="1027" w:hanging="488"/>
        <w:rPr>
          <w:b w:val="0"/>
        </w:rPr>
      </w:pPr>
      <w:bookmarkStart w:id="18" w:name="_Toc498673627"/>
      <w:bookmarkStart w:id="19" w:name="_Toc497061631"/>
      <w:r>
        <w:rPr>
          <w:rFonts w:hint="eastAsia"/>
          <w:b w:val="0"/>
        </w:rPr>
        <w:t>第八条　付款方式</w:t>
      </w:r>
      <w:bookmarkEnd w:id="18"/>
      <w:bookmarkEnd w:id="19"/>
    </w:p>
    <w:p w14:paraId="40DC238E">
      <w:pPr>
        <w:pStyle w:val="9"/>
        <w:tabs>
          <w:tab w:val="left" w:pos="0"/>
        </w:tabs>
        <w:spacing w:line="460" w:lineRule="exact"/>
        <w:ind w:firstLine="405" w:firstLineChars="193"/>
        <w:rPr>
          <w:rFonts w:hint="eastAsia" w:hAnsi="宋体" w:cs="宋体"/>
          <w:b/>
          <w:szCs w:val="24"/>
        </w:rPr>
      </w:pPr>
      <w:bookmarkStart w:id="20" w:name="_Toc497061632"/>
      <w:bookmarkStart w:id="21" w:name="_Toc498673628"/>
      <w:r>
        <w:rPr>
          <w:rFonts w:hint="eastAsia" w:hAnsi="宋体" w:cs="宋体"/>
          <w:b/>
          <w:szCs w:val="24"/>
        </w:rPr>
        <w:t>（1）合同生效后，乙方提交请款申请，并提供发票后，14个工作日内，甲方向乙方支付合同价款30％的预付款</w:t>
      </w:r>
      <w:r>
        <w:rPr>
          <w:rFonts w:hint="eastAsia" w:hAnsi="宋体" w:cs="宋体"/>
          <w:b/>
          <w:szCs w:val="21"/>
        </w:rPr>
        <w:t>；</w:t>
      </w:r>
    </w:p>
    <w:p w14:paraId="03CF0F5C">
      <w:pPr>
        <w:pStyle w:val="9"/>
        <w:tabs>
          <w:tab w:val="left" w:pos="0"/>
        </w:tabs>
        <w:spacing w:line="460" w:lineRule="exact"/>
        <w:ind w:firstLine="405" w:firstLineChars="193"/>
        <w:rPr>
          <w:rFonts w:hint="eastAsia" w:hAnsi="宋体" w:cs="宋体"/>
          <w:b/>
          <w:szCs w:val="24"/>
        </w:rPr>
      </w:pPr>
      <w:r>
        <w:rPr>
          <w:rFonts w:hint="eastAsia" w:hAnsi="宋体" w:cs="宋体"/>
          <w:b/>
          <w:szCs w:val="24"/>
        </w:rPr>
        <w:t>（2）电梯设备安装完毕并验收合格取得</w:t>
      </w:r>
      <w:r>
        <w:rPr>
          <w:rFonts w:hint="eastAsia" w:hAnsi="宋体" w:cs="宋体"/>
          <w:b/>
          <w:szCs w:val="24"/>
          <w:u w:val="single"/>
        </w:rPr>
        <w:t>特种设备使用登记证</w:t>
      </w:r>
      <w:r>
        <w:rPr>
          <w:rFonts w:hint="eastAsia" w:hAnsi="宋体" w:cs="宋体"/>
          <w:b/>
          <w:szCs w:val="24"/>
        </w:rPr>
        <w:t>后，乙方提交请款申请，并提供发票后，14个工作日内，甲方向乙方支付至合同价款85％</w:t>
      </w:r>
      <w:r>
        <w:rPr>
          <w:rFonts w:hint="eastAsia" w:hAnsi="宋体" w:cs="宋体"/>
          <w:b/>
          <w:szCs w:val="21"/>
        </w:rPr>
        <w:t>；</w:t>
      </w:r>
    </w:p>
    <w:p w14:paraId="0DBAD5FD">
      <w:pPr>
        <w:tabs>
          <w:tab w:val="left" w:pos="0"/>
          <w:tab w:val="left" w:pos="3544"/>
        </w:tabs>
        <w:spacing w:line="460" w:lineRule="exact"/>
        <w:ind w:firstLine="405" w:firstLineChars="193"/>
        <w:rPr>
          <w:b/>
        </w:rPr>
      </w:pPr>
      <w:r>
        <w:rPr>
          <w:rFonts w:hint="eastAsia"/>
          <w:b/>
        </w:rPr>
        <w:t>（3）按</w:t>
      </w:r>
      <w:r>
        <w:rPr>
          <w:b/>
        </w:rPr>
        <w:t>桂林市</w:t>
      </w:r>
      <w:r>
        <w:rPr>
          <w:rFonts w:hint="eastAsia"/>
          <w:b/>
        </w:rPr>
        <w:t>城建档案管理部门要求整理提交全套工程设备资料，通过档案管理部门的验收</w:t>
      </w:r>
      <w:r>
        <w:rPr>
          <w:b/>
        </w:rPr>
        <w:t>且整改意见为符合要求</w:t>
      </w:r>
      <w:r>
        <w:rPr>
          <w:rFonts w:hint="eastAsia"/>
          <w:b/>
        </w:rPr>
        <w:t>，并向发包人提交约定的全部档案资料（一式三份原件）及全过程电子档案一份后（含隐蔽工程施工过程及验收时的图片、视频等），涉及消防电梯部分的消防验收合格，乙方向甲方缴纳结算总价的3%作为质保金后，款项支付至结算总价的100%（含已支付的），产品正常运行，无质量问题满2年后，收到乙方提交退还质保金申请书之日起15个工作日内质保金扣除相关售后罚款后退回乙方（均不计利息）。</w:t>
      </w:r>
    </w:p>
    <w:p w14:paraId="08417164">
      <w:pPr>
        <w:pStyle w:val="5"/>
        <w:spacing w:before="331" w:beforeLines="100" w:line="460" w:lineRule="exact"/>
        <w:ind w:left="1027" w:hanging="488"/>
        <w:rPr>
          <w:b w:val="0"/>
        </w:rPr>
      </w:pPr>
      <w:r>
        <w:rPr>
          <w:rFonts w:hint="eastAsia"/>
          <w:b w:val="0"/>
        </w:rPr>
        <w:t>第九条　履约保证金</w:t>
      </w:r>
      <w:bookmarkEnd w:id="20"/>
      <w:bookmarkEnd w:id="21"/>
    </w:p>
    <w:p w14:paraId="6DE6573D">
      <w:pPr>
        <w:pStyle w:val="9"/>
        <w:tabs>
          <w:tab w:val="left" w:pos="0"/>
        </w:tabs>
        <w:spacing w:line="460" w:lineRule="exact"/>
        <w:ind w:firstLine="405" w:firstLineChars="193"/>
        <w:rPr>
          <w:rFonts w:hint="eastAsia" w:hAnsi="宋体" w:cs="宋体"/>
        </w:rPr>
      </w:pPr>
      <w:r>
        <w:rPr>
          <w:rFonts w:hint="eastAsia" w:hAnsi="宋体" w:cs="宋体"/>
        </w:rPr>
        <w:t>在签订合同前，乙方支付合同价款总额5%的履约保证金（或5％银行履约保函）（有效期至全部设备通过国家相关市场监督管理部门及住建部门验收合格之日止）；银行保函必须是各银行地级市以上（含本级）分支机构出具的。产品安装完毕，满足验收条件，提交竣工验收申请表、验收合格证办理履约保证金退款手续，由采购人在十五个工作日内将履约保证金（无息）退还给乙方。如乙方（成交供应商）不按双方签订的合同规定履约，则没收其全部履约保证金，履约保证金不足以赔偿损失的，按实际损失赔偿。</w:t>
      </w:r>
    </w:p>
    <w:p w14:paraId="73A91081">
      <w:pPr>
        <w:pStyle w:val="5"/>
        <w:spacing w:before="331" w:beforeLines="100" w:line="460" w:lineRule="exact"/>
        <w:ind w:left="1027" w:hanging="488"/>
        <w:rPr>
          <w:b w:val="0"/>
        </w:rPr>
      </w:pPr>
      <w:bookmarkStart w:id="22" w:name="_Toc497061633"/>
      <w:bookmarkStart w:id="23" w:name="_Toc498673629"/>
      <w:r>
        <w:rPr>
          <w:rFonts w:hint="eastAsia"/>
          <w:b w:val="0"/>
        </w:rPr>
        <w:t>第十条  税费本合同执行中相关的一切税费均由乙方负担。</w:t>
      </w:r>
      <w:bookmarkEnd w:id="22"/>
      <w:bookmarkEnd w:id="23"/>
    </w:p>
    <w:p w14:paraId="7B222B76">
      <w:pPr>
        <w:pStyle w:val="5"/>
        <w:spacing w:before="331" w:beforeLines="100" w:line="460" w:lineRule="exact"/>
        <w:ind w:left="1027" w:hanging="488"/>
        <w:rPr>
          <w:b w:val="0"/>
        </w:rPr>
      </w:pPr>
      <w:bookmarkStart w:id="24" w:name="_Toc498673630"/>
      <w:bookmarkStart w:id="25" w:name="_Toc497061634"/>
      <w:r>
        <w:rPr>
          <w:rFonts w:hint="eastAsia"/>
          <w:b w:val="0"/>
        </w:rPr>
        <w:t>第十一条  售后服务</w:t>
      </w:r>
      <w:bookmarkEnd w:id="24"/>
      <w:bookmarkEnd w:id="25"/>
    </w:p>
    <w:p w14:paraId="062335DD">
      <w:pPr>
        <w:tabs>
          <w:tab w:val="left" w:pos="0"/>
        </w:tabs>
        <w:spacing w:line="460" w:lineRule="exact"/>
        <w:ind w:firstLine="405" w:firstLineChars="193"/>
        <w:rPr>
          <w:color w:val="000000"/>
          <w:szCs w:val="21"/>
        </w:rPr>
      </w:pPr>
      <w:bookmarkStart w:id="26" w:name="_Toc497061635"/>
      <w:bookmarkStart w:id="27" w:name="_Toc498673631"/>
      <w:r>
        <w:rPr>
          <w:rFonts w:hint="eastAsia"/>
          <w:color w:val="000000"/>
          <w:szCs w:val="21"/>
        </w:rPr>
        <w:t>1、如在使用过程中发生故障，乙方在接到甲方通知后一般故障30分钟以内响应，1小时以内到位，否则每超过1小时罚款100元；如电梯发生大故障，乙方维修时间不能超过24小时，否则每超过一天罚款500元，如超过三天未能完成服务，则每增加一天罚款1000元。应急服务30分钟到现场；困人事故到现场后10分钟内解决。</w:t>
      </w:r>
    </w:p>
    <w:p w14:paraId="018D640D">
      <w:pPr>
        <w:tabs>
          <w:tab w:val="left" w:pos="0"/>
        </w:tabs>
        <w:spacing w:line="460" w:lineRule="exact"/>
        <w:ind w:firstLine="405" w:firstLineChars="193"/>
        <w:rPr>
          <w:color w:val="000000"/>
          <w:szCs w:val="21"/>
        </w:rPr>
      </w:pPr>
      <w:r>
        <w:rPr>
          <w:rFonts w:hint="eastAsia"/>
          <w:color w:val="000000"/>
          <w:szCs w:val="21"/>
        </w:rPr>
        <w:t>2、全面负责电梯的机械安装、电气安装、调试、和验收工作，免费办理报装、报验手续。</w:t>
      </w:r>
    </w:p>
    <w:p w14:paraId="1CCB3BCA">
      <w:pPr>
        <w:tabs>
          <w:tab w:val="left" w:pos="0"/>
        </w:tabs>
        <w:spacing w:line="460" w:lineRule="exact"/>
        <w:ind w:firstLine="405" w:firstLineChars="193"/>
        <w:rPr>
          <w:color w:val="000000"/>
          <w:szCs w:val="21"/>
        </w:rPr>
      </w:pPr>
      <w:r>
        <w:rPr>
          <w:rFonts w:hint="eastAsia"/>
          <w:color w:val="000000"/>
          <w:szCs w:val="21"/>
        </w:rPr>
        <w:t>3、设备投入使用之日起，提供“产品三包”期不少于24个月；并从电梯安装完毕经检测合格投入使用之日起，提供免费保修、维护保养服务24个月，负责支付免保期相应的年检费。</w:t>
      </w:r>
    </w:p>
    <w:p w14:paraId="434BF668">
      <w:pPr>
        <w:tabs>
          <w:tab w:val="left" w:pos="0"/>
        </w:tabs>
        <w:spacing w:line="460" w:lineRule="exact"/>
        <w:ind w:firstLine="405" w:firstLineChars="193"/>
        <w:rPr>
          <w:color w:val="000000"/>
          <w:szCs w:val="21"/>
        </w:rPr>
      </w:pPr>
      <w:r>
        <w:rPr>
          <w:rFonts w:hint="eastAsia"/>
          <w:color w:val="000000"/>
          <w:szCs w:val="21"/>
        </w:rPr>
        <w:t>4、在质保期内，在用户指定的任何时间上门为用户提供定期维保服务（检测、清洁、加油、调整、校正），以用户设备管理人员签署“满意”为准。</w:t>
      </w:r>
      <w:r>
        <w:rPr>
          <w:rFonts w:hint="eastAsia"/>
          <w:b/>
          <w:bCs/>
          <w:color w:val="000000"/>
          <w:szCs w:val="21"/>
        </w:rPr>
        <w:t>在质保期内，免费更换所有的零部件</w:t>
      </w:r>
      <w:r>
        <w:rPr>
          <w:rFonts w:hint="eastAsia"/>
          <w:color w:val="000000"/>
          <w:szCs w:val="21"/>
        </w:rPr>
        <w:t>。</w:t>
      </w:r>
    </w:p>
    <w:p w14:paraId="65A211A0">
      <w:pPr>
        <w:tabs>
          <w:tab w:val="left" w:pos="0"/>
        </w:tabs>
        <w:spacing w:line="460" w:lineRule="exact"/>
        <w:ind w:firstLine="405" w:firstLineChars="193"/>
        <w:rPr>
          <w:color w:val="000000"/>
          <w:szCs w:val="21"/>
        </w:rPr>
      </w:pPr>
      <w:r>
        <w:rPr>
          <w:rFonts w:hint="eastAsia"/>
          <w:color w:val="000000"/>
          <w:szCs w:val="21"/>
        </w:rPr>
        <w:t>5、质保期满后：按优惠价格提供终身有偿维修、保养服务，用户提供年维保费用。</w:t>
      </w:r>
    </w:p>
    <w:p w14:paraId="66ADC3B9">
      <w:pPr>
        <w:tabs>
          <w:tab w:val="left" w:pos="0"/>
        </w:tabs>
        <w:spacing w:line="460" w:lineRule="exact"/>
        <w:ind w:firstLine="405" w:firstLineChars="193"/>
        <w:rPr>
          <w:color w:val="000000"/>
          <w:szCs w:val="21"/>
        </w:rPr>
      </w:pPr>
      <w:r>
        <w:rPr>
          <w:rFonts w:hint="eastAsia"/>
          <w:color w:val="000000"/>
          <w:szCs w:val="21"/>
        </w:rPr>
        <w:t>6、负责为采购人免费培训电梯司机及电梯维修人员2名。</w:t>
      </w:r>
    </w:p>
    <w:p w14:paraId="7CDCFA10">
      <w:pPr>
        <w:tabs>
          <w:tab w:val="left" w:pos="0"/>
        </w:tabs>
        <w:spacing w:line="460" w:lineRule="exact"/>
        <w:ind w:firstLine="405" w:firstLineChars="193"/>
        <w:rPr>
          <w:color w:val="000000"/>
          <w:szCs w:val="21"/>
        </w:rPr>
      </w:pPr>
      <w:r>
        <w:rPr>
          <w:rFonts w:hint="eastAsia"/>
          <w:color w:val="000000"/>
          <w:szCs w:val="21"/>
        </w:rPr>
        <w:t>7、自设备交付使用之日起24小时值班守侯，即招即修，保证在接到故障报修电话后60分钟到位，一般故障不超过6小时，重大故障不超过24小时修复。</w:t>
      </w:r>
    </w:p>
    <w:p w14:paraId="5192929E">
      <w:pPr>
        <w:tabs>
          <w:tab w:val="left" w:pos="0"/>
        </w:tabs>
        <w:spacing w:line="460" w:lineRule="exact"/>
        <w:ind w:firstLine="405" w:firstLineChars="193"/>
        <w:rPr>
          <w:color w:val="000000"/>
          <w:szCs w:val="21"/>
        </w:rPr>
      </w:pPr>
      <w:r>
        <w:rPr>
          <w:rFonts w:hint="eastAsia"/>
          <w:color w:val="000000"/>
          <w:szCs w:val="21"/>
        </w:rPr>
        <w:t>8、乙方可根据自己的实际情况对质量保证及售后服务方案做出更优的详细承诺。</w:t>
      </w:r>
    </w:p>
    <w:p w14:paraId="5CE4D583">
      <w:pPr>
        <w:tabs>
          <w:tab w:val="left" w:pos="0"/>
        </w:tabs>
        <w:spacing w:line="460" w:lineRule="exact"/>
        <w:ind w:firstLine="405" w:firstLineChars="193"/>
        <w:rPr>
          <w:szCs w:val="21"/>
        </w:rPr>
      </w:pPr>
      <w:r>
        <w:rPr>
          <w:rFonts w:hint="eastAsia"/>
          <w:color w:val="000000"/>
          <w:szCs w:val="21"/>
        </w:rPr>
        <w:t>9、乙方</w:t>
      </w:r>
      <w:r>
        <w:rPr>
          <w:rFonts w:hint="eastAsia"/>
          <w:szCs w:val="21"/>
        </w:rPr>
        <w:t>必须按采购需求规定地点及合同约定的时间内（电梯核心部件曳引机及控制柜为防止为贴牌产品，要求电梯制造商为自主生产的原品牌产品提供厂家出厂证明材料）依据国家相关标准进行安装、调试、试运行（30日）直至通过最终验收。</w:t>
      </w:r>
    </w:p>
    <w:p w14:paraId="758C0B0D">
      <w:pPr>
        <w:widowControl/>
        <w:tabs>
          <w:tab w:val="left" w:pos="0"/>
        </w:tabs>
        <w:spacing w:line="460" w:lineRule="exact"/>
        <w:ind w:firstLine="405" w:firstLineChars="193"/>
        <w:rPr>
          <w:szCs w:val="21"/>
        </w:rPr>
      </w:pPr>
      <w:r>
        <w:rPr>
          <w:rFonts w:hint="eastAsia"/>
          <w:szCs w:val="21"/>
        </w:rPr>
        <w:t>10、质保期：自验收合格，</w:t>
      </w:r>
      <w:r>
        <w:rPr>
          <w:rFonts w:hint="eastAsia" w:hAnsi="宋体" w:cs="宋体"/>
          <w:b/>
        </w:rPr>
        <w:t>取得</w:t>
      </w:r>
      <w:r>
        <w:rPr>
          <w:rFonts w:hint="eastAsia" w:hAnsi="宋体" w:cs="宋体"/>
          <w:b/>
          <w:u w:val="single"/>
        </w:rPr>
        <w:t>特种设备使用登记证后，</w:t>
      </w:r>
      <w:r>
        <w:rPr>
          <w:rFonts w:hint="eastAsia"/>
          <w:szCs w:val="21"/>
        </w:rPr>
        <w:t>交付使用之日起两年。质保期内免费维修、更换配件。</w:t>
      </w:r>
    </w:p>
    <w:p w14:paraId="193220BF">
      <w:pPr>
        <w:widowControl/>
        <w:tabs>
          <w:tab w:val="left" w:pos="0"/>
        </w:tabs>
        <w:spacing w:line="460" w:lineRule="exact"/>
        <w:ind w:firstLine="405" w:firstLineChars="193"/>
        <w:rPr>
          <w:szCs w:val="21"/>
        </w:rPr>
      </w:pPr>
      <w:r>
        <w:rPr>
          <w:rFonts w:hint="eastAsia"/>
          <w:szCs w:val="21"/>
        </w:rPr>
        <w:t>11、质保期内每月上门两次维护保养（检查、清洁、除尘、调整）。</w:t>
      </w:r>
    </w:p>
    <w:p w14:paraId="3A04B68A">
      <w:pPr>
        <w:pStyle w:val="5"/>
        <w:spacing w:before="331" w:beforeLines="100" w:line="460" w:lineRule="exact"/>
        <w:ind w:left="1027" w:hanging="488"/>
        <w:rPr>
          <w:b w:val="0"/>
        </w:rPr>
      </w:pPr>
      <w:r>
        <w:rPr>
          <w:rFonts w:hint="eastAsia"/>
          <w:b w:val="0"/>
        </w:rPr>
        <w:t>第十二条  货物包装、发运、运输及安装调试</w:t>
      </w:r>
      <w:bookmarkEnd w:id="26"/>
      <w:bookmarkEnd w:id="27"/>
    </w:p>
    <w:p w14:paraId="69533670">
      <w:pPr>
        <w:pStyle w:val="9"/>
        <w:tabs>
          <w:tab w:val="left" w:pos="0"/>
        </w:tabs>
        <w:spacing w:line="460" w:lineRule="exact"/>
        <w:ind w:firstLine="405" w:firstLineChars="193"/>
        <w:rPr>
          <w:rFonts w:hint="eastAsia" w:hAnsi="宋体" w:cs="宋体"/>
        </w:rPr>
      </w:pPr>
      <w:r>
        <w:rPr>
          <w:rFonts w:hint="eastAsia" w:hAnsi="宋体" w:cs="宋体"/>
        </w:rPr>
        <w:t>1、</w:t>
      </w:r>
      <w:r>
        <w:rPr>
          <w:rStyle w:val="16"/>
          <w:rFonts w:hint="eastAsia" w:hAnsi="宋体"/>
          <w:color w:val="000000"/>
          <w:szCs w:val="21"/>
        </w:rPr>
        <w:t>乙方在中标后，及时查看现场；根据现场情况，及时提供电梯设计图纸；并与甲方工地代表及主体结构施工方保持密切沟通，提前备货；根据工程进度要求，按期安装。</w:t>
      </w:r>
      <w:r>
        <w:rPr>
          <w:rFonts w:hint="eastAsia" w:hAnsi="宋体" w:cs="宋体"/>
        </w:rPr>
        <w:t>乙方应在货物发运前对其进行满足运输距离、防潮、防震、防锈和破损装卸等要求包装，以保证货物安全运达甲方指定地点。</w:t>
      </w:r>
    </w:p>
    <w:p w14:paraId="4E9EE90B">
      <w:pPr>
        <w:pStyle w:val="9"/>
        <w:tabs>
          <w:tab w:val="left" w:pos="0"/>
        </w:tabs>
        <w:spacing w:line="460" w:lineRule="exact"/>
        <w:ind w:firstLine="405" w:firstLineChars="193"/>
        <w:rPr>
          <w:rFonts w:hint="eastAsia" w:hAnsi="宋体" w:cs="宋体"/>
        </w:rPr>
      </w:pPr>
      <w:r>
        <w:rPr>
          <w:rFonts w:hint="eastAsia" w:hAnsi="宋体" w:cs="宋体"/>
        </w:rPr>
        <w:t>2、使用说明书、质量检验证明书、随配附件和工具以及清单一并附于货物内。</w:t>
      </w:r>
    </w:p>
    <w:p w14:paraId="6A44824B">
      <w:pPr>
        <w:pStyle w:val="9"/>
        <w:tabs>
          <w:tab w:val="left" w:pos="0"/>
        </w:tabs>
        <w:spacing w:line="460" w:lineRule="exact"/>
        <w:ind w:firstLine="405" w:firstLineChars="193"/>
        <w:rPr>
          <w:rFonts w:hint="eastAsia" w:hAnsi="宋体" w:cs="宋体"/>
        </w:rPr>
      </w:pPr>
      <w:r>
        <w:rPr>
          <w:rFonts w:hint="eastAsia" w:hAnsi="宋体" w:cs="宋体"/>
        </w:rPr>
        <w:t>3、乙方在货物发运手续办理完毕后24小时内或货到甲方48小时前通知甲方，以准备验货。</w:t>
      </w:r>
    </w:p>
    <w:p w14:paraId="6CF5E017">
      <w:pPr>
        <w:pStyle w:val="9"/>
        <w:tabs>
          <w:tab w:val="left" w:pos="0"/>
        </w:tabs>
        <w:spacing w:line="460" w:lineRule="exact"/>
        <w:ind w:firstLine="405" w:firstLineChars="193"/>
        <w:rPr>
          <w:rFonts w:hint="eastAsia" w:hAnsi="宋体" w:cs="宋体"/>
        </w:rPr>
      </w:pPr>
      <w:r>
        <w:rPr>
          <w:rFonts w:hint="eastAsia" w:hAnsi="宋体" w:cs="宋体"/>
        </w:rPr>
        <w:t>4、货物在包装、发运、运输及安装调试中发生的风险及费用均由乙方负责。</w:t>
      </w:r>
    </w:p>
    <w:p w14:paraId="21C9EC02">
      <w:pPr>
        <w:pStyle w:val="9"/>
        <w:tabs>
          <w:tab w:val="left" w:pos="0"/>
        </w:tabs>
        <w:spacing w:line="460" w:lineRule="exact"/>
        <w:ind w:firstLine="405" w:firstLineChars="193"/>
        <w:rPr>
          <w:rFonts w:hint="eastAsia" w:hAnsi="宋体" w:cs="宋体"/>
        </w:rPr>
      </w:pPr>
      <w:r>
        <w:rPr>
          <w:rFonts w:hint="eastAsia" w:hAnsi="宋体" w:cs="宋体"/>
        </w:rPr>
        <w:t>5、乙方所有提供设备的供货、调试、试车运作时间需服从甲方的安排，如甲方因土建等其他原因，要求将交货期、调试期适当推迟的，乙方应无条件接受，本合同的价格保持不变（</w:t>
      </w:r>
      <w:r>
        <w:rPr>
          <w:rFonts w:hint="eastAsia" w:hAnsi="宋体" w:cs="宋体"/>
          <w:b/>
          <w:bCs/>
        </w:rPr>
        <w:t>因交货期推后所发生的产成品保管费用全部包含在投标报价中</w:t>
      </w:r>
      <w:r>
        <w:rPr>
          <w:rFonts w:hint="eastAsia" w:hAnsi="宋体" w:cs="宋体"/>
        </w:rPr>
        <w:t>）。但是交货期延后不得超过90个日历日。</w:t>
      </w:r>
    </w:p>
    <w:p w14:paraId="3397A0CE">
      <w:pPr>
        <w:pStyle w:val="5"/>
        <w:spacing w:before="331" w:beforeLines="100" w:line="460" w:lineRule="exact"/>
        <w:ind w:left="1027" w:hanging="488"/>
        <w:rPr>
          <w:b w:val="0"/>
        </w:rPr>
      </w:pPr>
      <w:bookmarkStart w:id="28" w:name="_Toc497061636"/>
      <w:bookmarkStart w:id="29" w:name="_Toc498673632"/>
      <w:r>
        <w:rPr>
          <w:rFonts w:hint="eastAsia"/>
          <w:b w:val="0"/>
        </w:rPr>
        <w:t>第十三条　违约责任</w:t>
      </w:r>
      <w:bookmarkEnd w:id="28"/>
      <w:bookmarkEnd w:id="29"/>
    </w:p>
    <w:p w14:paraId="7899E322">
      <w:pPr>
        <w:pStyle w:val="9"/>
        <w:tabs>
          <w:tab w:val="left" w:pos="0"/>
        </w:tabs>
        <w:spacing w:line="460" w:lineRule="exact"/>
        <w:ind w:firstLine="405" w:firstLineChars="193"/>
        <w:rPr>
          <w:rFonts w:hint="eastAsia" w:hAnsi="宋体" w:cs="宋体"/>
        </w:rPr>
      </w:pPr>
      <w:r>
        <w:rPr>
          <w:rFonts w:hint="eastAsia" w:hAnsi="宋体" w:cs="宋体"/>
        </w:rPr>
        <w:t>1、乙方所提供的货物品牌、规格、技术标准、材料种类、主配件来源地等必须满足招标文件中《设备需求和技术要求》,并且与投标文件的承诺及技术规格书相一致，否则视为</w:t>
      </w:r>
      <w:r>
        <w:rPr>
          <w:rFonts w:hint="eastAsia" w:hAnsi="宋体" w:cs="宋体"/>
          <w:b/>
        </w:rPr>
        <w:t>质量不合格</w:t>
      </w:r>
      <w:r>
        <w:rPr>
          <w:rFonts w:hint="eastAsia" w:hAnsi="宋体" w:cs="宋体"/>
        </w:rPr>
        <w:t>且乙方应向甲方支付合同价5%的违约金并赔偿甲方经济损失。质量不合格的应及时更换，更换不及时的按</w:t>
      </w:r>
      <w:r>
        <w:rPr>
          <w:rFonts w:hint="eastAsia" w:hAnsi="宋体" w:cs="宋体"/>
          <w:b/>
        </w:rPr>
        <w:t>逾期交货</w:t>
      </w:r>
      <w:r>
        <w:rPr>
          <w:rFonts w:hint="eastAsia" w:hAnsi="宋体" w:cs="宋体"/>
        </w:rPr>
        <w:t xml:space="preserve">处罚。                                       </w:t>
      </w:r>
    </w:p>
    <w:p w14:paraId="5B355BB9">
      <w:pPr>
        <w:pStyle w:val="9"/>
        <w:tabs>
          <w:tab w:val="left" w:pos="0"/>
        </w:tabs>
        <w:spacing w:line="460" w:lineRule="exact"/>
        <w:ind w:firstLine="405" w:firstLineChars="193"/>
        <w:rPr>
          <w:rFonts w:hint="eastAsia" w:hAnsi="宋体" w:cs="宋体"/>
        </w:rPr>
      </w:pPr>
      <w:r>
        <w:rPr>
          <w:rFonts w:hint="eastAsia" w:hAnsi="宋体" w:cs="宋体"/>
        </w:rPr>
        <w:t>2、乙方提供的货物如侵犯了第三方合法权益而引发的任何纠纷或诉讼，均由乙方负责交涉并承担全部责任。</w:t>
      </w:r>
    </w:p>
    <w:p w14:paraId="5CA7B424">
      <w:pPr>
        <w:pStyle w:val="9"/>
        <w:tabs>
          <w:tab w:val="left" w:pos="0"/>
        </w:tabs>
        <w:spacing w:line="460" w:lineRule="exact"/>
        <w:ind w:firstLine="405" w:firstLineChars="193"/>
        <w:rPr>
          <w:rFonts w:hint="eastAsia" w:hAnsi="宋体" w:cs="宋体"/>
        </w:rPr>
      </w:pPr>
      <w:r>
        <w:rPr>
          <w:rFonts w:hint="eastAsia" w:hAnsi="宋体" w:cs="宋体"/>
        </w:rPr>
        <w:t>3、因包装、运输及安装调试等引起的货物损坏，按</w:t>
      </w:r>
      <w:r>
        <w:rPr>
          <w:rFonts w:hint="eastAsia" w:hAnsi="宋体" w:cs="宋体"/>
          <w:b/>
        </w:rPr>
        <w:t>质量不合格</w:t>
      </w:r>
      <w:r>
        <w:rPr>
          <w:rFonts w:hint="eastAsia" w:hAnsi="宋体" w:cs="宋体"/>
        </w:rPr>
        <w:t>处罚。</w:t>
      </w:r>
    </w:p>
    <w:p w14:paraId="73EEF22F">
      <w:pPr>
        <w:pStyle w:val="9"/>
        <w:tabs>
          <w:tab w:val="left" w:pos="0"/>
        </w:tabs>
        <w:spacing w:line="460" w:lineRule="exact"/>
        <w:ind w:firstLine="405" w:firstLineChars="193"/>
        <w:rPr>
          <w:rFonts w:hint="eastAsia" w:hAnsi="宋体" w:cs="宋体"/>
        </w:rPr>
      </w:pPr>
      <w:r>
        <w:rPr>
          <w:rFonts w:hint="eastAsia" w:hAnsi="宋体" w:cs="宋体"/>
        </w:rPr>
        <w:t>4、</w:t>
      </w:r>
      <w:r>
        <w:rPr>
          <w:rFonts w:hint="eastAsia" w:hAnsi="宋体" w:cs="宋体"/>
          <w:b/>
        </w:rPr>
        <w:t>逾期交货，</w:t>
      </w:r>
      <w:r>
        <w:rPr>
          <w:rFonts w:hint="eastAsia" w:hAnsi="宋体" w:cs="宋体"/>
        </w:rPr>
        <w:t>甲方无故延期接收货物、乙方逾期交货的，每天向对方偿付该批次违约合同价</w:t>
      </w:r>
      <w:r>
        <w:rPr>
          <w:rFonts w:hint="eastAsia" w:hAnsi="宋体" w:cs="宋体"/>
          <w:color w:val="FF0000"/>
        </w:rPr>
        <w:t>5‰</w:t>
      </w:r>
      <w:r>
        <w:rPr>
          <w:rFonts w:hint="eastAsia" w:hAnsi="宋体" w:cs="宋体"/>
        </w:rPr>
        <w:t>违约金；逾期超过30天的，对方有权解除合同，违约方须承担给对方造成的经济损失。</w:t>
      </w:r>
    </w:p>
    <w:p w14:paraId="2289FBC3">
      <w:pPr>
        <w:widowControl/>
        <w:tabs>
          <w:tab w:val="left" w:pos="0"/>
        </w:tabs>
        <w:spacing w:line="460" w:lineRule="exact"/>
        <w:ind w:firstLine="405" w:firstLineChars="193"/>
        <w:rPr>
          <w:szCs w:val="21"/>
        </w:rPr>
      </w:pPr>
      <w:r>
        <w:rPr>
          <w:rFonts w:hint="eastAsia"/>
          <w:szCs w:val="21"/>
        </w:rPr>
        <w:t>5、乙方未能根据本合同规定和甲方的订单要求的数量提供主配件的，视为乙方逾期交货，按</w:t>
      </w:r>
      <w:r>
        <w:rPr>
          <w:rFonts w:hint="eastAsia"/>
          <w:b/>
        </w:rPr>
        <w:t>逾期交货</w:t>
      </w:r>
      <w:r>
        <w:rPr>
          <w:rFonts w:hint="eastAsia"/>
        </w:rPr>
        <w:t>处罚</w:t>
      </w:r>
      <w:r>
        <w:rPr>
          <w:rFonts w:hint="eastAsia"/>
          <w:szCs w:val="21"/>
        </w:rPr>
        <w:t>。</w:t>
      </w:r>
    </w:p>
    <w:p w14:paraId="0113EC70">
      <w:pPr>
        <w:pStyle w:val="9"/>
        <w:tabs>
          <w:tab w:val="left" w:pos="0"/>
        </w:tabs>
        <w:spacing w:line="460" w:lineRule="exact"/>
        <w:ind w:firstLine="405" w:firstLineChars="193"/>
        <w:rPr>
          <w:rFonts w:hint="eastAsia" w:hAnsi="宋体" w:cs="宋体"/>
        </w:rPr>
      </w:pPr>
      <w:r>
        <w:rPr>
          <w:rFonts w:hint="eastAsia" w:hAnsi="宋体" w:cs="宋体"/>
        </w:rPr>
        <w:t>6、乙方未按本合同和投标文件中规定的服务承诺提供售后服务的，乙方应按合同价的5%，向甲方支付违约金。</w:t>
      </w:r>
    </w:p>
    <w:p w14:paraId="25F65930">
      <w:pPr>
        <w:pStyle w:val="9"/>
        <w:tabs>
          <w:tab w:val="left" w:pos="0"/>
        </w:tabs>
        <w:spacing w:line="460" w:lineRule="exact"/>
        <w:ind w:firstLine="405" w:firstLineChars="193"/>
        <w:rPr>
          <w:rFonts w:hint="eastAsia" w:hAnsi="宋体" w:cs="宋体"/>
        </w:rPr>
      </w:pPr>
      <w:r>
        <w:rPr>
          <w:rFonts w:hint="eastAsia" w:hAnsi="宋体" w:cs="宋体"/>
        </w:rPr>
        <w:t>7、乙方提供的货物在质量保证期内，因设计、工艺或材料的缺陷和其它质量原因造成的问题，由乙方负责，费用从质量保证金中扣除，不足另补。</w:t>
      </w:r>
    </w:p>
    <w:p w14:paraId="074114C7">
      <w:pPr>
        <w:pStyle w:val="9"/>
        <w:tabs>
          <w:tab w:val="left" w:pos="0"/>
        </w:tabs>
        <w:spacing w:line="440" w:lineRule="exact"/>
        <w:ind w:firstLine="405" w:firstLineChars="193"/>
        <w:rPr>
          <w:rFonts w:hint="eastAsia" w:hAnsi="宋体" w:cs="宋体"/>
        </w:rPr>
      </w:pPr>
      <w:r>
        <w:rPr>
          <w:rFonts w:hint="eastAsia" w:hAnsi="宋体" w:cs="宋体"/>
        </w:rPr>
        <w:t>8、合同期间，双方无正当理由，任何单方不得随意终止合同。任何一方单方解除合同，均应按照合同价的15%向另一方支付违约金，并赔偿另一方的实际经济损失。</w:t>
      </w:r>
    </w:p>
    <w:p w14:paraId="088A0D8B">
      <w:pPr>
        <w:widowControl/>
        <w:tabs>
          <w:tab w:val="left" w:pos="0"/>
        </w:tabs>
        <w:spacing w:line="460" w:lineRule="exact"/>
        <w:ind w:firstLine="405" w:firstLineChars="193"/>
        <w:rPr>
          <w:szCs w:val="21"/>
        </w:rPr>
      </w:pPr>
      <w:r>
        <w:rPr>
          <w:rFonts w:hint="eastAsia"/>
          <w:szCs w:val="21"/>
        </w:rPr>
        <w:t>9、甲、乙方负责派出本合同规定的代表或委托书委托的代表在交货现场与监理方代表共同做好每次交货和验收的记录。任何一方未能派出合法代表在交货现场或验收现场与对方代表、监理方代表共同进行交货或验收的，视为逾期收货或逾期交货，因此引起的后果由违约方承担。</w:t>
      </w:r>
    </w:p>
    <w:p w14:paraId="4A415101">
      <w:pPr>
        <w:pStyle w:val="2"/>
        <w:spacing w:line="360" w:lineRule="auto"/>
        <w:ind w:firstLine="420" w:firstLineChars="200"/>
        <w:rPr>
          <w:rFonts w:ascii="Calibri" w:hAnsi="Calibri"/>
          <w:szCs w:val="21"/>
        </w:rPr>
      </w:pPr>
      <w:r>
        <w:rPr>
          <w:rFonts w:hint="eastAsia" w:ascii="Calibri" w:hAnsi="Calibri"/>
          <w:szCs w:val="21"/>
        </w:rPr>
        <w:t>10、合同签订后，乙方应及时确认施工图是否满足电梯安装条件。若乙方未及时确认的，造成的损失由乙方全部承担，且乙方应按合同价的5%向甲方支付违约金。</w:t>
      </w:r>
    </w:p>
    <w:p w14:paraId="2B81D200">
      <w:pPr>
        <w:pStyle w:val="2"/>
      </w:pPr>
    </w:p>
    <w:p w14:paraId="18527109">
      <w:pPr>
        <w:pStyle w:val="5"/>
        <w:spacing w:before="331" w:beforeLines="100" w:line="460" w:lineRule="exact"/>
        <w:ind w:left="1027" w:hanging="488"/>
        <w:rPr>
          <w:b w:val="0"/>
        </w:rPr>
      </w:pPr>
      <w:bookmarkStart w:id="30" w:name="_Toc498673633"/>
      <w:bookmarkStart w:id="31" w:name="_Toc497061637"/>
      <w:r>
        <w:rPr>
          <w:rFonts w:hint="eastAsia"/>
          <w:b w:val="0"/>
        </w:rPr>
        <w:t>第十四条  不可抗力事件处理</w:t>
      </w:r>
      <w:bookmarkEnd w:id="30"/>
      <w:bookmarkEnd w:id="31"/>
    </w:p>
    <w:p w14:paraId="7CB449AB">
      <w:pPr>
        <w:pStyle w:val="9"/>
        <w:tabs>
          <w:tab w:val="left" w:pos="0"/>
        </w:tabs>
        <w:spacing w:line="460" w:lineRule="exact"/>
        <w:ind w:firstLine="405" w:firstLineChars="193"/>
        <w:rPr>
          <w:rFonts w:hint="eastAsia" w:hAnsi="宋体" w:cs="宋体"/>
        </w:rPr>
      </w:pPr>
      <w:r>
        <w:rPr>
          <w:rFonts w:hint="eastAsia" w:hAnsi="宋体" w:cs="宋体"/>
        </w:rPr>
        <w:t>1、在合同有效期内，任何一方因不可抗力事件导致不能履行合同，则合同履行期可延长，其延长期与不可抗力影响期相同。</w:t>
      </w:r>
    </w:p>
    <w:p w14:paraId="53226C77">
      <w:pPr>
        <w:pStyle w:val="9"/>
        <w:tabs>
          <w:tab w:val="left" w:pos="0"/>
        </w:tabs>
        <w:spacing w:line="440" w:lineRule="exact"/>
        <w:ind w:firstLine="405" w:firstLineChars="193"/>
        <w:rPr>
          <w:rFonts w:hint="eastAsia" w:hAnsi="宋体" w:cs="宋体"/>
        </w:rPr>
      </w:pPr>
      <w:r>
        <w:rPr>
          <w:rFonts w:hint="eastAsia" w:hAnsi="宋体" w:cs="宋体"/>
        </w:rPr>
        <w:t>2、不可抗力事件发生后，应立即通知对方，并寄送有关权威机构出具的证明。</w:t>
      </w:r>
    </w:p>
    <w:p w14:paraId="18E5DB97">
      <w:pPr>
        <w:pStyle w:val="9"/>
        <w:tabs>
          <w:tab w:val="left" w:pos="0"/>
        </w:tabs>
        <w:spacing w:line="440" w:lineRule="exact"/>
        <w:ind w:firstLine="405" w:firstLineChars="193"/>
        <w:rPr>
          <w:rFonts w:hint="eastAsia" w:hAnsi="宋体" w:cs="宋体"/>
        </w:rPr>
      </w:pPr>
      <w:r>
        <w:rPr>
          <w:rFonts w:hint="eastAsia" w:hAnsi="宋体" w:cs="宋体"/>
        </w:rPr>
        <w:t>3、不可抗力事件延续120天以上，双方应通过友好协商，确定是否继续履行合同。</w:t>
      </w:r>
    </w:p>
    <w:p w14:paraId="2D4C29C0">
      <w:pPr>
        <w:pStyle w:val="5"/>
        <w:spacing w:before="331" w:beforeLines="100" w:line="460" w:lineRule="exact"/>
        <w:ind w:left="1027" w:hanging="488"/>
        <w:rPr>
          <w:b w:val="0"/>
        </w:rPr>
      </w:pPr>
      <w:bookmarkStart w:id="32" w:name="_Toc497061638"/>
      <w:bookmarkStart w:id="33" w:name="_Toc498673634"/>
      <w:r>
        <w:rPr>
          <w:rFonts w:hint="eastAsia"/>
          <w:b w:val="0"/>
        </w:rPr>
        <w:t>第十五条  合同争议解决</w:t>
      </w:r>
      <w:bookmarkEnd w:id="32"/>
      <w:bookmarkEnd w:id="33"/>
    </w:p>
    <w:p w14:paraId="65A91652">
      <w:pPr>
        <w:pStyle w:val="9"/>
        <w:tabs>
          <w:tab w:val="left" w:pos="0"/>
        </w:tabs>
        <w:spacing w:line="440" w:lineRule="exact"/>
        <w:ind w:firstLine="405" w:firstLineChars="193"/>
        <w:rPr>
          <w:rFonts w:hint="eastAsia" w:hAnsi="宋体" w:cs="宋体"/>
        </w:rPr>
      </w:pPr>
      <w:r>
        <w:rPr>
          <w:rFonts w:hint="eastAsia" w:hAnsi="宋体" w:cs="宋体"/>
        </w:rPr>
        <w:t>1、因货物质量问题发生争议的，应邀请国家认可的质量检测机构对货物质量进行鉴定。货物符合标准的，鉴定费由甲方承担；货物不符合标准的，鉴定费由乙方承担。</w:t>
      </w:r>
    </w:p>
    <w:p w14:paraId="11109137">
      <w:pPr>
        <w:pStyle w:val="9"/>
        <w:tabs>
          <w:tab w:val="left" w:pos="0"/>
        </w:tabs>
        <w:spacing w:line="440" w:lineRule="exact"/>
        <w:ind w:firstLine="405" w:firstLineChars="193"/>
        <w:rPr>
          <w:rFonts w:hint="eastAsia" w:hAnsi="宋体" w:cs="宋体"/>
        </w:rPr>
      </w:pPr>
      <w:r>
        <w:rPr>
          <w:rFonts w:hint="eastAsia" w:hAnsi="宋体" w:cs="宋体"/>
        </w:rPr>
        <w:t>2、因履行本合同引起的或与本合同有关的争议，甲乙双方应首先通过友好协商解决，如果协商不能解决，可向项目所在地人民法院提起诉讼。</w:t>
      </w:r>
    </w:p>
    <w:p w14:paraId="6BF43C8D">
      <w:pPr>
        <w:pStyle w:val="9"/>
        <w:tabs>
          <w:tab w:val="left" w:pos="0"/>
        </w:tabs>
        <w:spacing w:line="440" w:lineRule="exact"/>
        <w:ind w:firstLine="405" w:firstLineChars="193"/>
        <w:rPr>
          <w:rFonts w:hint="eastAsia" w:hAnsi="宋体" w:cs="宋体"/>
        </w:rPr>
      </w:pPr>
      <w:r>
        <w:rPr>
          <w:rFonts w:hint="eastAsia" w:hAnsi="宋体" w:cs="宋体"/>
        </w:rPr>
        <w:t>3、诉讼期间，本合同继续履行。</w:t>
      </w:r>
    </w:p>
    <w:p w14:paraId="1734424B">
      <w:pPr>
        <w:pStyle w:val="5"/>
        <w:spacing w:before="331" w:beforeLines="100" w:line="460" w:lineRule="exact"/>
        <w:ind w:left="1027" w:hanging="488"/>
        <w:rPr>
          <w:b w:val="0"/>
        </w:rPr>
      </w:pPr>
      <w:bookmarkStart w:id="34" w:name="_Toc498673635"/>
      <w:bookmarkStart w:id="35" w:name="_Toc497061639"/>
      <w:r>
        <w:rPr>
          <w:rFonts w:hint="eastAsia"/>
          <w:b w:val="0"/>
        </w:rPr>
        <w:t>第十六条  诉讼</w:t>
      </w:r>
      <w:bookmarkEnd w:id="34"/>
      <w:bookmarkEnd w:id="35"/>
    </w:p>
    <w:p w14:paraId="7D49D463">
      <w:pPr>
        <w:pStyle w:val="9"/>
        <w:tabs>
          <w:tab w:val="left" w:pos="0"/>
        </w:tabs>
        <w:spacing w:line="440" w:lineRule="exact"/>
        <w:ind w:firstLine="405" w:firstLineChars="193"/>
        <w:rPr>
          <w:rFonts w:hint="eastAsia" w:hAnsi="宋体" w:cs="宋体"/>
        </w:rPr>
      </w:pPr>
      <w:r>
        <w:rPr>
          <w:rFonts w:hint="eastAsia" w:hAnsi="宋体" w:cs="宋体"/>
        </w:rPr>
        <w:t>双方在执行合同中所发生的一切争议，应通过协商解决。如果协商不能解决，可向本工程所在地人民法院提起诉讼。</w:t>
      </w:r>
    </w:p>
    <w:p w14:paraId="2305735E">
      <w:pPr>
        <w:pStyle w:val="5"/>
        <w:spacing w:before="331" w:beforeLines="100" w:line="460" w:lineRule="exact"/>
        <w:ind w:left="1027" w:hanging="488"/>
        <w:rPr>
          <w:b w:val="0"/>
        </w:rPr>
      </w:pPr>
      <w:bookmarkStart w:id="36" w:name="_Toc498673636"/>
      <w:bookmarkStart w:id="37" w:name="_Toc497061640"/>
      <w:r>
        <w:rPr>
          <w:rFonts w:hint="eastAsia"/>
          <w:b w:val="0"/>
        </w:rPr>
        <w:t>第十七条  合同生效及其它</w:t>
      </w:r>
      <w:bookmarkEnd w:id="36"/>
      <w:bookmarkEnd w:id="37"/>
    </w:p>
    <w:p w14:paraId="6C960FF3">
      <w:pPr>
        <w:pStyle w:val="9"/>
        <w:tabs>
          <w:tab w:val="left" w:pos="0"/>
        </w:tabs>
        <w:spacing w:line="440" w:lineRule="exact"/>
        <w:ind w:firstLine="405" w:firstLineChars="193"/>
        <w:rPr>
          <w:rFonts w:hint="eastAsia" w:hAnsi="宋体" w:cs="宋体"/>
        </w:rPr>
      </w:pPr>
      <w:r>
        <w:rPr>
          <w:rFonts w:hint="eastAsia" w:hAnsi="宋体" w:cs="宋体"/>
        </w:rPr>
        <w:t>1、合同经双方法定代表人或授权代理人签字并加盖单位公章后生效。</w:t>
      </w:r>
    </w:p>
    <w:p w14:paraId="493FBA46">
      <w:pPr>
        <w:pStyle w:val="9"/>
        <w:tabs>
          <w:tab w:val="left" w:pos="0"/>
        </w:tabs>
        <w:spacing w:line="440" w:lineRule="exact"/>
        <w:ind w:firstLine="405" w:firstLineChars="193"/>
        <w:rPr>
          <w:rFonts w:hint="eastAsia" w:hAnsi="宋体" w:cs="宋体"/>
        </w:rPr>
      </w:pPr>
      <w:r>
        <w:rPr>
          <w:rFonts w:hint="eastAsia" w:hAnsi="宋体" w:cs="宋体"/>
        </w:rPr>
        <w:t>2、本合同未尽事宜，遵照《合同法》有关条文执行。</w:t>
      </w:r>
    </w:p>
    <w:p w14:paraId="7D0406E5">
      <w:pPr>
        <w:pStyle w:val="5"/>
        <w:spacing w:before="331" w:beforeLines="100" w:line="460" w:lineRule="exact"/>
        <w:ind w:left="1027" w:hanging="488"/>
        <w:rPr>
          <w:b w:val="0"/>
        </w:rPr>
      </w:pPr>
      <w:bookmarkStart w:id="38" w:name="_Toc498673637"/>
      <w:bookmarkStart w:id="39" w:name="_Toc497061641"/>
      <w:r>
        <w:rPr>
          <w:rFonts w:hint="eastAsia"/>
          <w:b w:val="0"/>
        </w:rPr>
        <w:t>第十八条　合同的终止</w:t>
      </w:r>
      <w:bookmarkEnd w:id="38"/>
      <w:bookmarkEnd w:id="39"/>
    </w:p>
    <w:p w14:paraId="2DD96264">
      <w:pPr>
        <w:pStyle w:val="9"/>
        <w:tabs>
          <w:tab w:val="left" w:pos="0"/>
        </w:tabs>
        <w:spacing w:line="440" w:lineRule="exact"/>
        <w:ind w:firstLine="405" w:firstLineChars="193"/>
        <w:rPr>
          <w:rFonts w:hint="eastAsia" w:hAnsi="宋体" w:cs="宋体"/>
        </w:rPr>
      </w:pPr>
      <w:r>
        <w:rPr>
          <w:rFonts w:hint="eastAsia" w:hAnsi="宋体" w:cs="宋体"/>
        </w:rPr>
        <w:t>甲方在乙方存在如下违约情况时，有权单方终止全部或部分合同。</w:t>
      </w:r>
    </w:p>
    <w:p w14:paraId="40E5CBD5">
      <w:pPr>
        <w:pStyle w:val="9"/>
        <w:tabs>
          <w:tab w:val="left" w:pos="0"/>
        </w:tabs>
        <w:spacing w:line="440" w:lineRule="exact"/>
        <w:ind w:firstLine="405" w:firstLineChars="193"/>
        <w:rPr>
          <w:rFonts w:hint="eastAsia" w:hAnsi="宋体" w:cs="宋体"/>
        </w:rPr>
      </w:pPr>
      <w:r>
        <w:rPr>
          <w:rFonts w:hint="eastAsia" w:hAnsi="宋体" w:cs="宋体"/>
        </w:rPr>
        <w:t>1、乙方未能在合同规定期限或甲方同意延长的期限内交付设备的。</w:t>
      </w:r>
    </w:p>
    <w:p w14:paraId="09EA12AD">
      <w:pPr>
        <w:pStyle w:val="9"/>
        <w:tabs>
          <w:tab w:val="left" w:pos="0"/>
        </w:tabs>
        <w:spacing w:line="440" w:lineRule="exact"/>
        <w:ind w:firstLine="405" w:firstLineChars="193"/>
        <w:rPr>
          <w:rFonts w:hint="eastAsia" w:hAnsi="宋体" w:cs="宋体"/>
        </w:rPr>
      </w:pPr>
      <w:r>
        <w:rPr>
          <w:rFonts w:hint="eastAsia" w:hAnsi="宋体" w:cs="宋体"/>
        </w:rPr>
        <w:t>2、乙方未能履行合同规定质量、数量、售后服务等其他义务的。</w:t>
      </w:r>
    </w:p>
    <w:p w14:paraId="6C7E36B3">
      <w:pPr>
        <w:pStyle w:val="9"/>
        <w:tabs>
          <w:tab w:val="left" w:pos="0"/>
        </w:tabs>
        <w:spacing w:line="440" w:lineRule="exact"/>
        <w:ind w:firstLine="405" w:firstLineChars="193"/>
        <w:rPr>
          <w:rFonts w:hint="eastAsia" w:hAnsi="宋体" w:cs="宋体"/>
        </w:rPr>
      </w:pPr>
      <w:r>
        <w:rPr>
          <w:rFonts w:hint="eastAsia" w:hAnsi="宋体" w:cs="宋体"/>
        </w:rPr>
        <w:t>3、在发生上述情况后，乙方收到甲方的违约通知后 7 天内未能纠正其过失。</w:t>
      </w:r>
    </w:p>
    <w:p w14:paraId="4F4A5199">
      <w:pPr>
        <w:pStyle w:val="9"/>
        <w:tabs>
          <w:tab w:val="left" w:pos="0"/>
        </w:tabs>
        <w:spacing w:line="440" w:lineRule="exact"/>
        <w:ind w:firstLine="405" w:firstLineChars="193"/>
        <w:rPr>
          <w:rFonts w:hint="eastAsia" w:hAnsi="宋体" w:cs="宋体"/>
        </w:rPr>
      </w:pPr>
      <w:r>
        <w:rPr>
          <w:rFonts w:hint="eastAsia" w:hAnsi="宋体" w:cs="宋体"/>
        </w:rPr>
        <w:t>4、甲方有权要求乙方继续履行合同中未终止部分。</w:t>
      </w:r>
    </w:p>
    <w:p w14:paraId="02BB4160">
      <w:pPr>
        <w:pStyle w:val="9"/>
        <w:tabs>
          <w:tab w:val="left" w:pos="0"/>
        </w:tabs>
        <w:spacing w:line="440" w:lineRule="exact"/>
        <w:ind w:firstLine="405" w:firstLineChars="193"/>
        <w:rPr>
          <w:rFonts w:hint="eastAsia" w:hAnsi="宋体" w:cs="宋体"/>
        </w:rPr>
      </w:pPr>
      <w:r>
        <w:rPr>
          <w:rFonts w:hint="eastAsia" w:hAnsi="宋体" w:cs="宋体"/>
        </w:rPr>
        <w:t>5、在甲方提出终止部分合同的情况下，并不解除乙方按本合同规定对已交货部分设备应负的产品质量等责任。</w:t>
      </w:r>
    </w:p>
    <w:p w14:paraId="038DC2A7">
      <w:pPr>
        <w:pStyle w:val="9"/>
        <w:tabs>
          <w:tab w:val="left" w:pos="0"/>
        </w:tabs>
        <w:spacing w:line="440" w:lineRule="exact"/>
        <w:ind w:firstLine="405" w:firstLineChars="193"/>
        <w:rPr>
          <w:rFonts w:hint="eastAsia" w:hAnsi="宋体" w:cs="宋体"/>
        </w:rPr>
      </w:pPr>
      <w:r>
        <w:rPr>
          <w:rFonts w:hint="eastAsia" w:hAnsi="宋体" w:cs="宋体"/>
        </w:rPr>
        <w:t>6、除本合同另有约定或法律、法规另有规定外，任何一方单方解除合同，均应按照合同价的15%向另一方支付违约金，并赔偿另一方的实际损失。</w:t>
      </w:r>
    </w:p>
    <w:p w14:paraId="4CD9A2CC">
      <w:pPr>
        <w:pStyle w:val="9"/>
        <w:tabs>
          <w:tab w:val="left" w:pos="0"/>
        </w:tabs>
        <w:spacing w:line="440" w:lineRule="exact"/>
        <w:ind w:firstLine="405" w:firstLineChars="193"/>
        <w:rPr>
          <w:rFonts w:hint="eastAsia" w:hAnsi="宋体" w:cs="宋体"/>
        </w:rPr>
      </w:pPr>
      <w:r>
        <w:rPr>
          <w:rFonts w:hint="eastAsia" w:hAnsi="宋体" w:cs="宋体"/>
        </w:rPr>
        <w:t>7、守约方因违约方违约而获得的权利与救济在本合同被变更、解除、撤销、终止或完成后仍应有效。</w:t>
      </w:r>
    </w:p>
    <w:p w14:paraId="06394F63">
      <w:pPr>
        <w:pStyle w:val="5"/>
        <w:spacing w:before="331" w:beforeLines="100" w:line="460" w:lineRule="exact"/>
        <w:ind w:left="1027" w:hanging="488"/>
        <w:rPr>
          <w:b w:val="0"/>
        </w:rPr>
      </w:pPr>
      <w:bookmarkStart w:id="40" w:name="_Toc497061642"/>
      <w:bookmarkStart w:id="41" w:name="_Toc498673638"/>
      <w:r>
        <w:rPr>
          <w:rFonts w:hint="eastAsia"/>
          <w:b w:val="0"/>
        </w:rPr>
        <w:t>第十九条　签订本合同依据</w:t>
      </w:r>
      <w:bookmarkEnd w:id="40"/>
      <w:bookmarkEnd w:id="41"/>
    </w:p>
    <w:p w14:paraId="5DE54FE9">
      <w:pPr>
        <w:pStyle w:val="9"/>
        <w:tabs>
          <w:tab w:val="left" w:pos="0"/>
        </w:tabs>
        <w:spacing w:line="440" w:lineRule="exact"/>
        <w:ind w:left="425"/>
        <w:rPr>
          <w:rFonts w:hint="eastAsia" w:hAnsi="宋体" w:cs="宋体"/>
        </w:rPr>
      </w:pPr>
      <w:r>
        <w:rPr>
          <w:rFonts w:hint="eastAsia" w:hAnsi="宋体" w:cs="宋体"/>
        </w:rPr>
        <w:t>1、招标文件；</w:t>
      </w:r>
    </w:p>
    <w:p w14:paraId="13121DB7">
      <w:pPr>
        <w:pStyle w:val="6"/>
        <w:rPr>
          <w:rFonts w:hAnsi="Calibri"/>
        </w:rPr>
      </w:pPr>
    </w:p>
    <w:p w14:paraId="291413CC">
      <w:pPr>
        <w:pStyle w:val="9"/>
        <w:tabs>
          <w:tab w:val="left" w:pos="0"/>
        </w:tabs>
        <w:spacing w:line="440" w:lineRule="exact"/>
        <w:ind w:left="425"/>
        <w:rPr>
          <w:rFonts w:hint="eastAsia" w:hAnsi="宋体" w:cs="宋体"/>
        </w:rPr>
      </w:pPr>
      <w:r>
        <w:rPr>
          <w:rFonts w:hint="eastAsia" w:hAnsi="宋体" w:cs="宋体"/>
        </w:rPr>
        <w:t>2、乙方提供的投标文件；</w:t>
      </w:r>
    </w:p>
    <w:p w14:paraId="00535BE2">
      <w:pPr>
        <w:pStyle w:val="6"/>
        <w:rPr>
          <w:rFonts w:hAnsi="Calibri"/>
        </w:rPr>
      </w:pPr>
    </w:p>
    <w:p w14:paraId="0F68C1DC">
      <w:pPr>
        <w:pStyle w:val="9"/>
        <w:tabs>
          <w:tab w:val="left" w:pos="0"/>
        </w:tabs>
        <w:spacing w:line="440" w:lineRule="exact"/>
        <w:ind w:left="425"/>
        <w:rPr>
          <w:rFonts w:hint="eastAsia" w:hAnsi="宋体" w:cs="宋体"/>
        </w:rPr>
      </w:pPr>
      <w:r>
        <w:rPr>
          <w:rFonts w:hint="eastAsia" w:hAnsi="宋体" w:cs="宋体"/>
        </w:rPr>
        <w:t>3、中标通知书。</w:t>
      </w:r>
    </w:p>
    <w:p w14:paraId="5F893BAC">
      <w:pPr>
        <w:pStyle w:val="5"/>
        <w:spacing w:before="331" w:beforeLines="100" w:line="460" w:lineRule="exact"/>
        <w:ind w:left="1027" w:hanging="488"/>
        <w:rPr>
          <w:b w:val="0"/>
        </w:rPr>
      </w:pPr>
      <w:bookmarkStart w:id="42" w:name="_Toc498673639"/>
      <w:bookmarkStart w:id="43" w:name="_Toc497061643"/>
      <w:r>
        <w:rPr>
          <w:rFonts w:hint="eastAsia"/>
          <w:b w:val="0"/>
        </w:rPr>
        <w:t>第二十条  合同文件的优先顺序</w:t>
      </w:r>
      <w:bookmarkEnd w:id="42"/>
      <w:bookmarkEnd w:id="43"/>
    </w:p>
    <w:p w14:paraId="7D668B9F">
      <w:pPr>
        <w:pStyle w:val="9"/>
        <w:tabs>
          <w:tab w:val="left" w:pos="0"/>
        </w:tabs>
        <w:spacing w:line="400" w:lineRule="exact"/>
        <w:ind w:firstLine="405" w:firstLineChars="193"/>
        <w:rPr>
          <w:rFonts w:hint="eastAsia" w:hAnsi="宋体" w:cs="宋体"/>
        </w:rPr>
      </w:pPr>
      <w:r>
        <w:rPr>
          <w:rFonts w:hint="eastAsia" w:hAnsi="宋体" w:cs="宋体"/>
        </w:rPr>
        <w:t>组成合同的各项文件应互相解释，互为说明。解释合同文件的优先顺序如下：</w:t>
      </w:r>
    </w:p>
    <w:p w14:paraId="4CD85F0D">
      <w:pPr>
        <w:pStyle w:val="9"/>
        <w:tabs>
          <w:tab w:val="left" w:pos="0"/>
        </w:tabs>
        <w:spacing w:line="400" w:lineRule="exact"/>
        <w:ind w:firstLine="405" w:firstLineChars="193"/>
        <w:rPr>
          <w:rFonts w:hint="eastAsia" w:hAnsi="宋体" w:cs="宋体"/>
        </w:rPr>
      </w:pPr>
      <w:r>
        <w:rPr>
          <w:rFonts w:hint="eastAsia" w:hAnsi="宋体" w:cs="宋体"/>
        </w:rPr>
        <w:t>（1）合同书；</w:t>
      </w:r>
    </w:p>
    <w:p w14:paraId="31C2B75F">
      <w:pPr>
        <w:pStyle w:val="9"/>
        <w:tabs>
          <w:tab w:val="left" w:pos="0"/>
        </w:tabs>
        <w:spacing w:line="400" w:lineRule="exact"/>
        <w:ind w:firstLine="405" w:firstLineChars="193"/>
        <w:rPr>
          <w:rFonts w:hint="eastAsia" w:hAnsi="宋体" w:cs="宋体"/>
        </w:rPr>
      </w:pPr>
      <w:r>
        <w:rPr>
          <w:rFonts w:hint="eastAsia" w:hAnsi="宋体" w:cs="宋体"/>
        </w:rPr>
        <w:t>（2）成交通知书；</w:t>
      </w:r>
    </w:p>
    <w:p w14:paraId="112EDBA6">
      <w:pPr>
        <w:pStyle w:val="9"/>
        <w:tabs>
          <w:tab w:val="left" w:pos="0"/>
        </w:tabs>
        <w:spacing w:line="400" w:lineRule="exact"/>
        <w:ind w:firstLine="405" w:firstLineChars="193"/>
        <w:rPr>
          <w:rFonts w:hint="eastAsia" w:hAnsi="宋体" w:cs="宋体"/>
        </w:rPr>
      </w:pPr>
      <w:r>
        <w:rPr>
          <w:rFonts w:hint="eastAsia" w:hAnsi="宋体" w:cs="宋体"/>
        </w:rPr>
        <w:t>（3）投标函；</w:t>
      </w:r>
    </w:p>
    <w:p w14:paraId="6152C501">
      <w:pPr>
        <w:pStyle w:val="9"/>
        <w:tabs>
          <w:tab w:val="left" w:pos="0"/>
        </w:tabs>
        <w:spacing w:line="400" w:lineRule="exact"/>
        <w:ind w:firstLine="405" w:firstLineChars="193"/>
        <w:rPr>
          <w:rFonts w:hint="eastAsia" w:hAnsi="宋体" w:cs="宋体"/>
        </w:rPr>
      </w:pPr>
      <w:r>
        <w:rPr>
          <w:rFonts w:hint="eastAsia" w:hAnsi="宋体" w:cs="宋体"/>
        </w:rPr>
        <w:t>（4）招标文件（采购需求）；</w:t>
      </w:r>
    </w:p>
    <w:p w14:paraId="2B56D9BA">
      <w:pPr>
        <w:pStyle w:val="9"/>
        <w:tabs>
          <w:tab w:val="left" w:pos="0"/>
        </w:tabs>
        <w:spacing w:line="400" w:lineRule="exact"/>
        <w:ind w:firstLine="405" w:firstLineChars="193"/>
        <w:rPr>
          <w:rFonts w:hint="eastAsia" w:hAnsi="宋体" w:cs="宋体"/>
        </w:rPr>
      </w:pPr>
      <w:r>
        <w:rPr>
          <w:rFonts w:hint="eastAsia" w:hAnsi="宋体" w:cs="宋体"/>
        </w:rPr>
        <w:t>（5）图纸；</w:t>
      </w:r>
    </w:p>
    <w:p w14:paraId="74782F9A">
      <w:pPr>
        <w:pStyle w:val="9"/>
        <w:tabs>
          <w:tab w:val="left" w:pos="0"/>
        </w:tabs>
        <w:spacing w:line="400" w:lineRule="exact"/>
        <w:ind w:firstLine="405" w:firstLineChars="193"/>
        <w:rPr>
          <w:rFonts w:hint="eastAsia" w:hAnsi="宋体" w:cs="宋体"/>
        </w:rPr>
      </w:pPr>
      <w:r>
        <w:rPr>
          <w:rFonts w:hint="eastAsia" w:hAnsi="宋体" w:cs="宋体"/>
        </w:rPr>
        <w:t>（6）其他合同文件。</w:t>
      </w:r>
    </w:p>
    <w:p w14:paraId="58CDC2C9">
      <w:pPr>
        <w:pStyle w:val="5"/>
        <w:spacing w:before="331" w:beforeLines="100" w:line="460" w:lineRule="exact"/>
        <w:ind w:left="1027" w:hanging="488"/>
        <w:rPr>
          <w:b w:val="0"/>
        </w:rPr>
      </w:pPr>
      <w:bookmarkStart w:id="44" w:name="_Toc497061644"/>
      <w:bookmarkStart w:id="45" w:name="_Toc498673640"/>
      <w:r>
        <w:rPr>
          <w:rFonts w:hint="eastAsia"/>
          <w:b w:val="0"/>
        </w:rPr>
        <w:t>第二十一条　通知</w:t>
      </w:r>
      <w:bookmarkEnd w:id="44"/>
      <w:bookmarkEnd w:id="45"/>
    </w:p>
    <w:p w14:paraId="713D69F3">
      <w:pPr>
        <w:pStyle w:val="19"/>
        <w:tabs>
          <w:tab w:val="left" w:pos="0"/>
        </w:tabs>
        <w:snapToGrid w:val="0"/>
        <w:spacing w:beforeAutospacing="0" w:line="400" w:lineRule="exact"/>
        <w:ind w:firstLine="405" w:firstLineChars="193"/>
        <w:rPr>
          <w:rFonts w:hint="eastAsia"/>
          <w:color w:val="auto"/>
          <w:sz w:val="21"/>
          <w:szCs w:val="21"/>
        </w:rPr>
      </w:pPr>
      <w:r>
        <w:rPr>
          <w:rFonts w:hint="eastAsia"/>
          <w:color w:val="auto"/>
          <w:sz w:val="21"/>
          <w:szCs w:val="21"/>
        </w:rPr>
        <w:t>除非另有规定，本合同项下的通知应以中文书面形式通过快递、邮寄、电邮或传真按下述地址送至对方后视为送达：</w:t>
      </w:r>
    </w:p>
    <w:p w14:paraId="107CA137">
      <w:pPr>
        <w:pStyle w:val="19"/>
        <w:tabs>
          <w:tab w:val="left" w:pos="0"/>
        </w:tabs>
        <w:snapToGrid w:val="0"/>
        <w:spacing w:beforeAutospacing="0" w:line="400" w:lineRule="exact"/>
        <w:ind w:firstLine="405" w:firstLineChars="193"/>
        <w:rPr>
          <w:rFonts w:hint="eastAsia"/>
          <w:sz w:val="21"/>
          <w:szCs w:val="21"/>
          <w:u w:val="single"/>
        </w:rPr>
      </w:pPr>
      <w:r>
        <w:rPr>
          <w:rFonts w:hint="eastAsia"/>
          <w:color w:val="auto"/>
          <w:sz w:val="21"/>
          <w:szCs w:val="21"/>
        </w:rPr>
        <w:t>甲方：</w:t>
      </w:r>
      <w:r>
        <w:rPr>
          <w:rFonts w:hint="eastAsia"/>
          <w:color w:val="auto"/>
          <w:sz w:val="21"/>
          <w:szCs w:val="21"/>
          <w:u w:val="single"/>
        </w:rPr>
        <w:t xml:space="preserve">桂林理工大学 </w:t>
      </w:r>
      <w:r>
        <w:rPr>
          <w:color w:val="auto"/>
          <w:sz w:val="21"/>
          <w:szCs w:val="21"/>
          <w:u w:val="single"/>
        </w:rPr>
        <w:t xml:space="preserve">             </w:t>
      </w:r>
      <w:r>
        <w:rPr>
          <w:color w:val="auto"/>
          <w:sz w:val="21"/>
          <w:szCs w:val="21"/>
        </w:rPr>
        <w:t xml:space="preserve">   </w:t>
      </w:r>
      <w:r>
        <w:rPr>
          <w:rFonts w:hint="eastAsia"/>
          <w:color w:val="auto"/>
          <w:sz w:val="21"/>
          <w:szCs w:val="21"/>
        </w:rPr>
        <w:t xml:space="preserve">  </w:t>
      </w:r>
      <w:r>
        <w:rPr>
          <w:color w:val="auto"/>
          <w:sz w:val="21"/>
          <w:szCs w:val="21"/>
        </w:rPr>
        <w:t xml:space="preserve"> </w:t>
      </w:r>
      <w:r>
        <w:rPr>
          <w:rFonts w:hint="eastAsia"/>
          <w:color w:val="auto"/>
          <w:sz w:val="21"/>
          <w:szCs w:val="21"/>
        </w:rPr>
        <w:t>乙方：</w:t>
      </w:r>
      <w:r>
        <w:rPr>
          <w:color w:val="auto"/>
          <w:sz w:val="21"/>
          <w:szCs w:val="21"/>
          <w:u w:val="single"/>
        </w:rPr>
        <w:t xml:space="preserve">  </w:t>
      </w:r>
      <w:r>
        <w:rPr>
          <w:rFonts w:hint="eastAsia"/>
          <w:sz w:val="21"/>
          <w:szCs w:val="21"/>
          <w:u w:val="single"/>
        </w:rPr>
        <w:t xml:space="preserve">                           </w:t>
      </w:r>
      <w:r>
        <w:rPr>
          <w:sz w:val="21"/>
          <w:szCs w:val="21"/>
          <w:u w:val="single"/>
        </w:rPr>
        <w:t xml:space="preserve">  </w:t>
      </w:r>
    </w:p>
    <w:p w14:paraId="721E45C6">
      <w:pPr>
        <w:pStyle w:val="19"/>
        <w:tabs>
          <w:tab w:val="left" w:pos="0"/>
        </w:tabs>
        <w:snapToGrid w:val="0"/>
        <w:spacing w:beforeAutospacing="0" w:line="400" w:lineRule="exact"/>
        <w:ind w:firstLine="405" w:firstLineChars="193"/>
        <w:rPr>
          <w:rFonts w:hint="eastAsia"/>
          <w:color w:val="auto"/>
          <w:sz w:val="21"/>
          <w:szCs w:val="21"/>
        </w:rPr>
      </w:pPr>
    </w:p>
    <w:p w14:paraId="7EB8A215">
      <w:pPr>
        <w:pStyle w:val="19"/>
        <w:tabs>
          <w:tab w:val="left" w:pos="0"/>
        </w:tabs>
        <w:snapToGrid w:val="0"/>
        <w:spacing w:beforeAutospacing="0" w:line="400" w:lineRule="exact"/>
        <w:ind w:firstLine="405" w:firstLineChars="193"/>
        <w:rPr>
          <w:rFonts w:hint="eastAsia"/>
          <w:sz w:val="21"/>
          <w:szCs w:val="21"/>
          <w:u w:val="single"/>
        </w:rPr>
      </w:pPr>
      <w:r>
        <w:rPr>
          <w:rFonts w:hint="eastAsia"/>
          <w:color w:val="auto"/>
          <w:sz w:val="21"/>
          <w:szCs w:val="21"/>
        </w:rPr>
        <w:t>地址：</w:t>
      </w:r>
      <w:r>
        <w:rPr>
          <w:rFonts w:hint="eastAsia"/>
          <w:color w:val="auto"/>
          <w:sz w:val="21"/>
          <w:szCs w:val="21"/>
          <w:u w:val="single"/>
        </w:rPr>
        <w:t xml:space="preserve">桂林市雁山区雁山街319号 </w:t>
      </w:r>
      <w:r>
        <w:rPr>
          <w:color w:val="auto"/>
          <w:sz w:val="21"/>
          <w:szCs w:val="21"/>
          <w:u w:val="single"/>
        </w:rPr>
        <w:t xml:space="preserve">  </w:t>
      </w:r>
      <w:r>
        <w:rPr>
          <w:rFonts w:hint="eastAsia"/>
          <w:color w:val="auto"/>
          <w:sz w:val="21"/>
          <w:szCs w:val="21"/>
        </w:rPr>
        <w:t xml:space="preserve">      地址：</w:t>
      </w:r>
      <w:r>
        <w:rPr>
          <w:rFonts w:hint="eastAsia"/>
          <w:sz w:val="21"/>
          <w:szCs w:val="21"/>
          <w:u w:val="single"/>
        </w:rPr>
        <w:t xml:space="preserve">                               </w:t>
      </w:r>
    </w:p>
    <w:p w14:paraId="7D6E10E1">
      <w:pPr>
        <w:pStyle w:val="19"/>
        <w:tabs>
          <w:tab w:val="left" w:pos="0"/>
        </w:tabs>
        <w:snapToGrid w:val="0"/>
        <w:spacing w:beforeAutospacing="0" w:line="400" w:lineRule="exact"/>
        <w:ind w:firstLine="405" w:firstLineChars="193"/>
        <w:rPr>
          <w:rFonts w:hint="eastAsia"/>
          <w:color w:val="auto"/>
          <w:sz w:val="21"/>
          <w:szCs w:val="21"/>
        </w:rPr>
      </w:pPr>
    </w:p>
    <w:p w14:paraId="0D2F3E30">
      <w:pPr>
        <w:pStyle w:val="19"/>
        <w:tabs>
          <w:tab w:val="left" w:pos="0"/>
        </w:tabs>
        <w:snapToGrid w:val="0"/>
        <w:spacing w:beforeAutospacing="0" w:line="400" w:lineRule="exact"/>
        <w:ind w:firstLine="405" w:firstLineChars="193"/>
        <w:rPr>
          <w:rFonts w:hint="eastAsia"/>
          <w:color w:val="auto"/>
          <w:sz w:val="21"/>
          <w:szCs w:val="21"/>
          <w:u w:val="single"/>
        </w:rPr>
      </w:pPr>
      <w:r>
        <w:rPr>
          <w:rFonts w:hint="eastAsia"/>
          <w:color w:val="auto"/>
          <w:sz w:val="21"/>
          <w:szCs w:val="21"/>
        </w:rPr>
        <w:t xml:space="preserve"> 联系人：</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 xml:space="preserve">  </w:t>
      </w:r>
      <w:r>
        <w:rPr>
          <w:color w:val="auto"/>
          <w:sz w:val="21"/>
          <w:szCs w:val="21"/>
        </w:rPr>
        <w:t xml:space="preserve">    </w:t>
      </w:r>
      <w:r>
        <w:rPr>
          <w:rFonts w:hint="eastAsia"/>
          <w:color w:val="auto"/>
          <w:sz w:val="21"/>
          <w:szCs w:val="21"/>
        </w:rPr>
        <w:t>联系人：</w:t>
      </w:r>
      <w:r>
        <w:rPr>
          <w:rFonts w:hint="eastAsia"/>
          <w:color w:val="auto"/>
          <w:sz w:val="21"/>
          <w:szCs w:val="21"/>
          <w:u w:val="single"/>
        </w:rPr>
        <w:t xml:space="preserve">       </w:t>
      </w:r>
      <w:r>
        <w:rPr>
          <w:color w:val="auto"/>
          <w:sz w:val="21"/>
          <w:szCs w:val="21"/>
          <w:u w:val="single"/>
        </w:rPr>
        <w:t xml:space="preserve">                     </w:t>
      </w:r>
    </w:p>
    <w:p w14:paraId="2D27F053">
      <w:pPr>
        <w:pStyle w:val="19"/>
        <w:tabs>
          <w:tab w:val="left" w:pos="0"/>
        </w:tabs>
        <w:snapToGrid w:val="0"/>
        <w:spacing w:beforeAutospacing="0" w:line="400" w:lineRule="exact"/>
        <w:ind w:firstLine="405" w:firstLineChars="193"/>
        <w:rPr>
          <w:rFonts w:hint="eastAsia"/>
          <w:color w:val="auto"/>
          <w:sz w:val="21"/>
          <w:szCs w:val="21"/>
        </w:rPr>
      </w:pPr>
    </w:p>
    <w:p w14:paraId="0A418C55">
      <w:pPr>
        <w:pStyle w:val="19"/>
        <w:tabs>
          <w:tab w:val="left" w:pos="0"/>
        </w:tabs>
        <w:snapToGrid w:val="0"/>
        <w:spacing w:beforeAutospacing="0" w:line="400" w:lineRule="exact"/>
        <w:ind w:firstLine="405" w:firstLineChars="193"/>
        <w:rPr>
          <w:rFonts w:hint="eastAsia"/>
          <w:color w:val="auto"/>
          <w:sz w:val="21"/>
          <w:szCs w:val="21"/>
        </w:rPr>
      </w:pPr>
      <w:r>
        <w:rPr>
          <w:rFonts w:hint="eastAsia"/>
          <w:color w:val="auto"/>
          <w:sz w:val="21"/>
          <w:szCs w:val="21"/>
        </w:rPr>
        <w:t>联系电话：</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 xml:space="preserve">  </w:t>
      </w:r>
      <w:r>
        <w:rPr>
          <w:color w:val="auto"/>
          <w:sz w:val="21"/>
          <w:szCs w:val="21"/>
        </w:rPr>
        <w:t xml:space="preserve">    </w:t>
      </w:r>
      <w:r>
        <w:rPr>
          <w:rFonts w:hint="eastAsia"/>
          <w:color w:val="auto"/>
          <w:sz w:val="21"/>
          <w:szCs w:val="21"/>
        </w:rPr>
        <w:t>联系电话：</w:t>
      </w:r>
      <w:r>
        <w:rPr>
          <w:rFonts w:hint="eastAsia"/>
          <w:color w:val="auto"/>
          <w:sz w:val="21"/>
          <w:szCs w:val="21"/>
          <w:u w:val="single"/>
        </w:rPr>
        <w:t xml:space="preserve">                        </w:t>
      </w:r>
      <w:r>
        <w:rPr>
          <w:color w:val="auto"/>
          <w:sz w:val="21"/>
          <w:szCs w:val="21"/>
          <w:u w:val="single"/>
        </w:rPr>
        <w:t xml:space="preserve">   </w:t>
      </w:r>
    </w:p>
    <w:p w14:paraId="5EFF8DA2">
      <w:pPr>
        <w:pStyle w:val="19"/>
        <w:tabs>
          <w:tab w:val="left" w:pos="0"/>
        </w:tabs>
        <w:snapToGrid w:val="0"/>
        <w:spacing w:beforeAutospacing="0" w:line="400" w:lineRule="exact"/>
        <w:ind w:firstLine="405" w:firstLineChars="193"/>
        <w:rPr>
          <w:rFonts w:hint="eastAsia"/>
          <w:color w:val="auto"/>
          <w:sz w:val="21"/>
          <w:szCs w:val="21"/>
        </w:rPr>
      </w:pPr>
    </w:p>
    <w:p w14:paraId="6E8697AA">
      <w:pPr>
        <w:pStyle w:val="19"/>
        <w:tabs>
          <w:tab w:val="left" w:pos="0"/>
        </w:tabs>
        <w:snapToGrid w:val="0"/>
        <w:spacing w:beforeAutospacing="0" w:line="400" w:lineRule="exact"/>
        <w:ind w:firstLine="405" w:firstLineChars="193"/>
        <w:rPr>
          <w:rFonts w:hint="eastAsia"/>
          <w:b/>
        </w:rPr>
      </w:pPr>
      <w:r>
        <w:rPr>
          <w:rFonts w:hint="eastAsia"/>
          <w:color w:val="auto"/>
          <w:sz w:val="21"/>
          <w:szCs w:val="21"/>
        </w:rPr>
        <w:t>如果一方的地址和/或收件人更改时，应在新地址和/或新收件人启用前以书面形式通知另一方。</w:t>
      </w:r>
      <w:r>
        <w:rPr>
          <w:rFonts w:hint="eastAsia"/>
          <w:color w:val="auto"/>
        </w:rPr>
        <w:t xml:space="preserve"> </w:t>
      </w:r>
      <w:bookmarkStart w:id="46" w:name="_Toc498673641"/>
      <w:bookmarkStart w:id="47" w:name="_Toc497061645"/>
    </w:p>
    <w:p w14:paraId="3596ADC6">
      <w:pPr>
        <w:pStyle w:val="5"/>
        <w:spacing w:before="331" w:beforeLines="100" w:line="460" w:lineRule="exact"/>
        <w:ind w:left="1027" w:hanging="488"/>
        <w:rPr>
          <w:b w:val="0"/>
        </w:rPr>
      </w:pPr>
      <w:r>
        <w:rPr>
          <w:rFonts w:hint="eastAsia"/>
          <w:b w:val="0"/>
        </w:rPr>
        <w:t>第二十二条　合同份数</w:t>
      </w:r>
      <w:bookmarkEnd w:id="46"/>
      <w:bookmarkEnd w:id="47"/>
    </w:p>
    <w:p w14:paraId="3748813C">
      <w:pPr>
        <w:tabs>
          <w:tab w:val="left" w:pos="0"/>
        </w:tabs>
        <w:snapToGrid w:val="0"/>
        <w:spacing w:line="400" w:lineRule="exact"/>
        <w:ind w:firstLine="405" w:firstLineChars="193"/>
        <w:rPr>
          <w:szCs w:val="21"/>
        </w:rPr>
      </w:pPr>
      <w:r>
        <w:rPr>
          <w:rFonts w:hint="eastAsia"/>
          <w:szCs w:val="21"/>
        </w:rPr>
        <w:t>本合同一式</w:t>
      </w:r>
      <w:r>
        <w:rPr>
          <w:rFonts w:hint="eastAsia"/>
          <w:szCs w:val="21"/>
          <w:u w:val="single"/>
        </w:rPr>
        <w:t xml:space="preserve"> </w:t>
      </w:r>
      <w:r>
        <w:rPr>
          <w:rFonts w:hint="eastAsia"/>
          <w:b/>
          <w:szCs w:val="21"/>
          <w:u w:val="single"/>
        </w:rPr>
        <w:t>玖</w:t>
      </w:r>
      <w:r>
        <w:rPr>
          <w:rFonts w:hint="eastAsia"/>
          <w:szCs w:val="21"/>
          <w:u w:val="single"/>
        </w:rPr>
        <w:t xml:space="preserve"> </w:t>
      </w:r>
      <w:r>
        <w:rPr>
          <w:rFonts w:hint="eastAsia"/>
          <w:szCs w:val="21"/>
        </w:rPr>
        <w:t>份，具有同等法律效力甲方执</w:t>
      </w:r>
      <w:r>
        <w:rPr>
          <w:rFonts w:hint="eastAsia"/>
          <w:szCs w:val="21"/>
          <w:u w:val="single"/>
        </w:rPr>
        <w:t xml:space="preserve"> </w:t>
      </w:r>
      <w:r>
        <w:rPr>
          <w:rFonts w:hint="eastAsia"/>
          <w:b/>
          <w:szCs w:val="21"/>
          <w:u w:val="single"/>
        </w:rPr>
        <w:t>柒</w:t>
      </w:r>
      <w:r>
        <w:rPr>
          <w:rFonts w:hint="eastAsia"/>
          <w:szCs w:val="21"/>
          <w:u w:val="single"/>
        </w:rPr>
        <w:t xml:space="preserve"> </w:t>
      </w:r>
      <w:r>
        <w:rPr>
          <w:rFonts w:hint="eastAsia"/>
          <w:szCs w:val="21"/>
        </w:rPr>
        <w:t>份，乙方执</w:t>
      </w:r>
      <w:r>
        <w:rPr>
          <w:rFonts w:hint="eastAsia"/>
          <w:szCs w:val="21"/>
          <w:u w:val="single"/>
        </w:rPr>
        <w:t xml:space="preserve"> </w:t>
      </w:r>
      <w:r>
        <w:rPr>
          <w:rFonts w:hint="eastAsia"/>
          <w:b/>
          <w:szCs w:val="21"/>
          <w:u w:val="single"/>
        </w:rPr>
        <w:t xml:space="preserve"> 贰 </w:t>
      </w:r>
      <w:r>
        <w:rPr>
          <w:rFonts w:hint="eastAsia"/>
          <w:szCs w:val="21"/>
        </w:rPr>
        <w:t>份（可根据需要另增加）。本合同甲乙双方签字盖章后生效。</w:t>
      </w:r>
    </w:p>
    <w:p w14:paraId="7A787D12">
      <w:pPr>
        <w:snapToGrid w:val="0"/>
        <w:spacing w:line="400" w:lineRule="exact"/>
        <w:rPr>
          <w:szCs w:val="21"/>
        </w:rPr>
      </w:pPr>
    </w:p>
    <w:tbl>
      <w:tblPr>
        <w:tblStyle w:val="14"/>
        <w:tblW w:w="9033" w:type="dxa"/>
        <w:tblInd w:w="0" w:type="dxa"/>
        <w:tblLayout w:type="fixed"/>
        <w:tblCellMar>
          <w:top w:w="0" w:type="dxa"/>
          <w:left w:w="108" w:type="dxa"/>
          <w:bottom w:w="0" w:type="dxa"/>
          <w:right w:w="108" w:type="dxa"/>
        </w:tblCellMar>
      </w:tblPr>
      <w:tblGrid>
        <w:gridCol w:w="4234"/>
        <w:gridCol w:w="4799"/>
      </w:tblGrid>
      <w:tr w14:paraId="053B24B5">
        <w:tblPrEx>
          <w:tblCellMar>
            <w:top w:w="0" w:type="dxa"/>
            <w:left w:w="108" w:type="dxa"/>
            <w:bottom w:w="0" w:type="dxa"/>
            <w:right w:w="108" w:type="dxa"/>
          </w:tblCellMar>
        </w:tblPrEx>
        <w:trPr>
          <w:cantSplit/>
          <w:trHeight w:val="588" w:hRule="atLeast"/>
        </w:trPr>
        <w:tc>
          <w:tcPr>
            <w:tcW w:w="4234" w:type="dxa"/>
            <w:vAlign w:val="center"/>
          </w:tcPr>
          <w:p w14:paraId="08640A77">
            <w:pPr>
              <w:snapToGrid w:val="0"/>
              <w:spacing w:line="460" w:lineRule="exact"/>
              <w:rPr>
                <w:szCs w:val="21"/>
              </w:rPr>
            </w:pPr>
            <w:r>
              <w:rPr>
                <w:rFonts w:hint="eastAsia"/>
                <w:szCs w:val="21"/>
              </w:rPr>
              <w:t xml:space="preserve">甲方（章）桂林理工大学           </w:t>
            </w:r>
          </w:p>
        </w:tc>
        <w:tc>
          <w:tcPr>
            <w:tcW w:w="4799" w:type="dxa"/>
            <w:vAlign w:val="center"/>
          </w:tcPr>
          <w:p w14:paraId="6359F611">
            <w:pPr>
              <w:pStyle w:val="13"/>
              <w:spacing w:after="113" w:line="360" w:lineRule="exact"/>
              <w:rPr>
                <w:rFonts w:hint="eastAsia" w:ascii="宋体" w:hAnsi="宋体" w:cs="宋体"/>
                <w:szCs w:val="21"/>
              </w:rPr>
            </w:pPr>
            <w:r>
              <w:rPr>
                <w:rFonts w:hint="eastAsia" w:ascii="宋体" w:hAnsi="宋体" w:cs="宋体"/>
                <w:szCs w:val="21"/>
              </w:rPr>
              <w:t xml:space="preserve">乙方（章）                        </w:t>
            </w:r>
          </w:p>
        </w:tc>
      </w:tr>
      <w:tr w14:paraId="2ACD3740">
        <w:tblPrEx>
          <w:tblCellMar>
            <w:top w:w="0" w:type="dxa"/>
            <w:left w:w="108" w:type="dxa"/>
            <w:bottom w:w="0" w:type="dxa"/>
            <w:right w:w="108" w:type="dxa"/>
          </w:tblCellMar>
        </w:tblPrEx>
        <w:trPr>
          <w:cantSplit/>
          <w:trHeight w:val="324" w:hRule="atLeast"/>
        </w:trPr>
        <w:tc>
          <w:tcPr>
            <w:tcW w:w="4234" w:type="dxa"/>
            <w:vAlign w:val="center"/>
          </w:tcPr>
          <w:p w14:paraId="4E5028B5">
            <w:pPr>
              <w:snapToGrid w:val="0"/>
              <w:spacing w:line="460" w:lineRule="exact"/>
              <w:rPr>
                <w:szCs w:val="21"/>
              </w:rPr>
            </w:pPr>
            <w:r>
              <w:rPr>
                <w:rFonts w:hint="eastAsia"/>
                <w:szCs w:val="21"/>
              </w:rPr>
              <w:t>单位地址：桂林市建干路12号</w:t>
            </w:r>
          </w:p>
        </w:tc>
        <w:tc>
          <w:tcPr>
            <w:tcW w:w="4799" w:type="dxa"/>
            <w:vAlign w:val="center"/>
          </w:tcPr>
          <w:p w14:paraId="5CEA1FC5">
            <w:pPr>
              <w:snapToGrid w:val="0"/>
              <w:spacing w:line="460" w:lineRule="exact"/>
              <w:rPr>
                <w:szCs w:val="21"/>
              </w:rPr>
            </w:pPr>
            <w:r>
              <w:rPr>
                <w:rFonts w:hint="eastAsia"/>
                <w:szCs w:val="21"/>
              </w:rPr>
              <w:t xml:space="preserve">单位地址： </w:t>
            </w:r>
          </w:p>
        </w:tc>
      </w:tr>
      <w:tr w14:paraId="6CDB01CB">
        <w:tblPrEx>
          <w:tblCellMar>
            <w:top w:w="0" w:type="dxa"/>
            <w:left w:w="108" w:type="dxa"/>
            <w:bottom w:w="0" w:type="dxa"/>
            <w:right w:w="108" w:type="dxa"/>
          </w:tblCellMar>
        </w:tblPrEx>
        <w:trPr>
          <w:cantSplit/>
          <w:trHeight w:val="345" w:hRule="atLeast"/>
        </w:trPr>
        <w:tc>
          <w:tcPr>
            <w:tcW w:w="4234" w:type="dxa"/>
            <w:vAlign w:val="center"/>
          </w:tcPr>
          <w:p w14:paraId="267B553D">
            <w:pPr>
              <w:snapToGrid w:val="0"/>
              <w:spacing w:line="460" w:lineRule="exact"/>
              <w:rPr>
                <w:szCs w:val="21"/>
              </w:rPr>
            </w:pPr>
            <w:r>
              <w:rPr>
                <w:rFonts w:hint="eastAsia"/>
                <w:szCs w:val="21"/>
              </w:rPr>
              <w:t>法定代表人：(签字或盖章)</w:t>
            </w:r>
          </w:p>
        </w:tc>
        <w:tc>
          <w:tcPr>
            <w:tcW w:w="4799" w:type="dxa"/>
            <w:vAlign w:val="center"/>
          </w:tcPr>
          <w:p w14:paraId="4595CBA1">
            <w:pPr>
              <w:snapToGrid w:val="0"/>
              <w:spacing w:line="460" w:lineRule="exact"/>
              <w:rPr>
                <w:szCs w:val="21"/>
              </w:rPr>
            </w:pPr>
            <w:r>
              <w:rPr>
                <w:rFonts w:hint="eastAsia"/>
                <w:szCs w:val="21"/>
              </w:rPr>
              <w:t>法定代表人：(签字或盖章)</w:t>
            </w:r>
          </w:p>
        </w:tc>
      </w:tr>
      <w:tr w14:paraId="35BA9F91">
        <w:tblPrEx>
          <w:tblCellMar>
            <w:top w:w="0" w:type="dxa"/>
            <w:left w:w="108" w:type="dxa"/>
            <w:bottom w:w="0" w:type="dxa"/>
            <w:right w:w="108" w:type="dxa"/>
          </w:tblCellMar>
        </w:tblPrEx>
        <w:trPr>
          <w:cantSplit/>
          <w:trHeight w:val="415" w:hRule="atLeast"/>
        </w:trPr>
        <w:tc>
          <w:tcPr>
            <w:tcW w:w="4234" w:type="dxa"/>
            <w:vAlign w:val="center"/>
          </w:tcPr>
          <w:p w14:paraId="44DF49AF">
            <w:pPr>
              <w:snapToGrid w:val="0"/>
              <w:spacing w:line="460" w:lineRule="exact"/>
              <w:rPr>
                <w:szCs w:val="21"/>
              </w:rPr>
            </w:pPr>
            <w:r>
              <w:rPr>
                <w:rFonts w:hint="eastAsia"/>
                <w:szCs w:val="21"/>
              </w:rPr>
              <w:t>电话：0773-5896118</w:t>
            </w:r>
          </w:p>
        </w:tc>
        <w:tc>
          <w:tcPr>
            <w:tcW w:w="4799" w:type="dxa"/>
            <w:vAlign w:val="center"/>
          </w:tcPr>
          <w:p w14:paraId="6F8F7200">
            <w:pPr>
              <w:snapToGrid w:val="0"/>
              <w:spacing w:line="460" w:lineRule="exact"/>
              <w:rPr>
                <w:szCs w:val="21"/>
              </w:rPr>
            </w:pPr>
            <w:r>
              <w:rPr>
                <w:rFonts w:hint="eastAsia"/>
                <w:szCs w:val="21"/>
              </w:rPr>
              <w:t xml:space="preserve">电话： </w:t>
            </w:r>
          </w:p>
        </w:tc>
      </w:tr>
      <w:tr w14:paraId="50CE9DC1">
        <w:tblPrEx>
          <w:tblCellMar>
            <w:top w:w="0" w:type="dxa"/>
            <w:left w:w="108" w:type="dxa"/>
            <w:bottom w:w="0" w:type="dxa"/>
            <w:right w:w="108" w:type="dxa"/>
          </w:tblCellMar>
        </w:tblPrEx>
        <w:trPr>
          <w:cantSplit/>
          <w:trHeight w:val="407" w:hRule="atLeast"/>
        </w:trPr>
        <w:tc>
          <w:tcPr>
            <w:tcW w:w="4234" w:type="dxa"/>
            <w:vAlign w:val="center"/>
          </w:tcPr>
          <w:p w14:paraId="76E22EAD">
            <w:pPr>
              <w:snapToGrid w:val="0"/>
              <w:spacing w:line="460" w:lineRule="exact"/>
              <w:rPr>
                <w:szCs w:val="21"/>
              </w:rPr>
            </w:pPr>
            <w:r>
              <w:rPr>
                <w:rFonts w:hint="eastAsia"/>
                <w:szCs w:val="21"/>
              </w:rPr>
              <w:t>电子邮箱：</w:t>
            </w:r>
          </w:p>
        </w:tc>
        <w:tc>
          <w:tcPr>
            <w:tcW w:w="4799" w:type="dxa"/>
            <w:vAlign w:val="center"/>
          </w:tcPr>
          <w:p w14:paraId="51EFA62A">
            <w:pPr>
              <w:snapToGrid w:val="0"/>
              <w:spacing w:line="460" w:lineRule="exact"/>
              <w:rPr>
                <w:szCs w:val="21"/>
              </w:rPr>
            </w:pPr>
            <w:r>
              <w:rPr>
                <w:rFonts w:hint="eastAsia"/>
                <w:szCs w:val="21"/>
              </w:rPr>
              <w:t>电子邮箱：</w:t>
            </w:r>
          </w:p>
        </w:tc>
      </w:tr>
      <w:tr w14:paraId="768DD98E">
        <w:tblPrEx>
          <w:tblCellMar>
            <w:top w:w="0" w:type="dxa"/>
            <w:left w:w="108" w:type="dxa"/>
            <w:bottom w:w="0" w:type="dxa"/>
            <w:right w:w="108" w:type="dxa"/>
          </w:tblCellMar>
        </w:tblPrEx>
        <w:trPr>
          <w:cantSplit/>
          <w:trHeight w:val="151" w:hRule="atLeast"/>
        </w:trPr>
        <w:tc>
          <w:tcPr>
            <w:tcW w:w="4234" w:type="dxa"/>
            <w:vAlign w:val="center"/>
          </w:tcPr>
          <w:p w14:paraId="0EBC393A">
            <w:pPr>
              <w:snapToGrid w:val="0"/>
              <w:spacing w:line="460" w:lineRule="exact"/>
              <w:rPr>
                <w:szCs w:val="21"/>
              </w:rPr>
            </w:pPr>
            <w:r>
              <w:rPr>
                <w:rFonts w:hint="eastAsia"/>
                <w:szCs w:val="21"/>
              </w:rPr>
              <w:t>开户银行：中国银行桂林市建干路支行</w:t>
            </w:r>
          </w:p>
        </w:tc>
        <w:tc>
          <w:tcPr>
            <w:tcW w:w="4799" w:type="dxa"/>
            <w:vAlign w:val="center"/>
          </w:tcPr>
          <w:p w14:paraId="1B9BB53B">
            <w:pPr>
              <w:snapToGrid w:val="0"/>
              <w:spacing w:line="460" w:lineRule="exact"/>
              <w:rPr>
                <w:szCs w:val="21"/>
              </w:rPr>
            </w:pPr>
            <w:r>
              <w:rPr>
                <w:rFonts w:hint="eastAsia"/>
                <w:szCs w:val="21"/>
              </w:rPr>
              <w:t xml:space="preserve">开户银行： </w:t>
            </w:r>
          </w:p>
        </w:tc>
      </w:tr>
      <w:tr w14:paraId="1263B548">
        <w:tblPrEx>
          <w:tblCellMar>
            <w:top w:w="0" w:type="dxa"/>
            <w:left w:w="108" w:type="dxa"/>
            <w:bottom w:w="0" w:type="dxa"/>
            <w:right w:w="108" w:type="dxa"/>
          </w:tblCellMar>
        </w:tblPrEx>
        <w:trPr>
          <w:cantSplit/>
          <w:trHeight w:val="213" w:hRule="atLeast"/>
        </w:trPr>
        <w:tc>
          <w:tcPr>
            <w:tcW w:w="4234" w:type="dxa"/>
            <w:vAlign w:val="center"/>
          </w:tcPr>
          <w:p w14:paraId="53AA48DE">
            <w:pPr>
              <w:snapToGrid w:val="0"/>
              <w:spacing w:line="460" w:lineRule="exact"/>
              <w:rPr>
                <w:szCs w:val="21"/>
              </w:rPr>
            </w:pPr>
            <w:r>
              <w:rPr>
                <w:rFonts w:hint="eastAsia"/>
                <w:szCs w:val="21"/>
              </w:rPr>
              <w:t>账号：613257488744</w:t>
            </w:r>
          </w:p>
        </w:tc>
        <w:tc>
          <w:tcPr>
            <w:tcW w:w="4799" w:type="dxa"/>
            <w:vAlign w:val="center"/>
          </w:tcPr>
          <w:p w14:paraId="125C20E5">
            <w:pPr>
              <w:snapToGrid w:val="0"/>
              <w:spacing w:line="460" w:lineRule="exact"/>
              <w:rPr>
                <w:szCs w:val="21"/>
              </w:rPr>
            </w:pPr>
            <w:r>
              <w:rPr>
                <w:rFonts w:hint="eastAsia"/>
                <w:szCs w:val="21"/>
              </w:rPr>
              <w:t xml:space="preserve">账号： </w:t>
            </w:r>
          </w:p>
        </w:tc>
      </w:tr>
      <w:tr w14:paraId="503739A3">
        <w:tblPrEx>
          <w:tblCellMar>
            <w:top w:w="0" w:type="dxa"/>
            <w:left w:w="108" w:type="dxa"/>
            <w:bottom w:w="0" w:type="dxa"/>
            <w:right w:w="108" w:type="dxa"/>
          </w:tblCellMar>
        </w:tblPrEx>
        <w:trPr>
          <w:cantSplit/>
          <w:trHeight w:val="275" w:hRule="atLeast"/>
        </w:trPr>
        <w:tc>
          <w:tcPr>
            <w:tcW w:w="4234" w:type="dxa"/>
            <w:vAlign w:val="center"/>
          </w:tcPr>
          <w:p w14:paraId="37C20555">
            <w:pPr>
              <w:snapToGrid w:val="0"/>
              <w:spacing w:line="460" w:lineRule="exact"/>
              <w:rPr>
                <w:szCs w:val="21"/>
              </w:rPr>
            </w:pPr>
            <w:r>
              <w:rPr>
                <w:rFonts w:hint="eastAsia"/>
                <w:szCs w:val="21"/>
              </w:rPr>
              <w:t>邮政编码：541001</w:t>
            </w:r>
          </w:p>
        </w:tc>
        <w:tc>
          <w:tcPr>
            <w:tcW w:w="4799" w:type="dxa"/>
            <w:vAlign w:val="center"/>
          </w:tcPr>
          <w:p w14:paraId="3A065633">
            <w:pPr>
              <w:snapToGrid w:val="0"/>
              <w:spacing w:line="460" w:lineRule="exact"/>
              <w:rPr>
                <w:szCs w:val="21"/>
              </w:rPr>
            </w:pPr>
            <w:r>
              <w:rPr>
                <w:rFonts w:hint="eastAsia"/>
                <w:szCs w:val="21"/>
              </w:rPr>
              <w:t>邮政编码：</w:t>
            </w:r>
          </w:p>
        </w:tc>
      </w:tr>
      <w:tr w14:paraId="1F6217C9">
        <w:tblPrEx>
          <w:tblCellMar>
            <w:top w:w="0" w:type="dxa"/>
            <w:left w:w="108" w:type="dxa"/>
            <w:bottom w:w="0" w:type="dxa"/>
            <w:right w:w="108" w:type="dxa"/>
          </w:tblCellMar>
        </w:tblPrEx>
        <w:trPr>
          <w:cantSplit/>
          <w:trHeight w:val="275" w:hRule="atLeast"/>
        </w:trPr>
        <w:tc>
          <w:tcPr>
            <w:tcW w:w="4234" w:type="dxa"/>
            <w:vAlign w:val="center"/>
          </w:tcPr>
          <w:p w14:paraId="33545E2C">
            <w:pPr>
              <w:widowControl/>
              <w:snapToGrid w:val="0"/>
              <w:spacing w:after="113" w:line="360" w:lineRule="exact"/>
              <w:rPr>
                <w:szCs w:val="21"/>
              </w:rPr>
            </w:pPr>
            <w:r>
              <w:rPr>
                <w:rFonts w:hint="eastAsia"/>
                <w:szCs w:val="21"/>
              </w:rPr>
              <w:t>纳税人识别号：12450000498671388Q</w:t>
            </w:r>
          </w:p>
        </w:tc>
        <w:tc>
          <w:tcPr>
            <w:tcW w:w="4799" w:type="dxa"/>
            <w:vAlign w:val="center"/>
          </w:tcPr>
          <w:p w14:paraId="3166F6C6">
            <w:pPr>
              <w:pStyle w:val="9"/>
              <w:widowControl/>
              <w:spacing w:after="113" w:line="360" w:lineRule="exact"/>
              <w:rPr>
                <w:rFonts w:hint="eastAsia" w:hAnsi="宋体" w:cs="宋体"/>
                <w:szCs w:val="21"/>
              </w:rPr>
            </w:pPr>
            <w:r>
              <w:rPr>
                <w:rFonts w:hint="eastAsia" w:hAnsi="宋体" w:cs="宋体"/>
                <w:szCs w:val="21"/>
              </w:rPr>
              <w:t xml:space="preserve">纳税人识别号： </w:t>
            </w:r>
          </w:p>
        </w:tc>
      </w:tr>
      <w:tr w14:paraId="6A104E89">
        <w:tblPrEx>
          <w:tblCellMar>
            <w:top w:w="0" w:type="dxa"/>
            <w:left w:w="108" w:type="dxa"/>
            <w:bottom w:w="0" w:type="dxa"/>
            <w:right w:w="108" w:type="dxa"/>
          </w:tblCellMar>
        </w:tblPrEx>
        <w:trPr>
          <w:cantSplit/>
          <w:trHeight w:val="275" w:hRule="atLeast"/>
        </w:trPr>
        <w:tc>
          <w:tcPr>
            <w:tcW w:w="4234" w:type="dxa"/>
            <w:vAlign w:val="center"/>
          </w:tcPr>
          <w:p w14:paraId="4A34EDB0">
            <w:pPr>
              <w:widowControl/>
              <w:snapToGrid w:val="0"/>
              <w:spacing w:after="113" w:line="360" w:lineRule="exact"/>
              <w:rPr>
                <w:szCs w:val="21"/>
              </w:rPr>
            </w:pPr>
          </w:p>
        </w:tc>
        <w:tc>
          <w:tcPr>
            <w:tcW w:w="4799" w:type="dxa"/>
            <w:vAlign w:val="center"/>
          </w:tcPr>
          <w:p w14:paraId="61E61341">
            <w:pPr>
              <w:pStyle w:val="9"/>
              <w:widowControl/>
              <w:spacing w:after="113" w:line="360" w:lineRule="exact"/>
              <w:rPr>
                <w:rFonts w:hint="eastAsia" w:hAnsi="宋体" w:cs="宋体"/>
                <w:szCs w:val="21"/>
              </w:rPr>
            </w:pPr>
          </w:p>
        </w:tc>
      </w:tr>
      <w:tr w14:paraId="352CBE53">
        <w:tblPrEx>
          <w:tblCellMar>
            <w:top w:w="0" w:type="dxa"/>
            <w:left w:w="108" w:type="dxa"/>
            <w:bottom w:w="0" w:type="dxa"/>
            <w:right w:w="108" w:type="dxa"/>
          </w:tblCellMar>
        </w:tblPrEx>
        <w:trPr>
          <w:cantSplit/>
          <w:trHeight w:val="381" w:hRule="atLeast"/>
        </w:trPr>
        <w:tc>
          <w:tcPr>
            <w:tcW w:w="9033" w:type="dxa"/>
            <w:gridSpan w:val="2"/>
          </w:tcPr>
          <w:p w14:paraId="0E3113F3">
            <w:pPr>
              <w:wordWrap w:val="0"/>
              <w:snapToGrid w:val="0"/>
              <w:spacing w:line="460" w:lineRule="exact"/>
              <w:ind w:firstLine="630" w:firstLineChars="300"/>
              <w:jc w:val="right"/>
              <w:rPr>
                <w:szCs w:val="21"/>
              </w:rPr>
            </w:pPr>
            <w:r>
              <w:rPr>
                <w:rFonts w:hint="eastAsia"/>
                <w:szCs w:val="21"/>
              </w:rPr>
              <w:t>年    月    日                                               年    月    日</w:t>
            </w:r>
          </w:p>
        </w:tc>
      </w:tr>
    </w:tbl>
    <w:p w14:paraId="5BB5CB16">
      <w:pPr>
        <w:rPr>
          <w:b/>
          <w:bCs/>
          <w:sz w:val="28"/>
          <w:szCs w:val="28"/>
        </w:rPr>
      </w:pPr>
    </w:p>
    <w:p w14:paraId="39CE5766">
      <w:pPr>
        <w:tabs>
          <w:tab w:val="left" w:pos="5040"/>
        </w:tabs>
        <w:spacing w:line="400" w:lineRule="exact"/>
        <w:rPr>
          <w:rFonts w:hint="eastAsia" w:ascii="宋体" w:hAnsi="宋体" w:cs="宋体"/>
          <w:szCs w:val="21"/>
        </w:rPr>
        <w:sectPr>
          <w:footerReference r:id="rId6" w:type="first"/>
          <w:footerReference r:id="rId5" w:type="default"/>
          <w:pgSz w:w="11906" w:h="16838"/>
          <w:pgMar w:top="1134" w:right="1077" w:bottom="1134" w:left="1077" w:header="720" w:footer="720" w:gutter="0"/>
          <w:cols w:space="720" w:num="1"/>
          <w:titlePg/>
          <w:docGrid w:type="linesAndChars" w:linePitch="331" w:charSpace="0"/>
        </w:sectPr>
      </w:pPr>
    </w:p>
    <w:p w14:paraId="284649CC">
      <w:pPr>
        <w:pStyle w:val="4"/>
        <w:rPr>
          <w:sz w:val="28"/>
          <w:szCs w:val="28"/>
        </w:rPr>
      </w:pPr>
      <w:bookmarkStart w:id="48" w:name="_Toc9380"/>
      <w:r>
        <w:rPr>
          <w:rFonts w:hint="eastAsia"/>
          <w:sz w:val="28"/>
          <w:szCs w:val="28"/>
        </w:rPr>
        <w:t xml:space="preserve">附件1：                  </w:t>
      </w:r>
      <w:bookmarkEnd w:id="48"/>
      <w:bookmarkStart w:id="49" w:name="_Toc56505147"/>
      <w:bookmarkStart w:id="50" w:name="_Toc415566300"/>
      <w:bookmarkStart w:id="51" w:name="_Toc518413861"/>
      <w:bookmarkStart w:id="52" w:name="_Toc31061"/>
      <w:bookmarkStart w:id="53" w:name="_Toc426912404"/>
      <w:r>
        <w:rPr>
          <w:rFonts w:hint="eastAsia"/>
          <w:sz w:val="28"/>
          <w:szCs w:val="28"/>
        </w:rPr>
        <w:t xml:space="preserve">   售后服务承诺书</w:t>
      </w:r>
      <w:bookmarkEnd w:id="49"/>
      <w:bookmarkEnd w:id="50"/>
      <w:bookmarkEnd w:id="51"/>
      <w:bookmarkEnd w:id="52"/>
      <w:bookmarkEnd w:id="53"/>
    </w:p>
    <w:p w14:paraId="2AF4080E">
      <w:pPr>
        <w:tabs>
          <w:tab w:val="left" w:pos="780"/>
        </w:tabs>
        <w:spacing w:line="440" w:lineRule="exact"/>
        <w:ind w:right="100" w:firstLine="420" w:firstLineChars="200"/>
      </w:pPr>
      <w:r>
        <w:rPr>
          <w:rFonts w:hint="eastAsia"/>
        </w:rPr>
        <w:t>当贵方选定我方的电梯后，我方将提供所需技术资料，并根据</w:t>
      </w:r>
      <w:r>
        <w:rPr>
          <w:rFonts w:hint="eastAsia"/>
          <w:b/>
          <w:bCs/>
          <w:u w:val="single"/>
        </w:rPr>
        <w:t xml:space="preserve">       </w:t>
      </w:r>
      <w:r>
        <w:rPr>
          <w:rFonts w:hint="eastAsia"/>
          <w:bCs/>
        </w:rPr>
        <w:t>项目</w:t>
      </w:r>
      <w:r>
        <w:rPr>
          <w:rFonts w:hint="eastAsia"/>
        </w:rPr>
        <w:t>需要，施工期间配备专业技术人员每月定期对现场进行跟踪勘察，监督井道施工并保证符合安装要求。若出现应整改的地方，我方将按照井道施工要求书面通知招标方及时进行整改。电梯设备安装完毕、通过广西特种设备监督检验院验收合格并交付发包人使用之日起计算质保期时间</w:t>
      </w:r>
      <w:r>
        <w:rPr>
          <w:rFonts w:hint="eastAsia"/>
          <w:u w:val="single"/>
        </w:rPr>
        <w:t xml:space="preserve"> </w:t>
      </w:r>
      <w:r>
        <w:rPr>
          <w:rFonts w:hint="eastAsia"/>
          <w:b/>
          <w:u w:val="single"/>
        </w:rPr>
        <w:t>24个月，</w:t>
      </w:r>
      <w:r>
        <w:rPr>
          <w:rFonts w:hint="eastAsia"/>
        </w:rPr>
        <w:t>电梯可以按批次移交。</w:t>
      </w:r>
    </w:p>
    <w:p w14:paraId="18AA7022">
      <w:pPr>
        <w:spacing w:line="440" w:lineRule="exact"/>
        <w:ind w:right="-285" w:rightChars="-136" w:firstLine="420"/>
      </w:pPr>
      <w:r>
        <w:rPr>
          <w:rFonts w:hint="eastAsia"/>
        </w:rPr>
        <w:t>现我方向贵方作出以下售后承诺：</w:t>
      </w:r>
    </w:p>
    <w:p w14:paraId="515E98A9">
      <w:pPr>
        <w:spacing w:line="440" w:lineRule="exact"/>
        <w:ind w:right="-285" w:rightChars="-136" w:firstLine="422"/>
        <w:rPr>
          <w:b/>
          <w:u w:val="single"/>
        </w:rPr>
      </w:pPr>
      <w:r>
        <w:rPr>
          <w:rFonts w:hint="eastAsia"/>
          <w:b/>
        </w:rPr>
        <w:t>全面负责电梯的机械安装、电气安装、调试、和验收工作，免费办理报装、报验手续，</w:t>
      </w:r>
      <w:r>
        <w:rPr>
          <w:rFonts w:hint="eastAsia"/>
        </w:rPr>
        <w:t>使其达到用户满意的状态。</w:t>
      </w:r>
      <w:r>
        <w:rPr>
          <w:rFonts w:hint="eastAsia"/>
          <w:b/>
        </w:rPr>
        <w:t>在电梯安装验收完毕后，</w:t>
      </w:r>
      <w:r>
        <w:rPr>
          <w:rFonts w:hint="eastAsia"/>
          <w:b/>
          <w:u w:val="single"/>
        </w:rPr>
        <w:t>公司实行24个月的免费质保期服务。具备24小时服务和承担所有维修服务的能力。故障响应时间在10分钟以内，在30分钟内赶赴现场进行处理，一般故障在2小时内处理好，特殊情况告知甲方相关负责人，电梯一般故障停机时间不超过24个小时；电梯困人时，5分钟内响应，在接到通知后30分钟内抵达现场。重大故障处理不超过24小时，并提供不间断的服务直到结束。</w:t>
      </w:r>
    </w:p>
    <w:p w14:paraId="0067BCC3">
      <w:pPr>
        <w:spacing w:line="440" w:lineRule="exact"/>
        <w:ind w:right="-285" w:rightChars="-136" w:firstLine="420"/>
        <w:rPr>
          <w:b/>
        </w:rPr>
      </w:pPr>
      <w:r>
        <w:rPr>
          <w:rFonts w:hint="eastAsia"/>
        </w:rPr>
        <w:t>维修网点常年备有电梯配件，能及时处理、更换损坏的零部件，并能按优惠价格向用户提供电梯的备品备件；在质保期过后，我司保证对所售电梯实行终身有偿维护，</w:t>
      </w:r>
      <w:r>
        <w:rPr>
          <w:rFonts w:hint="eastAsia"/>
          <w:b/>
          <w:u w:val="single"/>
        </w:rPr>
        <w:t>优惠措施：备品备件以出厂价格八折的优惠价格向客户提供</w:t>
      </w:r>
      <w:r>
        <w:rPr>
          <w:rFonts w:hint="eastAsia"/>
          <w:b/>
        </w:rPr>
        <w:t>。</w:t>
      </w:r>
    </w:p>
    <w:p w14:paraId="05747BB9">
      <w:pPr>
        <w:pStyle w:val="2"/>
      </w:pPr>
    </w:p>
    <w:p w14:paraId="61438833">
      <w:pPr>
        <w:spacing w:line="440" w:lineRule="exact"/>
        <w:ind w:right="-285" w:rightChars="-136" w:firstLine="422"/>
        <w:rPr>
          <w:b/>
        </w:rPr>
      </w:pPr>
      <w:r>
        <w:rPr>
          <w:rFonts w:hint="eastAsia"/>
          <w:b/>
        </w:rPr>
        <w:t>一、维保条件</w:t>
      </w:r>
    </w:p>
    <w:p w14:paraId="03F9DDC6">
      <w:pPr>
        <w:spacing w:line="440" w:lineRule="exact"/>
        <w:ind w:firstLine="411" w:firstLineChars="196"/>
        <w:rPr>
          <w:b/>
          <w:bCs/>
        </w:rPr>
      </w:pPr>
      <w:r>
        <w:rPr>
          <w:rFonts w:hint="eastAsia"/>
          <w:bCs/>
        </w:rPr>
        <w:t>1、具备特种设备安全监督管理部门核发的相应许可证。</w:t>
      </w:r>
    </w:p>
    <w:p w14:paraId="4825F1C5">
      <w:pPr>
        <w:spacing w:line="440" w:lineRule="exact"/>
        <w:ind w:firstLine="411" w:firstLineChars="196"/>
        <w:rPr>
          <w:bCs/>
        </w:rPr>
      </w:pPr>
      <w:r>
        <w:rPr>
          <w:rFonts w:hint="eastAsia"/>
          <w:bCs/>
        </w:rPr>
        <w:t>2、对每台电梯建立完整的安全技术档案：</w:t>
      </w:r>
    </w:p>
    <w:p w14:paraId="3FDB9347">
      <w:pPr>
        <w:spacing w:line="440" w:lineRule="exact"/>
        <w:ind w:firstLine="411" w:firstLineChars="196"/>
        <w:rPr>
          <w:bCs/>
        </w:rPr>
      </w:pPr>
      <w:r>
        <w:rPr>
          <w:rFonts w:hint="eastAsia"/>
          <w:bCs/>
        </w:rPr>
        <w:t>（1）产品合格证；</w:t>
      </w:r>
    </w:p>
    <w:p w14:paraId="7BC36144">
      <w:pPr>
        <w:spacing w:line="440" w:lineRule="exact"/>
        <w:ind w:firstLine="411" w:firstLineChars="196"/>
        <w:rPr>
          <w:bCs/>
        </w:rPr>
      </w:pPr>
      <w:r>
        <w:rPr>
          <w:rFonts w:hint="eastAsia"/>
          <w:bCs/>
        </w:rPr>
        <w:t>（2）使用维护说明书；</w:t>
      </w:r>
    </w:p>
    <w:p w14:paraId="76A9C6CA">
      <w:pPr>
        <w:spacing w:line="440" w:lineRule="exact"/>
        <w:ind w:firstLine="411" w:firstLineChars="196"/>
        <w:rPr>
          <w:bCs/>
        </w:rPr>
      </w:pPr>
      <w:r>
        <w:rPr>
          <w:rFonts w:hint="eastAsia"/>
          <w:bCs/>
        </w:rPr>
        <w:t>（3）电气原理图；</w:t>
      </w:r>
    </w:p>
    <w:p w14:paraId="665D2FD5">
      <w:pPr>
        <w:spacing w:line="440" w:lineRule="exact"/>
        <w:ind w:firstLine="411" w:firstLineChars="196"/>
        <w:rPr>
          <w:bCs/>
        </w:rPr>
      </w:pPr>
      <w:r>
        <w:rPr>
          <w:rFonts w:hint="eastAsia"/>
          <w:bCs/>
        </w:rPr>
        <w:t>（4）电气敷设图；</w:t>
      </w:r>
    </w:p>
    <w:p w14:paraId="6ADF5887">
      <w:pPr>
        <w:spacing w:line="440" w:lineRule="exact"/>
        <w:ind w:firstLine="411" w:firstLineChars="196"/>
        <w:rPr>
          <w:bCs/>
        </w:rPr>
      </w:pPr>
      <w:r>
        <w:rPr>
          <w:rFonts w:hint="eastAsia"/>
          <w:bCs/>
        </w:rPr>
        <w:t>（5）安装说明书；</w:t>
      </w:r>
    </w:p>
    <w:p w14:paraId="10CB9E89">
      <w:pPr>
        <w:spacing w:line="440" w:lineRule="exact"/>
        <w:ind w:firstLine="411" w:firstLineChars="196"/>
        <w:rPr>
          <w:bCs/>
        </w:rPr>
      </w:pPr>
      <w:r>
        <w:rPr>
          <w:rFonts w:hint="eastAsia"/>
          <w:bCs/>
        </w:rPr>
        <w:t>（6）电梯整机、安全部件和主要部件型式试验报告结论副本或结论；</w:t>
      </w:r>
    </w:p>
    <w:p w14:paraId="69283201">
      <w:pPr>
        <w:spacing w:line="440" w:lineRule="exact"/>
        <w:ind w:firstLine="411" w:firstLineChars="196"/>
        <w:rPr>
          <w:bCs/>
        </w:rPr>
      </w:pPr>
      <w:r>
        <w:rPr>
          <w:rFonts w:hint="eastAsia"/>
          <w:bCs/>
        </w:rPr>
        <w:t>（7）电梯运行的全部记录；</w:t>
      </w:r>
    </w:p>
    <w:p w14:paraId="6744EC46">
      <w:pPr>
        <w:spacing w:line="440" w:lineRule="exact"/>
        <w:ind w:firstLine="411" w:firstLineChars="196"/>
        <w:rPr>
          <w:bCs/>
        </w:rPr>
      </w:pPr>
      <w:r>
        <w:rPr>
          <w:rFonts w:hint="eastAsia"/>
          <w:bCs/>
        </w:rPr>
        <w:t>（8）故障及事故记录；</w:t>
      </w:r>
    </w:p>
    <w:p w14:paraId="67DFE2E3">
      <w:pPr>
        <w:spacing w:line="440" w:lineRule="exact"/>
        <w:ind w:firstLine="411" w:firstLineChars="196"/>
        <w:rPr>
          <w:bCs/>
        </w:rPr>
      </w:pPr>
      <w:r>
        <w:rPr>
          <w:rFonts w:hint="eastAsia"/>
          <w:bCs/>
        </w:rPr>
        <w:t>（9）改造、重大维修原始记录；</w:t>
      </w:r>
    </w:p>
    <w:p w14:paraId="4C2A939B">
      <w:pPr>
        <w:spacing w:line="440" w:lineRule="exact"/>
        <w:ind w:firstLine="411" w:firstLineChars="196"/>
        <w:rPr>
          <w:bCs/>
        </w:rPr>
      </w:pPr>
      <w:r>
        <w:rPr>
          <w:rFonts w:hint="eastAsia"/>
          <w:bCs/>
        </w:rPr>
        <w:t>（10）桂林市特种设备登记卡；</w:t>
      </w:r>
    </w:p>
    <w:p w14:paraId="7D65D6D7">
      <w:pPr>
        <w:spacing w:line="440" w:lineRule="exact"/>
        <w:ind w:firstLine="411" w:firstLineChars="196"/>
        <w:rPr>
          <w:bCs/>
        </w:rPr>
      </w:pPr>
      <w:r>
        <w:rPr>
          <w:rFonts w:hint="eastAsia"/>
          <w:bCs/>
        </w:rPr>
        <w:t>（11）电梯施工自检记录；</w:t>
      </w:r>
    </w:p>
    <w:p w14:paraId="2BC0B476">
      <w:pPr>
        <w:spacing w:line="440" w:lineRule="exact"/>
        <w:ind w:firstLine="411" w:firstLineChars="196"/>
        <w:rPr>
          <w:bCs/>
        </w:rPr>
      </w:pPr>
      <w:r>
        <w:rPr>
          <w:rFonts w:hint="eastAsia"/>
          <w:bCs/>
        </w:rPr>
        <w:t>（12）每年度的检验报告。</w:t>
      </w:r>
    </w:p>
    <w:p w14:paraId="2D3E0368">
      <w:pPr>
        <w:spacing w:line="440" w:lineRule="exact"/>
        <w:ind w:firstLine="516" w:firstLineChars="246"/>
        <w:rPr>
          <w:bCs/>
        </w:rPr>
      </w:pPr>
      <w:r>
        <w:rPr>
          <w:rFonts w:hint="eastAsia"/>
          <w:bCs/>
        </w:rPr>
        <w:t>3、建立电梯安全运行管理制度，保证电梯的用电、消防、防雷、通风、通道、电话通讯、监控摄像和报警装置等系统安全可靠，并保证机房、井道、底坑无漏水、渗水现象，通往机房、底坑、滑轮间、井道安全门的通道畅通、照明充分。</w:t>
      </w:r>
    </w:p>
    <w:p w14:paraId="2A78DC86">
      <w:pPr>
        <w:spacing w:line="440" w:lineRule="exact"/>
        <w:ind w:firstLine="516" w:firstLineChars="246"/>
        <w:rPr>
          <w:bCs/>
        </w:rPr>
      </w:pPr>
      <w:r>
        <w:rPr>
          <w:rFonts w:hint="eastAsia"/>
          <w:bCs/>
        </w:rPr>
        <w:t>4、制定电梯事故应急防范措施和救援预案并定期进行演练。</w:t>
      </w:r>
    </w:p>
    <w:p w14:paraId="50510C24">
      <w:pPr>
        <w:spacing w:line="440" w:lineRule="exact"/>
        <w:ind w:firstLine="516" w:firstLineChars="246"/>
        <w:rPr>
          <w:bCs/>
        </w:rPr>
      </w:pPr>
      <w:r>
        <w:rPr>
          <w:rFonts w:hint="eastAsia"/>
          <w:bCs/>
        </w:rPr>
        <w:t>5、每年在电梯安全检验合格有效期届满前2个月，协助甲方向电梯检验检测机构提出定期检验申请。</w:t>
      </w:r>
    </w:p>
    <w:p w14:paraId="1C288758">
      <w:pPr>
        <w:spacing w:line="440" w:lineRule="exact"/>
        <w:ind w:firstLine="525" w:firstLineChars="250"/>
      </w:pPr>
      <w:r>
        <w:rPr>
          <w:rFonts w:hint="eastAsia"/>
          <w:bCs/>
        </w:rPr>
        <w:t>6、</w:t>
      </w:r>
      <w:r>
        <w:rPr>
          <w:rFonts w:hint="eastAsia"/>
        </w:rPr>
        <w:t>安排专业人员进行跟踪维护保养，现场作业人员不少于两人，且作业人员取得相应的《特种设备作业人员证》。驻场人员严格遵守甲方的有关管理规章制度。</w:t>
      </w:r>
    </w:p>
    <w:p w14:paraId="78DD3627">
      <w:pPr>
        <w:spacing w:line="440" w:lineRule="exact"/>
        <w:ind w:firstLine="525" w:firstLineChars="250"/>
      </w:pPr>
      <w:r>
        <w:rPr>
          <w:rFonts w:hint="eastAsia"/>
        </w:rPr>
        <w:t>7、向贵方提出合理化建议并每月向贵方书面报告所维修保养电梯的运行情况、零部件使用情况、易损件的更换情况及电梯更换修理需求。</w:t>
      </w:r>
    </w:p>
    <w:p w14:paraId="3DBD8629">
      <w:pPr>
        <w:spacing w:line="440" w:lineRule="exact"/>
        <w:ind w:firstLine="525" w:firstLineChars="250"/>
      </w:pPr>
      <w:r>
        <w:rPr>
          <w:rFonts w:hint="eastAsia"/>
        </w:rPr>
        <w:t>8、建立回访制度（包括工作人员服务态度、维修质量、是否按照规定实施维护保养等）。</w:t>
      </w:r>
    </w:p>
    <w:p w14:paraId="4BD5CF6E">
      <w:pPr>
        <w:spacing w:line="440" w:lineRule="exact"/>
        <w:ind w:firstLine="525" w:firstLineChars="250"/>
      </w:pPr>
      <w:r>
        <w:rPr>
          <w:rFonts w:hint="eastAsia"/>
        </w:rPr>
        <w:t>9、妥善保管电梯图纸及相关资料。</w:t>
      </w:r>
    </w:p>
    <w:p w14:paraId="38158F6C">
      <w:pPr>
        <w:spacing w:line="440" w:lineRule="exact"/>
        <w:ind w:firstLine="420"/>
        <w:rPr>
          <w:b/>
          <w:bCs/>
        </w:rPr>
      </w:pPr>
      <w:r>
        <w:rPr>
          <w:rFonts w:hint="eastAsia"/>
        </w:rPr>
        <w:t>10、不以任何形式锁定贵方电梯的密码。</w:t>
      </w:r>
    </w:p>
    <w:p w14:paraId="76009A20">
      <w:pPr>
        <w:spacing w:line="440" w:lineRule="exact"/>
        <w:ind w:firstLine="413" w:firstLineChars="197"/>
        <w:rPr>
          <w:b/>
          <w:bCs/>
        </w:rPr>
      </w:pPr>
      <w:r>
        <w:rPr>
          <w:rFonts w:hint="eastAsia"/>
          <w:b/>
          <w:bCs/>
        </w:rPr>
        <w:t>二、维保内容</w:t>
      </w:r>
    </w:p>
    <w:p w14:paraId="233B5A1A">
      <w:pPr>
        <w:spacing w:line="440" w:lineRule="exact"/>
        <w:ind w:firstLine="420"/>
      </w:pPr>
      <w:r>
        <w:rPr>
          <w:rFonts w:hint="eastAsia"/>
        </w:rPr>
        <w:t>1、严格按照规定的内容实施服务，并根据“电梯保养年度作业计划表”所列的项目和周期进行检查、调整、润滑和清洁等保养工作。负责制定年度、季度、月度维保计划，经贵方确认后实施。我方维护保养专业人员，在最初三个月内，每星期至少一次，之后</w:t>
      </w:r>
      <w:r>
        <w:rPr>
          <w:rFonts w:hint="eastAsia"/>
          <w:b/>
        </w:rPr>
        <w:t>每十五天按国家行业标准对电梯进行</w:t>
      </w:r>
      <w:r>
        <w:rPr>
          <w:rFonts w:hint="eastAsia"/>
          <w:b/>
          <w:u w:val="single"/>
        </w:rPr>
        <w:t xml:space="preserve"> 壹 </w:t>
      </w:r>
      <w:r>
        <w:rPr>
          <w:rFonts w:hint="eastAsia"/>
          <w:b/>
        </w:rPr>
        <w:t>次计划性维护保养（常规检查、清洁、调整和润滑），</w:t>
      </w:r>
      <w:r>
        <w:rPr>
          <w:rFonts w:hint="eastAsia"/>
        </w:rPr>
        <w:t>保障设备整机及零部件正常运行，对所维护保养电梯符合国家标准的安全运行负责。另外，每月底向贵方书面报告一次所保养设备的运行情况、零部件使用情况、易损件更换情况，并做好记录。</w:t>
      </w:r>
    </w:p>
    <w:p w14:paraId="51250C86">
      <w:pPr>
        <w:spacing w:line="440" w:lineRule="exact"/>
        <w:ind w:firstLine="420"/>
      </w:pPr>
      <w:r>
        <w:rPr>
          <w:rFonts w:hint="eastAsia"/>
        </w:rPr>
        <w:t>2、</w:t>
      </w:r>
      <w:r>
        <w:rPr>
          <w:rFonts w:hint="eastAsia"/>
          <w:b/>
        </w:rPr>
        <w:t>实施24小时紧急抢修</w:t>
      </w:r>
      <w:r>
        <w:rPr>
          <w:rFonts w:hint="eastAsia"/>
        </w:rPr>
        <w:t>，如电梯故障维修超过三天,免该台电梯维保费一个月,如电梯故障维修超过七天,则免该台电梯维保费一年。重大节假日为客户提供额外的现场值班服务。</w:t>
      </w:r>
    </w:p>
    <w:p w14:paraId="2E97DB6E">
      <w:pPr>
        <w:spacing w:line="440" w:lineRule="exact"/>
        <w:ind w:firstLine="411" w:firstLineChars="196"/>
      </w:pPr>
      <w:r>
        <w:rPr>
          <w:rFonts w:hint="eastAsia"/>
        </w:rPr>
        <w:t>3、每次保养到贵方物业服务中心签到，贵方安排相关人员参与维护，双方须在维护保养记录上签字认可。</w:t>
      </w:r>
    </w:p>
    <w:p w14:paraId="4554D27A">
      <w:pPr>
        <w:spacing w:line="440" w:lineRule="exact"/>
        <w:ind w:firstLine="420"/>
      </w:pPr>
      <w:r>
        <w:rPr>
          <w:rFonts w:hint="eastAsia"/>
        </w:rPr>
        <w:t>4、我方为每台电梯的保养建立详细的维护档案，并定期向贵方提供电梯运行的各种数据报告。</w:t>
      </w:r>
    </w:p>
    <w:p w14:paraId="5B0B6B3B">
      <w:pPr>
        <w:spacing w:line="440" w:lineRule="exact"/>
        <w:ind w:firstLine="411" w:firstLineChars="196"/>
      </w:pPr>
      <w:r>
        <w:rPr>
          <w:rFonts w:hint="eastAsia"/>
        </w:rPr>
        <w:t>5、我方将配合政府主管部门对服务期内的设备实施年检，并对因保养不当而产生的整改项目进行免费整改，若因我方维保不合格导致电梯复检，复检费由我方承担。</w:t>
      </w:r>
    </w:p>
    <w:p w14:paraId="2576760B">
      <w:pPr>
        <w:spacing w:line="440" w:lineRule="exact"/>
        <w:ind w:firstLine="420"/>
      </w:pPr>
      <w:r>
        <w:rPr>
          <w:rFonts w:hint="eastAsia"/>
        </w:rPr>
        <w:t>6、当发现或发生非保养责任事故时，我们及时书面通知贵方整改。当事故严重影响设备安全运行时，将及时通知贵方停止使用该设备.</w:t>
      </w:r>
    </w:p>
    <w:p w14:paraId="30983285">
      <w:pPr>
        <w:spacing w:line="440" w:lineRule="exact"/>
        <w:ind w:firstLine="420"/>
      </w:pPr>
      <w:r>
        <w:rPr>
          <w:rFonts w:hint="eastAsia"/>
        </w:rPr>
        <w:t>7、指导贵方正确操作及安全使用设备，并负责</w:t>
      </w:r>
      <w:r>
        <w:rPr>
          <w:rFonts w:hint="eastAsia"/>
          <w:b/>
        </w:rPr>
        <w:t>免费培训贵方电梯管理和维修保养人员2-3名</w:t>
      </w:r>
      <w:r>
        <w:rPr>
          <w:rFonts w:hint="eastAsia"/>
        </w:rPr>
        <w:t>。</w:t>
      </w:r>
    </w:p>
    <w:p w14:paraId="3CB9288A">
      <w:pPr>
        <w:spacing w:line="440" w:lineRule="exact"/>
        <w:ind w:firstLine="420"/>
      </w:pPr>
      <w:r>
        <w:rPr>
          <w:rFonts w:hint="eastAsia"/>
        </w:rPr>
        <w:t>8、我方在进行电梯维修和保养时，在现场设置安全警示标志。</w:t>
      </w:r>
    </w:p>
    <w:p w14:paraId="3388BED0">
      <w:pPr>
        <w:spacing w:line="440" w:lineRule="exact"/>
        <w:ind w:firstLine="411" w:firstLineChars="196"/>
      </w:pPr>
      <w:r>
        <w:rPr>
          <w:rFonts w:hint="eastAsia"/>
        </w:rPr>
        <w:t>9、如电梯零配件损坏，我方尽快用自备零配件先行维修。更换零配件为本型号电梯的原装配件，并事先书面通知贵方确认同意，我方以出厂价的优惠价格提供电梯配件，并送货上门。免收更换零配件手续费。</w:t>
      </w:r>
    </w:p>
    <w:p w14:paraId="5617C880">
      <w:pPr>
        <w:pStyle w:val="10"/>
        <w:spacing w:line="440" w:lineRule="exact"/>
        <w:ind w:left="440" w:leftChars="0"/>
        <w:rPr>
          <w:rFonts w:hint="eastAsia" w:hAnsi="宋体" w:cs="宋体"/>
        </w:rPr>
      </w:pPr>
      <w:r>
        <w:rPr>
          <w:rFonts w:hAnsi="宋体" w:cs="宋体"/>
        </w:rPr>
        <w:t>10</w:t>
      </w:r>
      <w:r>
        <w:rPr>
          <w:rFonts w:hint="eastAsia" w:hAnsi="宋体" w:cs="宋体"/>
        </w:rPr>
        <w:t>、负责电梯机房的清洁工作，负责按国家环境管理体系要求处理电梯在维护保养过程中产生的</w:t>
      </w:r>
    </w:p>
    <w:p w14:paraId="4CBE9CAF">
      <w:pPr>
        <w:pStyle w:val="10"/>
        <w:spacing w:line="440" w:lineRule="exact"/>
        <w:ind w:left="0" w:leftChars="0"/>
        <w:rPr>
          <w:rFonts w:hint="eastAsia" w:hAnsi="宋体" w:cs="宋体"/>
        </w:rPr>
      </w:pPr>
      <w:r>
        <w:rPr>
          <w:rFonts w:hint="eastAsia" w:hAnsi="宋体" w:cs="宋体"/>
        </w:rPr>
        <w:t>固体废弃物。</w:t>
      </w:r>
    </w:p>
    <w:p w14:paraId="25C28A45">
      <w:pPr>
        <w:spacing w:line="440" w:lineRule="exact"/>
        <w:rPr>
          <w:rFonts w:hint="eastAsia" w:hAnsi="宋体" w:cs="宋体"/>
        </w:rPr>
      </w:pPr>
    </w:p>
    <w:p w14:paraId="763F1F2F">
      <w:pPr>
        <w:spacing w:line="440" w:lineRule="exact"/>
      </w:pPr>
    </w:p>
    <w:p w14:paraId="12868C11">
      <w:pPr>
        <w:spacing w:line="440" w:lineRule="exact"/>
      </w:pPr>
    </w:p>
    <w:p w14:paraId="2110CF24">
      <w:pPr>
        <w:tabs>
          <w:tab w:val="left" w:pos="1800"/>
        </w:tabs>
        <w:spacing w:line="440" w:lineRule="exact"/>
        <w:ind w:firstLine="4200" w:firstLineChars="2000"/>
        <w:rPr>
          <w:bCs/>
          <w:u w:val="single"/>
        </w:rPr>
      </w:pPr>
      <w:r>
        <w:rPr>
          <w:rFonts w:hint="eastAsia"/>
          <w:bCs/>
        </w:rPr>
        <w:t>竞标人名称:</w:t>
      </w:r>
      <w:r>
        <w:rPr>
          <w:rFonts w:hint="eastAsia"/>
          <w:bCs/>
          <w:u w:val="single"/>
        </w:rPr>
        <w:t xml:space="preserve">                        </w:t>
      </w:r>
    </w:p>
    <w:p w14:paraId="24CD7761">
      <w:pPr>
        <w:tabs>
          <w:tab w:val="left" w:pos="1800"/>
        </w:tabs>
        <w:spacing w:line="440" w:lineRule="exact"/>
        <w:ind w:firstLine="420" w:firstLineChars="200"/>
        <w:jc w:val="right"/>
        <w:rPr>
          <w:bCs/>
        </w:rPr>
      </w:pPr>
    </w:p>
    <w:p w14:paraId="5B5E52F7">
      <w:pPr>
        <w:tabs>
          <w:tab w:val="left" w:pos="1800"/>
        </w:tabs>
        <w:wordWrap w:val="0"/>
        <w:spacing w:line="440" w:lineRule="exact"/>
        <w:ind w:firstLine="4200" w:firstLineChars="2000"/>
        <w:rPr>
          <w:bCs/>
          <w:u w:val="single"/>
        </w:rPr>
      </w:pPr>
      <w:r>
        <w:rPr>
          <w:rFonts w:hint="eastAsia"/>
          <w:bCs/>
        </w:rPr>
        <w:t>法人代表或授权代表（签字）：</w:t>
      </w:r>
      <w:r>
        <w:rPr>
          <w:rFonts w:hint="eastAsia"/>
          <w:bCs/>
          <w:u w:val="single"/>
        </w:rPr>
        <w:t xml:space="preserve">                    </w:t>
      </w:r>
    </w:p>
    <w:p w14:paraId="629C323C">
      <w:pPr>
        <w:tabs>
          <w:tab w:val="left" w:pos="1800"/>
        </w:tabs>
        <w:spacing w:line="440" w:lineRule="exact"/>
        <w:ind w:firstLine="420" w:firstLineChars="200"/>
        <w:jc w:val="right"/>
        <w:rPr>
          <w:bCs/>
          <w:u w:val="single"/>
        </w:rPr>
      </w:pPr>
    </w:p>
    <w:p w14:paraId="647BB8C3">
      <w:pPr>
        <w:tabs>
          <w:tab w:val="left" w:pos="1800"/>
        </w:tabs>
        <w:spacing w:line="440" w:lineRule="exact"/>
        <w:ind w:firstLine="4200" w:firstLineChars="2000"/>
        <w:rPr>
          <w:rFonts w:hint="eastAsia" w:ascii="宋体" w:hAnsi="宋体" w:cs="宋体"/>
          <w:szCs w:val="21"/>
        </w:rPr>
      </w:pPr>
      <w:r>
        <w:rPr>
          <w:rFonts w:hint="eastAsia"/>
          <w:bCs/>
        </w:rPr>
        <w:t>日期：</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14:paraId="2580247E">
      <w:pPr>
        <w:spacing w:line="440" w:lineRule="atLeast"/>
        <w:jc w:val="center"/>
        <w:rPr>
          <w:rFonts w:hint="eastAsia" w:ascii="宋体" w:hAnsi="宋体" w:cs="宋体"/>
          <w:b/>
          <w:sz w:val="32"/>
          <w:szCs w:val="32"/>
        </w:rPr>
      </w:pPr>
    </w:p>
    <w:p w14:paraId="62A034EE">
      <w:pPr>
        <w:spacing w:line="440" w:lineRule="atLeast"/>
        <w:jc w:val="center"/>
        <w:rPr>
          <w:rFonts w:hint="eastAsia" w:ascii="宋体" w:hAnsi="宋体" w:cs="宋体"/>
          <w:b/>
          <w:sz w:val="32"/>
          <w:szCs w:val="32"/>
        </w:rPr>
      </w:pPr>
    </w:p>
    <w:p w14:paraId="45B0DB6E">
      <w:pPr>
        <w:spacing w:line="440" w:lineRule="atLeast"/>
        <w:jc w:val="center"/>
        <w:rPr>
          <w:rFonts w:hint="eastAsia" w:ascii="宋体" w:hAnsi="宋体" w:cs="宋体"/>
          <w:b/>
          <w:sz w:val="32"/>
          <w:szCs w:val="32"/>
        </w:rPr>
      </w:pPr>
    </w:p>
    <w:p w14:paraId="6B9BE5FB"/>
    <w:sectPr>
      <w:footerReference r:id="rId7" w:type="default"/>
      <w:pgSz w:w="11906" w:h="16838"/>
      <w:pgMar w:top="1134" w:right="1077" w:bottom="1134" w:left="1077" w:header="720" w:footer="720" w:gutter="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7149">
    <w:pPr>
      <w:pStyle w:val="11"/>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3FE496C">
                <w:pPr>
                  <w:pStyle w:val="11"/>
                  <w:rPr>
                    <w:rStyle w:val="16"/>
                  </w:rPr>
                </w:pPr>
                <w:r>
                  <w:fldChar w:fldCharType="begin"/>
                </w:r>
                <w:r>
                  <w:rPr>
                    <w:rStyle w:val="16"/>
                  </w:rPr>
                  <w:instrText xml:space="preserve">PAGE  </w:instrText>
                </w:r>
                <w:r>
                  <w:fldChar w:fldCharType="separate"/>
                </w:r>
                <w:r>
                  <w:rPr>
                    <w:rStyle w:val="16"/>
                  </w:rP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8B28">
    <w:pPr>
      <w:pStyle w:val="11"/>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3FE3D7E">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EE4ED">
    <w:pPr>
      <w:pStyle w:val="11"/>
      <w:ind w:right="360"/>
      <w:jc w:val="center"/>
    </w:pPr>
    <w: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57559E4C">
                <w:pPr>
                  <w:pStyle w:val="11"/>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5537F">
    <w:pPr>
      <w:pStyle w:val="11"/>
    </w:pPr>
    <w: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91B59BD">
                <w:pPr>
                  <w:pStyle w:val="11"/>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5CA7">
    <w:pPr>
      <w:pStyle w:val="11"/>
      <w:jc w:val="center"/>
    </w:pPr>
    <w:r>
      <w:pict>
        <v:shape id="_x0000_s3077" o:spid="_x0000_s307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36FB1A5D">
                <w:pPr>
                  <w:pStyle w:val="11"/>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D56EC"/>
    <w:multiLevelType w:val="singleLevel"/>
    <w:tmpl w:val="2D6D56EC"/>
    <w:lvl w:ilvl="0" w:tentative="0">
      <w:start w:val="1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n">
    <w15:presenceInfo w15:providerId="None" w15:userId="joh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mZGRhMzhiN2Q1ZTgwYzU5MGM3OTYxZGZmZGNjMzAifQ=="/>
  </w:docVars>
  <w:rsids>
    <w:rsidRoot w:val="00F758B5"/>
    <w:rsid w:val="0001566B"/>
    <w:rsid w:val="0003082D"/>
    <w:rsid w:val="00036743"/>
    <w:rsid w:val="00062635"/>
    <w:rsid w:val="00095B88"/>
    <w:rsid w:val="00097EC9"/>
    <w:rsid w:val="000A45B6"/>
    <w:rsid w:val="000E5590"/>
    <w:rsid w:val="00111411"/>
    <w:rsid w:val="0015137D"/>
    <w:rsid w:val="00163D0E"/>
    <w:rsid w:val="00165CF6"/>
    <w:rsid w:val="001A6FB2"/>
    <w:rsid w:val="001B0E98"/>
    <w:rsid w:val="0024633D"/>
    <w:rsid w:val="002677C7"/>
    <w:rsid w:val="00291DBC"/>
    <w:rsid w:val="002C620F"/>
    <w:rsid w:val="002D3773"/>
    <w:rsid w:val="002E623C"/>
    <w:rsid w:val="002F2B2A"/>
    <w:rsid w:val="00332DF1"/>
    <w:rsid w:val="00351F4C"/>
    <w:rsid w:val="00364407"/>
    <w:rsid w:val="00367F53"/>
    <w:rsid w:val="00384AD9"/>
    <w:rsid w:val="003D5078"/>
    <w:rsid w:val="003F60D4"/>
    <w:rsid w:val="00423DB4"/>
    <w:rsid w:val="00425AF7"/>
    <w:rsid w:val="00467898"/>
    <w:rsid w:val="004E4666"/>
    <w:rsid w:val="005364C7"/>
    <w:rsid w:val="00552194"/>
    <w:rsid w:val="005634CF"/>
    <w:rsid w:val="0057737C"/>
    <w:rsid w:val="0058689A"/>
    <w:rsid w:val="005A7B4F"/>
    <w:rsid w:val="005C6E1E"/>
    <w:rsid w:val="005D4BE8"/>
    <w:rsid w:val="005D7FF6"/>
    <w:rsid w:val="005E7653"/>
    <w:rsid w:val="00660CE6"/>
    <w:rsid w:val="006B4552"/>
    <w:rsid w:val="006D2571"/>
    <w:rsid w:val="0070079F"/>
    <w:rsid w:val="007104D1"/>
    <w:rsid w:val="0072701C"/>
    <w:rsid w:val="0073544C"/>
    <w:rsid w:val="007466BD"/>
    <w:rsid w:val="0075720D"/>
    <w:rsid w:val="007B1F5A"/>
    <w:rsid w:val="00807522"/>
    <w:rsid w:val="00814F82"/>
    <w:rsid w:val="00827075"/>
    <w:rsid w:val="00872D13"/>
    <w:rsid w:val="00893E76"/>
    <w:rsid w:val="008B6A18"/>
    <w:rsid w:val="008E4E32"/>
    <w:rsid w:val="008F0540"/>
    <w:rsid w:val="008F1498"/>
    <w:rsid w:val="008F5DDB"/>
    <w:rsid w:val="00903FC0"/>
    <w:rsid w:val="00936F57"/>
    <w:rsid w:val="00A34C02"/>
    <w:rsid w:val="00A42016"/>
    <w:rsid w:val="00A52BA1"/>
    <w:rsid w:val="00AA0174"/>
    <w:rsid w:val="00AB3391"/>
    <w:rsid w:val="00AD26FD"/>
    <w:rsid w:val="00AD2908"/>
    <w:rsid w:val="00AF7BDD"/>
    <w:rsid w:val="00B22BC8"/>
    <w:rsid w:val="00B4258E"/>
    <w:rsid w:val="00B50AFF"/>
    <w:rsid w:val="00B5329A"/>
    <w:rsid w:val="00B612F2"/>
    <w:rsid w:val="00B74664"/>
    <w:rsid w:val="00B7607D"/>
    <w:rsid w:val="00B84971"/>
    <w:rsid w:val="00BA1F6D"/>
    <w:rsid w:val="00BD2B55"/>
    <w:rsid w:val="00BF7923"/>
    <w:rsid w:val="00C5407F"/>
    <w:rsid w:val="00C9221C"/>
    <w:rsid w:val="00C93733"/>
    <w:rsid w:val="00CB4CC4"/>
    <w:rsid w:val="00CD14EE"/>
    <w:rsid w:val="00D7539B"/>
    <w:rsid w:val="00D769E0"/>
    <w:rsid w:val="00D977D6"/>
    <w:rsid w:val="00DD710B"/>
    <w:rsid w:val="00E005F8"/>
    <w:rsid w:val="00E1169E"/>
    <w:rsid w:val="00E30057"/>
    <w:rsid w:val="00E5657D"/>
    <w:rsid w:val="00E72DDB"/>
    <w:rsid w:val="00E94C1C"/>
    <w:rsid w:val="00EE0471"/>
    <w:rsid w:val="00EF3E4A"/>
    <w:rsid w:val="00F01307"/>
    <w:rsid w:val="00F17E36"/>
    <w:rsid w:val="00F310D6"/>
    <w:rsid w:val="00F758B5"/>
    <w:rsid w:val="00FE7D83"/>
    <w:rsid w:val="057325A5"/>
    <w:rsid w:val="0B050FC7"/>
    <w:rsid w:val="0BFD26C7"/>
    <w:rsid w:val="0EB61AAE"/>
    <w:rsid w:val="0F511FDF"/>
    <w:rsid w:val="1A7E1765"/>
    <w:rsid w:val="1C796E76"/>
    <w:rsid w:val="20E85B8D"/>
    <w:rsid w:val="233E569E"/>
    <w:rsid w:val="28FC1FFC"/>
    <w:rsid w:val="422B58DD"/>
    <w:rsid w:val="44735234"/>
    <w:rsid w:val="46221F7E"/>
    <w:rsid w:val="46350CCD"/>
    <w:rsid w:val="48D85630"/>
    <w:rsid w:val="570C5CDB"/>
    <w:rsid w:val="583D57DC"/>
    <w:rsid w:val="5D220E6A"/>
    <w:rsid w:val="61790F8D"/>
    <w:rsid w:val="716F06AA"/>
    <w:rsid w:val="72E76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index 8"/>
    <w:basedOn w:val="1"/>
    <w:next w:val="1"/>
    <w:qFormat/>
    <w:uiPriority w:val="0"/>
    <w:pPr>
      <w:ind w:left="2940"/>
    </w:pPr>
  </w:style>
  <w:style w:type="paragraph" w:styleId="7">
    <w:name w:val="annotation text"/>
    <w:basedOn w:val="1"/>
    <w:semiHidden/>
    <w:qFormat/>
    <w:uiPriority w:val="0"/>
    <w:pPr>
      <w:jc w:val="left"/>
    </w:pPr>
  </w:style>
  <w:style w:type="paragraph" w:styleId="8">
    <w:name w:val="Body Text Indent"/>
    <w:basedOn w:val="1"/>
    <w:qFormat/>
    <w:uiPriority w:val="0"/>
    <w:pPr>
      <w:spacing w:after="120"/>
      <w:ind w:left="420" w:leftChars="200"/>
    </w:pPr>
  </w:style>
  <w:style w:type="paragraph" w:styleId="9">
    <w:name w:val="Plain Text"/>
    <w:basedOn w:val="1"/>
    <w:next w:val="6"/>
    <w:qFormat/>
    <w:uiPriority w:val="99"/>
    <w:rPr>
      <w:rFonts w:ascii="宋体" w:hAnsi="Courier New"/>
      <w:szCs w:val="20"/>
    </w:rPr>
  </w:style>
  <w:style w:type="paragraph" w:styleId="10">
    <w:name w:val="Body Text Indent 2"/>
    <w:basedOn w:val="1"/>
    <w:unhideWhenUsed/>
    <w:qFormat/>
    <w:uiPriority w:val="99"/>
    <w:pPr>
      <w:autoSpaceDE w:val="0"/>
      <w:autoSpaceDN w:val="0"/>
      <w:spacing w:after="120" w:line="480" w:lineRule="auto"/>
      <w:ind w:left="420" w:leftChars="200"/>
      <w:jc w:val="left"/>
    </w:pPr>
    <w:rPr>
      <w:kern w:val="0"/>
      <w:sz w:val="22"/>
      <w:szCs w:val="22"/>
      <w:lang w:val="zh-CN"/>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qFormat/>
    <w:uiPriority w:val="0"/>
    <w:pPr>
      <w:ind w:firstLine="420" w:firstLineChars="200"/>
    </w:pPr>
  </w:style>
  <w:style w:type="character" w:styleId="16">
    <w:name w:val="page number"/>
    <w:qFormat/>
    <w:uiPriority w:val="0"/>
  </w:style>
  <w:style w:type="character" w:customStyle="1" w:styleId="17">
    <w:name w:val="页眉 字符"/>
    <w:basedOn w:val="15"/>
    <w:link w:val="12"/>
    <w:qFormat/>
    <w:uiPriority w:val="99"/>
    <w:rPr>
      <w:rFonts w:ascii="Times New Roman" w:hAnsi="Times New Roman" w:eastAsia="宋体" w:cs="Times New Roman"/>
      <w:sz w:val="18"/>
      <w:szCs w:val="18"/>
    </w:rPr>
  </w:style>
  <w:style w:type="character" w:customStyle="1" w:styleId="18">
    <w:name w:val="页脚 字符"/>
    <w:basedOn w:val="15"/>
    <w:link w:val="11"/>
    <w:qFormat/>
    <w:uiPriority w:val="99"/>
    <w:rPr>
      <w:rFonts w:ascii="Times New Roman" w:hAnsi="Times New Roman" w:eastAsia="宋体" w:cs="Times New Roman"/>
      <w:sz w:val="18"/>
      <w:szCs w:val="18"/>
    </w:rPr>
  </w:style>
  <w:style w:type="paragraph" w:customStyle="1" w:styleId="19">
    <w:name w:val="cjk"/>
    <w:basedOn w:val="1"/>
    <w:qFormat/>
    <w:uiPriority w:val="99"/>
    <w:pPr>
      <w:widowControl/>
      <w:autoSpaceDE w:val="0"/>
      <w:autoSpaceDN w:val="0"/>
      <w:spacing w:beforeAutospacing="1"/>
      <w:jc w:val="left"/>
    </w:pPr>
    <w:rPr>
      <w:rFonts w:ascii="宋体" w:hAnsi="宋体" w:cs="宋体"/>
      <w:color w:val="000000"/>
      <w:kern w:val="0"/>
      <w:sz w:val="20"/>
      <w:szCs w:val="20"/>
      <w:lang w:val="zh-CN"/>
    </w:rPr>
  </w:style>
  <w:style w:type="paragraph" w:customStyle="1" w:styleId="20">
    <w:name w:val="列出段落1"/>
    <w:basedOn w:val="1"/>
    <w:qFormat/>
    <w:uiPriority w:val="0"/>
    <w:pPr>
      <w:ind w:firstLine="420" w:firstLineChars="200"/>
    </w:pPr>
  </w:style>
  <w:style w:type="paragraph" w:customStyle="1" w:styleId="21">
    <w:name w:val="case3"/>
    <w:basedOn w:val="1"/>
    <w:qFormat/>
    <w:uiPriority w:val="0"/>
    <w:pPr>
      <w:widowControl/>
      <w:spacing w:before="100" w:beforeAutospacing="1" w:after="100" w:afterAutospacing="1" w:line="390" w:lineRule="atLeast"/>
      <w:jc w:val="left"/>
    </w:pPr>
    <w:rPr>
      <w:rFonts w:ascii="_x000B__x000C_" w:hAnsi="_x000B__x000C_" w:eastAsia="Arial Unicode MS" w:cs="Arial Unicode MS"/>
      <w:color w:val="000000"/>
      <w:kern w:val="0"/>
      <w:szCs w:val="21"/>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Info spid="_x0000_s3076"/>
    <customShpInfo spid="_x0000_s3075"/>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9609</Words>
  <Characters>9755</Characters>
  <Lines>76</Lines>
  <Paragraphs>21</Paragraphs>
  <TotalTime>21</TotalTime>
  <ScaleCrop>false</ScaleCrop>
  <LinksUpToDate>false</LinksUpToDate>
  <CharactersWithSpaces>10365</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2019-09-27T02:51:00Z</dcterms:created>
  <dc:creator>唐富顺</dc:creator>
  <cp:lastModifiedBy>john</cp:lastModifiedBy>
  <cp:lastPrinted>2019-11-19T01:55:00Z</cp:lastPrinted>
  <dcterms:modified xsi:type="dcterms:W3CDTF">2025-03-10T07:53:13Z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82F53090B0D643F7AFDB63724B02CF8C_12</vt:lpwstr>
  </property>
</Properties>
</file>