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_GB2312" w:cs="仿宋"/>
        </w:rPr>
      </w:pPr>
      <w:r>
        <w:rPr>
          <w:rFonts w:hint="eastAsia" w:ascii="仿宋_GB2312" w:hAnsi="宋体" w:eastAsia="仿宋_GB2312"/>
          <w:b/>
          <w:sz w:val="32"/>
          <w:szCs w:val="32"/>
        </w:rPr>
        <w:t>东盟校区图书馆专用家具采购项目</w:t>
      </w:r>
      <w:r>
        <w:rPr>
          <w:rFonts w:hint="eastAsia" w:ascii="仿宋_GB2312" w:hAnsi="宋体" w:eastAsia="仿宋_GB2312"/>
          <w:b/>
          <w:sz w:val="32"/>
          <w:szCs w:val="32"/>
          <w:lang w:val="en-US" w:eastAsia="zh-CN"/>
        </w:rPr>
        <w:t>竞价</w:t>
      </w:r>
      <w:r>
        <w:rPr>
          <w:rFonts w:hint="eastAsia" w:ascii="仿宋_GB2312" w:hAnsi="宋体" w:eastAsia="仿宋_GB2312"/>
          <w:b/>
          <w:sz w:val="32"/>
          <w:szCs w:val="32"/>
        </w:rPr>
        <w:t>文件</w:t>
      </w:r>
    </w:p>
    <w:p>
      <w:pPr>
        <w:rPr>
          <w:rFonts w:ascii="仿宋" w:hAnsi="仿宋" w:eastAsia="仿宋" w:cs="仿宋"/>
        </w:rPr>
      </w:pPr>
    </w:p>
    <w:p>
      <w:pPr>
        <w:rPr>
          <w:rFonts w:ascii="仿宋" w:hAnsi="仿宋" w:eastAsia="仿宋" w:cs="仿宋"/>
        </w:rPr>
      </w:pPr>
      <w:r>
        <w:rPr>
          <w:rFonts w:hint="eastAsia" w:ascii="仿宋" w:hAnsi="仿宋" w:eastAsia="仿宋" w:cs="仿宋"/>
        </w:rPr>
        <w:t>一、报价要求:</w:t>
      </w:r>
    </w:p>
    <w:p>
      <w:pPr>
        <w:rPr>
          <w:rFonts w:ascii="仿宋" w:hAnsi="仿宋" w:eastAsia="仿宋" w:cs="仿宋"/>
        </w:rPr>
      </w:pPr>
      <w:r>
        <w:rPr>
          <w:rFonts w:hint="eastAsia" w:ascii="仿宋" w:hAnsi="仿宋" w:eastAsia="仿宋" w:cs="仿宋"/>
        </w:rPr>
        <w:t>1、本采购需求-览表中，凡标注“</w:t>
      </w:r>
      <w:r>
        <w:rPr>
          <w:rFonts w:hint="eastAsia" w:ascii="仿宋" w:hAnsi="仿宋" w:eastAsia="仿宋" w:cs="仿宋"/>
          <w:lang w:eastAsia="zh-CN"/>
        </w:rPr>
        <w:t>▲</w:t>
      </w:r>
      <w:r>
        <w:rPr>
          <w:rFonts w:hint="eastAsia" w:ascii="仿宋" w:hAnsi="仿宋" w:eastAsia="仿宋" w:cs="仿宋"/>
        </w:rPr>
        <w:t>”号的条款为关键指标或要求，不允许有负偏离，否则竞价无效。</w:t>
      </w:r>
    </w:p>
    <w:p>
      <w:pPr>
        <w:rPr>
          <w:rFonts w:ascii="仿宋" w:hAnsi="仿宋" w:eastAsia="仿宋" w:cs="仿宋"/>
        </w:rPr>
      </w:pPr>
      <w:r>
        <w:rPr>
          <w:rFonts w:hint="eastAsia" w:ascii="仿宋" w:hAnsi="仿宋" w:eastAsia="仿宋" w:cs="仿宋"/>
        </w:rPr>
        <w:t>2、竞标人在竞价时参考响应文件格式上传报价清单附件，清单中必须明确写明品牌、型号、技术参数、数量、单位、单价及金额，各分项报价不得高于分项单价控制价，否则视为无效报价。</w:t>
      </w:r>
    </w:p>
    <w:p>
      <w:pPr>
        <w:rPr>
          <w:rFonts w:ascii="仿宋" w:hAnsi="仿宋" w:eastAsia="仿宋" w:cs="仿宋"/>
        </w:rPr>
      </w:pPr>
      <w:r>
        <w:rPr>
          <w:rFonts w:hint="eastAsia" w:ascii="仿宋" w:hAnsi="仿宋" w:eastAsia="仿宋" w:cs="仿宋"/>
        </w:rPr>
        <w:t>3、竞标人必须认真审核</w:t>
      </w:r>
      <w:r>
        <w:rPr>
          <w:rFonts w:hint="eastAsia" w:ascii="仿宋" w:hAnsi="仿宋" w:eastAsia="仿宋" w:cs="仿宋"/>
          <w:lang w:eastAsia="zh-CN"/>
        </w:rPr>
        <w:t>采购</w:t>
      </w:r>
      <w:r>
        <w:rPr>
          <w:rFonts w:hint="eastAsia" w:ascii="仿宋" w:hAnsi="仿宋" w:eastAsia="仿宋" w:cs="仿宋"/>
        </w:rPr>
        <w:t>文件所有要求，若发现竞标人存在未实质性响应</w:t>
      </w:r>
      <w:r>
        <w:rPr>
          <w:rFonts w:hint="eastAsia" w:ascii="仿宋" w:hAnsi="仿宋" w:eastAsia="仿宋" w:cs="仿宋"/>
          <w:lang w:eastAsia="zh-CN"/>
        </w:rPr>
        <w:t>采购</w:t>
      </w:r>
      <w:r>
        <w:rPr>
          <w:rFonts w:hint="eastAsia" w:ascii="仿宋" w:hAnsi="仿宋" w:eastAsia="仿宋" w:cs="仿宋"/>
        </w:rPr>
        <w:t>文件行为，将视为无效竞价处理;如明知不满足</w:t>
      </w:r>
      <w:r>
        <w:rPr>
          <w:rFonts w:hint="eastAsia" w:ascii="仿宋" w:hAnsi="仿宋" w:eastAsia="仿宋" w:cs="仿宋"/>
          <w:lang w:eastAsia="zh-CN"/>
        </w:rPr>
        <w:t>采购</w:t>
      </w:r>
      <w:r>
        <w:rPr>
          <w:rFonts w:hint="eastAsia" w:ascii="仿宋" w:hAnsi="仿宋" w:eastAsia="仿宋" w:cs="仿宋"/>
        </w:rPr>
        <w:t>文件对于品牌、型号、单位资质等要求而进行恶意竞争的，或因竞标人虚假竞标导致竞标无效造成的工期延误及损失，将根据《政采云平台电子卖场权益维护及纠纷处理规则》的规定报有关部门处理，并在税务采购网平台列为失信供应商记录备案。</w:t>
      </w:r>
    </w:p>
    <w:p>
      <w:pPr>
        <w:rPr>
          <w:rFonts w:ascii="仿宋" w:hAnsi="仿宋" w:eastAsia="仿宋" w:cs="仿宋"/>
        </w:rPr>
      </w:pPr>
      <w:r>
        <w:rPr>
          <w:rFonts w:hint="eastAsia" w:ascii="仿宋" w:hAnsi="仿宋" w:eastAsia="仿宋" w:cs="仿宋"/>
        </w:rPr>
        <w:t>二、采购货物技术要求及商务要求：</w:t>
      </w:r>
    </w:p>
    <w:p>
      <w:pPr>
        <w:spacing w:line="500" w:lineRule="exact"/>
        <w:jc w:val="center"/>
        <w:rPr>
          <w:rFonts w:ascii="仿宋_GB2312" w:hAnsi="宋体" w:eastAsia="仿宋_GB2312"/>
          <w:b/>
          <w:sz w:val="32"/>
          <w:szCs w:val="32"/>
        </w:rPr>
      </w:pPr>
      <w:r>
        <w:rPr>
          <w:rFonts w:hint="eastAsia" w:ascii="仿宋_GB2312" w:hAnsi="宋体" w:eastAsia="仿宋_GB2312"/>
          <w:b/>
          <w:sz w:val="32"/>
          <w:szCs w:val="32"/>
        </w:rPr>
        <w:t>东盟校区图书馆专用家具采购项目</w:t>
      </w:r>
      <w:bookmarkStart w:id="0" w:name="需求"/>
      <w:r>
        <w:rPr>
          <w:rFonts w:hint="eastAsia" w:ascii="仿宋_GB2312" w:hAnsi="宋体" w:eastAsia="仿宋_GB2312"/>
          <w:b/>
          <w:sz w:val="32"/>
          <w:szCs w:val="32"/>
        </w:rPr>
        <w:t>需求</w:t>
      </w:r>
      <w:bookmarkEnd w:id="0"/>
      <w:r>
        <w:rPr>
          <w:rFonts w:hint="eastAsia" w:ascii="仿宋_GB2312" w:hAnsi="宋体" w:eastAsia="仿宋_GB2312"/>
          <w:b/>
          <w:sz w:val="32"/>
          <w:szCs w:val="32"/>
        </w:rPr>
        <w:t>一览表</w:t>
      </w:r>
    </w:p>
    <w:tbl>
      <w:tblPr>
        <w:tblStyle w:val="10"/>
        <w:tblW w:w="158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1016"/>
        <w:gridCol w:w="1016"/>
        <w:gridCol w:w="7500"/>
        <w:gridCol w:w="655"/>
        <w:gridCol w:w="669"/>
        <w:gridCol w:w="1016"/>
        <w:gridCol w:w="1196"/>
        <w:gridCol w:w="2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5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项号</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品牌型号</w:t>
            </w:r>
          </w:p>
        </w:tc>
        <w:tc>
          <w:tcPr>
            <w:tcW w:w="808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规格型号(或参数)</w:t>
            </w:r>
          </w:p>
        </w:tc>
        <w:tc>
          <w:tcPr>
            <w:tcW w:w="69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0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分项单价控制价（元）</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分项控制价（元）</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方形四人位带灯阅览桌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2.规格(mm)：1600*1200*1100H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壁厚为1.2mm，钢脚、横梁采用采用优质方管，桌底配有走线槽，每桌腿尺寸为80*40mm，钢架表面耐磨，防腐蚀。热固性粉末喷塑；除锈、耐磨、防腐蚀。7.阅览桌配置公牛品牌带USB接口的五孔电源插座，一位一插座，桌面配T型灯具，并安装到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bookmarkStart w:id="35" w:name="_GoBack"/>
            <w:bookmarkEnd w:id="35"/>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66825" cy="1691005"/>
                  <wp:effectExtent l="0" t="0" r="952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266825" cy="16910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1.型号：志光/GCON、GM001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3.基材：框架基材为橡胶木实木，材质坚硬、刚性强、不易腐蚀、抗弯强度适中、断裂强度适中。木材经高温干燥、除虫、防虫、防腐处理，具有很好的尺寸稳定性,含水率低于14%。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23040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009650" cy="123825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5"/>
                          <a:stretch>
                            <a:fillRect/>
                          </a:stretch>
                        </pic:blipFill>
                        <pic:spPr>
                          <a:xfrm>
                            <a:off x="0" y="0"/>
                            <a:ext cx="1009650" cy="1238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异型带灯阅览桌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（3人位）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2.规格(mm)：1600*1000*1100H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6.脚架：优质钢脚壁厚为1.0mm，钢脚采用40*40mm优质方管，桌底配有走线槽，桌面带LED灯，热固性粉末喷塑；除锈、耐磨、防腐蚀。</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7.阅览桌配置公牛品牌带USB接口的五孔电源插座，一位一插座，桌面配T型灯具，并安装到位。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87145" cy="1090930"/>
                  <wp:effectExtent l="0" t="0" r="825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rcRect t="23458" b="12814"/>
                          <a:stretch>
                            <a:fillRect/>
                          </a:stretch>
                        </pic:blipFill>
                        <pic:spPr>
                          <a:xfrm>
                            <a:off x="0" y="0"/>
                            <a:ext cx="1287145" cy="10909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1.型号：志光/GCON、GM002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5.椅架：采用橡胶木实木，材质坚硬、刚性强、不易腐蚀、抗弯强度适中、断裂强度适中。木材经高温干燥、除虫、防虫、防腐处理，具有很好的尺寸稳定性,含水率低于14%。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047115" cy="1279525"/>
                  <wp:effectExtent l="0" t="0" r="635" b="158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7"/>
                          <a:stretch>
                            <a:fillRect/>
                          </a:stretch>
                        </pic:blipFill>
                        <pic:spPr>
                          <a:xfrm>
                            <a:off x="0" y="0"/>
                            <a:ext cx="1047115" cy="12795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圆形组合沙发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2.规格(mm)：外Ø2100*内Ø1000mm，坐垫高度450mm,靠背高度700mm；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5868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334135" cy="1001395"/>
                  <wp:effectExtent l="0" t="0" r="1841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r:link="rId9"/>
                          <a:stretch>
                            <a:fillRect/>
                          </a:stretch>
                        </pic:blipFill>
                        <pic:spPr>
                          <a:xfrm>
                            <a:off x="0" y="0"/>
                            <a:ext cx="1334135" cy="10013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S形组合沙发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160" w:afterAutospacing="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2.规格(mm)：3800*2200*750H；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▲3.基材：面料采用采用优质人造革（环保皮），皮质的拉力好,不易撕裂,耐腐蚀,抗磨性能好,具有抗菌、防霉、防蛀、无任何有害物质。符合GB/T16799《家具用皮革》的要求。环保皮的撕裂力不小于20N；摩擦色牢度 干擦（50次）不小于4级、湿擦（20次）不小于3级、碱性汗液（20次）不小于3级；气味不大于3级。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人造革”、“海绵”、“胶合板”、“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324610" cy="998220"/>
                  <wp:effectExtent l="0" t="0" r="889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324610" cy="9982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2.规格(mm)：Ø600*720H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热熔胶”、“PVC封边条”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8896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80465" cy="1034415"/>
                  <wp:effectExtent l="0" t="0" r="635" b="1333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1"/>
                          <a:stretch>
                            <a:fillRect/>
                          </a:stretch>
                        </pic:blipFill>
                        <pic:spPr>
                          <a:xfrm>
                            <a:off x="0" y="0"/>
                            <a:ext cx="1180465" cy="10344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2.规格(mm)：2400*600*700H+1800*600*700H；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5400" cy="969010"/>
                  <wp:effectExtent l="0" t="0" r="0" b="25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1295400" cy="9690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半圆形阅览桌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2.规格(mm)：外Ø2800*内Ø1600mm；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35601-2017《绿色产品评价人造板和木质地板》的要求，其中苯≤10ug/m³，甲苯≤20ug/m³，二甲苯≤20ug/m³，TVOC≤100ug/m³；桌面厚度为25mm(±2mm)，其他板材厚度不小于15mm。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面板封边条厚度为2mm，其他部件封边条厚度为0.8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N·m。铰链经“垂直静载荷（20kg）”、“水平静载荷（40N）”、“耐久性(至少80000次)”试验后各技术指标均符合QB/T2189-2013《家具五金 杯状暗铰链》的要求。下沉量不应大于3.0mm。铰链的金属表面耐腐蚀符合QB/T3826-1999或QB/T3832-1999的要求（中性盐雾100小时），耐腐蚀等级（10级最好,0级最差）≥8级。。导轨结构坚固耐用，抽拉顺畅。导轨经“垂直向下静载荷（150N）”、“水平侧向静载荷（75N）”、“耐久性(40000次)”、“拉出安全性”、“猛关或猛开”试验后各技术指标均符合QB/T2454-2013《家具五金 抽屉导轨》的要求。下沉量不应超过抽屉导轨拉出长度的4%。导轨的金属表面耐腐蚀符合QB/T3826-1999或QB/T3832-1999的要求（中性盐雾100小时），耐腐蚀等级（10级最好,0级最差）≥8级。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铰链”、“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7381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59048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4765" cy="870585"/>
                  <wp:effectExtent l="0" t="0" r="635" b="571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3"/>
                          <a:stretch>
                            <a:fillRect/>
                          </a:stretch>
                        </pic:blipFill>
                        <pic:spPr>
                          <a:xfrm>
                            <a:off x="0" y="0"/>
                            <a:ext cx="1294765" cy="8705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1.型号：志光/GCON、GM001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3.基材：框架基材为橡胶木实木，材质坚硬、刚性强、不易腐蚀、抗弯强度适中、断裂强度适中。木材经高温干燥、除虫、防虫、防腐处理，具有很好的尺寸稳定性,含水率低于14%。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946150" cy="1160145"/>
                  <wp:effectExtent l="0" t="0" r="6350" b="19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
                          <a:stretch>
                            <a:fillRect/>
                          </a:stretch>
                        </pic:blipFill>
                        <pic:spPr>
                          <a:xfrm>
                            <a:off x="0" y="0"/>
                            <a:ext cx="946150" cy="11601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休闲桌椅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（一桌两椅）</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1.型号：志光/GCON、GF003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2.规格(mm)：Ø600*720H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椅子：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1.型号：志光/GCON、GM003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▲3.基材：采用优质人造革（环保皮），皮质的拉力好,不易撕裂,耐腐蚀,抗磨性能好,具有抗菌、防霉、防蛀、无任何有害物质。符合GB/T16799《家具用皮革》的要求。环保皮的撕裂力不小于20N；摩擦色牢度 干擦（50次）不小于4级、湿擦（20次）不小于3级、碱性汗液（20次）不小于3级；气味不大于3级。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5.椅架：采用橡胶木实木，材质坚硬、刚性强、不易腐蚀、抗弯强度适中、断裂强度适中。木材经高温干燥、除虫、防虫、防腐处理，具有很好的尺寸稳定性,含水率低于14%。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人造革”、“海绵”、“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0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67860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4130" cy="972820"/>
                  <wp:effectExtent l="0" t="0" r="1270" b="177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1294130" cy="9728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圆形休闲桌椅（一桌四椅）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1.型号：志光/GCON、GF003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2.规格(mm)：Ø600*720H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椅子：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1.型号：志光/GCON、GS001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3.基材：座垫及靠背采用优质环保PP塑料一体成型，抗张强度高，坚固耐磨。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84605" cy="1713865"/>
                  <wp:effectExtent l="0" t="0" r="10795"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1284605" cy="17138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两人位联排带茶几沙发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2.规格(mm)：1850*600*700H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脚架基材为优质钢脚，表面经过碱洗除油、酸洗除锈、磷化附膜、钝化、静电机器手自动喷涂和高温固化处理，坐板背板采用不小于15mm的环保刨花板，板材的含水率、板内密度偏差、静曲强度(MOR)、弹性模量(MOE)、内胶合强度、表面胶合强度、2h吸水厚度膨胀率、握螺钉力（板面平均值≥900N、板边平均值≥600N）均符合GB/T4897-2015《刨花板》；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▲4.胶粘剂：采用优质品牌胶粘剂（白乳胶）。胶粘剂（白乳胶）中的有害物质限量符合国家标准GB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▲6.面料：采用优质人造革（环保皮），皮质的拉力好,不易撕裂,耐腐蚀,抗磨性能好,具有抗菌、防霉、防蛀、无有害物质。符合GB/T16799《家具用皮革》的要求。环保皮的撕裂力为20N；摩擦色牢度 干擦（50次）为4级、湿擦（20次）为3级、碱性汗液（20次）为3级；气味不大于3级。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▲7.辅料：采用优质海绵，密度高，回弹率好。要求海绵颜色均匀、无污染、无刺激性气味，海绵回弹率为35%，干热老化后拉伸强度为55kPa，湿热老化后拉伸强度为55kPa，压陷性能符合GB/T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▲9.</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人造革”、“海绵”、“刨花板”、“胶粘剂”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87145" cy="1320800"/>
                  <wp:effectExtent l="0" t="0" r="8255"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rcRect t="22904"/>
                          <a:stretch>
                            <a:fillRect/>
                          </a:stretch>
                        </pic:blipFill>
                        <pic:spPr>
                          <a:xfrm>
                            <a:off x="0" y="0"/>
                            <a:ext cx="1287145" cy="1320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2.规格(mm)：800*350*2700H；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刨花板”、“中密度纤维板”、“三合一链接件”、“胶粘剂”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570865" cy="1673225"/>
                  <wp:effectExtent l="0" t="0" r="635" b="3175"/>
                  <wp:docPr id="61" name="图片_61"/>
                  <wp:cNvGraphicFramePr/>
                  <a:graphic xmlns:a="http://schemas.openxmlformats.org/drawingml/2006/main">
                    <a:graphicData uri="http://schemas.openxmlformats.org/drawingml/2006/picture">
                      <pic:pic xmlns:pic="http://schemas.openxmlformats.org/drawingml/2006/picture">
                        <pic:nvPicPr>
                          <pic:cNvPr id="61" name="图片_61"/>
                          <pic:cNvPicPr/>
                        </pic:nvPicPr>
                        <pic:blipFill>
                          <a:blip r:embed="rId17">
                            <a:extLst>
                              <a:ext uri="{28A0092B-C50C-407E-A947-70E740481C1C}">
                                <a14:useLocalDpi xmlns:a14="http://schemas.microsoft.com/office/drawing/2010/main" val="0"/>
                              </a:ext>
                            </a:extLst>
                          </a:blip>
                          <a:stretch>
                            <a:fillRect/>
                          </a:stretch>
                        </pic:blipFill>
                        <pic:spPr>
                          <a:xfrm>
                            <a:off x="0" y="0"/>
                            <a:ext cx="570865" cy="1673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2.规格(mm)：800*350*1200H；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刨花板”、“中密度纤维板”、“三合一链接件”、“胶粘剂”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77900" cy="979170"/>
                  <wp:effectExtent l="0" t="0" r="12700" b="11430"/>
                  <wp:docPr id="62" name="图片_64"/>
                  <wp:cNvGraphicFramePr/>
                  <a:graphic xmlns:a="http://schemas.openxmlformats.org/drawingml/2006/main">
                    <a:graphicData uri="http://schemas.openxmlformats.org/drawingml/2006/picture">
                      <pic:pic xmlns:pic="http://schemas.openxmlformats.org/drawingml/2006/picture">
                        <pic:nvPicPr>
                          <pic:cNvPr id="62" name="图片_64"/>
                          <pic:cNvPicPr/>
                        </pic:nvPicPr>
                        <pic:blipFill>
                          <a:blip r:embed="rId18">
                            <a:extLst>
                              <a:ext uri="{28A0092B-C50C-407E-A947-70E740481C1C}">
                                <a14:useLocalDpi xmlns:a14="http://schemas.microsoft.com/office/drawing/2010/main" val="0"/>
                              </a:ext>
                            </a:extLst>
                          </a:blip>
                          <a:stretch>
                            <a:fillRect/>
                          </a:stretch>
                        </pic:blipFill>
                        <pic:spPr>
                          <a:xfrm>
                            <a:off x="0" y="0"/>
                            <a:ext cx="977900" cy="9791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二人位沙发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2.规格(mm)：1450*820*820H；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04290" cy="1024255"/>
                  <wp:effectExtent l="0" t="0" r="10160" b="4445"/>
                  <wp:docPr id="63" name="图片_7"/>
                  <wp:cNvGraphicFramePr/>
                  <a:graphic xmlns:a="http://schemas.openxmlformats.org/drawingml/2006/main">
                    <a:graphicData uri="http://schemas.openxmlformats.org/drawingml/2006/picture">
                      <pic:pic xmlns:pic="http://schemas.openxmlformats.org/drawingml/2006/picture">
                        <pic:nvPicPr>
                          <pic:cNvPr id="63" name="图片_7"/>
                          <pic:cNvPicPr/>
                        </pic:nvPicPr>
                        <pic:blipFill>
                          <a:blip r:embed="rId19">
                            <a:extLst>
                              <a:ext uri="{28A0092B-C50C-407E-A947-70E740481C1C}">
                                <a14:useLocalDpi xmlns:a14="http://schemas.microsoft.com/office/drawing/2010/main" val="0"/>
                              </a:ext>
                            </a:extLst>
                          </a:blip>
                          <a:stretch>
                            <a:fillRect/>
                          </a:stretch>
                        </pic:blipFill>
                        <pic:spPr>
                          <a:xfrm>
                            <a:off x="0" y="0"/>
                            <a:ext cx="1304290" cy="10242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2.规格(mm)：640*650*720H；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5.椅架：采用橡胶木实木，材质坚硬、刚性强、不易腐蚀、抗弯强度适中、断裂强度适中。木材经高温干燥、除虫、防虫、防腐处理，具有很好的尺寸稳定性,含水率低于14%。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61390" cy="1097915"/>
                  <wp:effectExtent l="0" t="0" r="10160" b="6985"/>
                  <wp:docPr id="64" name="图片_10"/>
                  <wp:cNvGraphicFramePr/>
                  <a:graphic xmlns:a="http://schemas.openxmlformats.org/drawingml/2006/main">
                    <a:graphicData uri="http://schemas.openxmlformats.org/drawingml/2006/picture">
                      <pic:pic xmlns:pic="http://schemas.openxmlformats.org/drawingml/2006/picture">
                        <pic:nvPicPr>
                          <pic:cNvPr id="64" name="图片_10"/>
                          <pic:cNvPicPr/>
                        </pic:nvPicPr>
                        <pic:blipFill>
                          <a:blip r:embed="rId20">
                            <a:extLst>
                              <a:ext uri="{28A0092B-C50C-407E-A947-70E740481C1C}">
                                <a14:useLocalDpi xmlns:a14="http://schemas.microsoft.com/office/drawing/2010/main" val="0"/>
                              </a:ext>
                            </a:extLst>
                          </a:blip>
                          <a:stretch>
                            <a:fillRect/>
                          </a:stretch>
                        </pic:blipFill>
                        <pic:spPr>
                          <a:xfrm>
                            <a:off x="0" y="0"/>
                            <a:ext cx="961390" cy="10979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2.规格(mm)：1200*600*450H；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6.框架：框架基材为优质实木，材质坚硬、刚性强、不易腐蚀、抗弯强度适中、断裂强度适中。木材经高温干燥、除虫、防虫、防腐处理，具有很好的尺寸稳定性,含水率低于14%。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58900" cy="845820"/>
                  <wp:effectExtent l="0" t="0" r="12700" b="11430"/>
                  <wp:docPr id="65" name="图片_8"/>
                  <wp:cNvGraphicFramePr/>
                  <a:graphic xmlns:a="http://schemas.openxmlformats.org/drawingml/2006/main">
                    <a:graphicData uri="http://schemas.openxmlformats.org/drawingml/2006/picture">
                      <pic:pic xmlns:pic="http://schemas.openxmlformats.org/drawingml/2006/picture">
                        <pic:nvPicPr>
                          <pic:cNvPr id="65" name="图片_8"/>
                          <pic:cNvPicPr/>
                        </pic:nvPicPr>
                        <pic:blipFill>
                          <a:blip r:embed="rId21">
                            <a:extLst>
                              <a:ext uri="{28A0092B-C50C-407E-A947-70E740481C1C}">
                                <a14:useLocalDpi xmlns:a14="http://schemas.microsoft.com/office/drawing/2010/main" val="0"/>
                              </a:ext>
                            </a:extLst>
                          </a:blip>
                          <a:stretch>
                            <a:fillRect/>
                          </a:stretch>
                        </pic:blipFill>
                        <pic:spPr>
                          <a:xfrm>
                            <a:off x="0" y="0"/>
                            <a:ext cx="1358900" cy="845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5.椅架：采用橡胶木实木，材质坚硬、刚性强、不易腐蚀、抗弯强度适中、断裂强度适中。木材经高温干燥、除虫、防虫、防腐处理，具有很好的尺寸稳定性,含水率低于14%。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794385" cy="1067435"/>
                  <wp:effectExtent l="0" t="0" r="5715" b="18415"/>
                  <wp:docPr id="66" name="图片_59"/>
                  <wp:cNvGraphicFramePr/>
                  <a:graphic xmlns:a="http://schemas.openxmlformats.org/drawingml/2006/main">
                    <a:graphicData uri="http://schemas.openxmlformats.org/drawingml/2006/picture">
                      <pic:pic xmlns:pic="http://schemas.openxmlformats.org/drawingml/2006/picture">
                        <pic:nvPicPr>
                          <pic:cNvPr id="66" name="图片_59"/>
                          <pic:cNvPicPr/>
                        </pic:nvPicPr>
                        <pic:blipFill>
                          <a:blip r:embed="rId22">
                            <a:extLst>
                              <a:ext uri="{28A0092B-C50C-407E-A947-70E740481C1C}">
                                <a14:useLocalDpi xmlns:a14="http://schemas.microsoft.com/office/drawing/2010/main" val="0"/>
                              </a:ext>
                            </a:extLst>
                          </a:blip>
                          <a:stretch>
                            <a:fillRect/>
                          </a:stretch>
                        </pic:blipFill>
                        <pic:spPr>
                          <a:xfrm>
                            <a:off x="0" y="0"/>
                            <a:ext cx="794385" cy="10674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2.规格(mm)：700*700*750H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42340" cy="1021080"/>
                  <wp:effectExtent l="0" t="0" r="10160" b="7620"/>
                  <wp:docPr id="67" name="图片_29"/>
                  <wp:cNvGraphicFramePr/>
                  <a:graphic xmlns:a="http://schemas.openxmlformats.org/drawingml/2006/main">
                    <a:graphicData uri="http://schemas.openxmlformats.org/drawingml/2006/picture">
                      <pic:pic xmlns:pic="http://schemas.openxmlformats.org/drawingml/2006/picture">
                        <pic:nvPicPr>
                          <pic:cNvPr id="67" name="图片_29"/>
                          <pic:cNvPicPr/>
                        </pic:nvPicPr>
                        <pic:blipFill>
                          <a:blip r:embed="rId23">
                            <a:extLst>
                              <a:ext uri="{28A0092B-C50C-407E-A947-70E740481C1C}">
                                <a14:useLocalDpi xmlns:a14="http://schemas.microsoft.com/office/drawing/2010/main" val="0"/>
                              </a:ext>
                            </a:extLst>
                          </a:blip>
                          <a:stretch>
                            <a:fillRect/>
                          </a:stretch>
                        </pic:blipFill>
                        <pic:spPr>
                          <a:xfrm>
                            <a:off x="0" y="0"/>
                            <a:ext cx="942340" cy="10210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1.型号：志光/GCON、GF009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2.规格(mm)：1500*900*750H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65885" cy="955675"/>
                  <wp:effectExtent l="0" t="0" r="5715" b="15875"/>
                  <wp:docPr id="68" name="图片_32"/>
                  <wp:cNvGraphicFramePr/>
                  <a:graphic xmlns:a="http://schemas.openxmlformats.org/drawingml/2006/main">
                    <a:graphicData uri="http://schemas.openxmlformats.org/drawingml/2006/picture">
                      <pic:pic xmlns:pic="http://schemas.openxmlformats.org/drawingml/2006/picture">
                        <pic:nvPicPr>
                          <pic:cNvPr id="68" name="图片_32"/>
                          <pic:cNvPicPr/>
                        </pic:nvPicPr>
                        <pic:blipFill>
                          <a:blip r:embed="rId24">
                            <a:extLst>
                              <a:ext uri="{28A0092B-C50C-407E-A947-70E740481C1C}">
                                <a14:useLocalDpi xmlns:a14="http://schemas.microsoft.com/office/drawing/2010/main" val="0"/>
                              </a:ext>
                            </a:extLst>
                          </a:blip>
                          <a:stretch>
                            <a:fillRect/>
                          </a:stretch>
                        </pic:blipFill>
                        <pic:spPr>
                          <a:xfrm>
                            <a:off x="0" y="0"/>
                            <a:ext cx="1365885" cy="9556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1.型号：志光/GCON、GM001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3.基材：框架基材为橡胶木实木，材质坚硬、刚性强、不易腐蚀、抗弯强度适中、断裂强度适中。木材经高温干燥、除虫、防虫、防腐处理，具有很好的尺寸稳定性,含水率低于14%。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800735" cy="982345"/>
                  <wp:effectExtent l="0" t="0" r="18415" b="8255"/>
                  <wp:docPr id="69" name="图片_31"/>
                  <wp:cNvGraphicFramePr/>
                  <a:graphic xmlns:a="http://schemas.openxmlformats.org/drawingml/2006/main">
                    <a:graphicData uri="http://schemas.openxmlformats.org/drawingml/2006/picture">
                      <pic:pic xmlns:pic="http://schemas.openxmlformats.org/drawingml/2006/picture">
                        <pic:nvPicPr>
                          <pic:cNvPr id="69" name="图片_31"/>
                          <pic:cNvPicPr/>
                        </pic:nvPicPr>
                        <pic:blipFill>
                          <a:blip r:embed="rId25">
                            <a:extLst>
                              <a:ext uri="{28A0092B-C50C-407E-A947-70E740481C1C}">
                                <a14:useLocalDpi xmlns:a14="http://schemas.microsoft.com/office/drawing/2010/main" val="0"/>
                              </a:ext>
                            </a:extLst>
                          </a:blip>
                          <a:stretch>
                            <a:fillRect/>
                          </a:stretch>
                        </pic:blipFill>
                        <pic:spPr>
                          <a:xfrm>
                            <a:off x="0" y="0"/>
                            <a:ext cx="800735" cy="9823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2.规格(mm)：800*350*2000H；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681990" cy="1512570"/>
                  <wp:effectExtent l="0" t="0" r="3810" b="11430"/>
                  <wp:docPr id="70" name="图片_61_SpCnt_1"/>
                  <wp:cNvGraphicFramePr/>
                  <a:graphic xmlns:a="http://schemas.openxmlformats.org/drawingml/2006/main">
                    <a:graphicData uri="http://schemas.openxmlformats.org/drawingml/2006/picture">
                      <pic:pic xmlns:pic="http://schemas.openxmlformats.org/drawingml/2006/picture">
                        <pic:nvPicPr>
                          <pic:cNvPr id="70" name="图片_61_SpCnt_1"/>
                          <pic:cNvPicPr/>
                        </pic:nvPicPr>
                        <pic:blipFill>
                          <a:blip r:embed="rId26">
                            <a:extLst>
                              <a:ext uri="{28A0092B-C50C-407E-A947-70E740481C1C}">
                                <a14:useLocalDpi xmlns:a14="http://schemas.microsoft.com/office/drawing/2010/main" val="0"/>
                              </a:ext>
                            </a:extLst>
                          </a:blip>
                          <a:stretch>
                            <a:fillRect/>
                          </a:stretch>
                        </pic:blipFill>
                        <pic:spPr>
                          <a:xfrm>
                            <a:off x="0" y="0"/>
                            <a:ext cx="681990" cy="15125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2.规格(mm)：800*300*1200H；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818515" cy="1090930"/>
                  <wp:effectExtent l="0" t="0" r="635" b="13970"/>
                  <wp:docPr id="71" name="图片_62"/>
                  <wp:cNvGraphicFramePr/>
                  <a:graphic xmlns:a="http://schemas.openxmlformats.org/drawingml/2006/main">
                    <a:graphicData uri="http://schemas.openxmlformats.org/drawingml/2006/picture">
                      <pic:pic xmlns:pic="http://schemas.openxmlformats.org/drawingml/2006/picture">
                        <pic:nvPicPr>
                          <pic:cNvPr id="71" name="图片_62"/>
                          <pic:cNvPicPr/>
                        </pic:nvPicPr>
                        <pic:blipFill>
                          <a:blip r:embed="rId27">
                            <a:extLst>
                              <a:ext uri="{28A0092B-C50C-407E-A947-70E740481C1C}">
                                <a14:useLocalDpi xmlns:a14="http://schemas.microsoft.com/office/drawing/2010/main" val="0"/>
                              </a:ext>
                            </a:extLst>
                          </a:blip>
                          <a:stretch>
                            <a:fillRect/>
                          </a:stretch>
                        </pic:blipFill>
                        <pic:spPr>
                          <a:xfrm>
                            <a:off x="0" y="0"/>
                            <a:ext cx="818515" cy="1090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2.规格(mm)：4800*1500*750H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▲3.基材：面板采用厚度为40mm(±2mm)的环保型浸渍胶膜纸饰面刨花板，板材各项技术要求须符合GB/T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170940" cy="1173480"/>
                  <wp:effectExtent l="0" t="0" r="10160" b="7620"/>
                  <wp:docPr id="72" name="图片_30"/>
                  <wp:cNvGraphicFramePr/>
                  <a:graphic xmlns:a="http://schemas.openxmlformats.org/drawingml/2006/main">
                    <a:graphicData uri="http://schemas.openxmlformats.org/drawingml/2006/picture">
                      <pic:pic xmlns:pic="http://schemas.openxmlformats.org/drawingml/2006/picture">
                        <pic:nvPicPr>
                          <pic:cNvPr id="72" name="图片_30"/>
                          <pic:cNvPicPr/>
                        </pic:nvPicPr>
                        <pic:blipFill>
                          <a:blip r:embed="rId28">
                            <a:extLst>
                              <a:ext uri="{28A0092B-C50C-407E-A947-70E740481C1C}">
                                <a14:useLocalDpi xmlns:a14="http://schemas.microsoft.com/office/drawing/2010/main" val="0"/>
                              </a:ext>
                            </a:extLst>
                          </a:blip>
                          <a:stretch>
                            <a:fillRect/>
                          </a:stretch>
                        </pic:blipFill>
                        <pic:spPr>
                          <a:xfrm>
                            <a:off x="0" y="0"/>
                            <a:ext cx="1170940" cy="1173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5.椅架：采用橡胶木实木，材质坚硬、刚性强、不易腐蚀、抗弯强度适中、断裂强度适中。木材经高温干燥、除虫、防虫、防腐处理，具有很好的尺寸稳定性,含水率低于14%。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704850" cy="916305"/>
                  <wp:effectExtent l="0" t="0" r="0" b="17145"/>
                  <wp:docPr id="73" name="图片_34"/>
                  <wp:cNvGraphicFramePr/>
                  <a:graphic xmlns:a="http://schemas.openxmlformats.org/drawingml/2006/main">
                    <a:graphicData uri="http://schemas.openxmlformats.org/drawingml/2006/picture">
                      <pic:pic xmlns:pic="http://schemas.openxmlformats.org/drawingml/2006/picture">
                        <pic:nvPicPr>
                          <pic:cNvPr id="73" name="图片_34"/>
                          <pic:cNvPicPr/>
                        </pic:nvPicPr>
                        <pic:blipFill>
                          <a:blip r:embed="rId29">
                            <a:extLst>
                              <a:ext uri="{28A0092B-C50C-407E-A947-70E740481C1C}">
                                <a14:useLocalDpi xmlns:a14="http://schemas.microsoft.com/office/drawing/2010/main" val="0"/>
                              </a:ext>
                            </a:extLst>
                          </a:blip>
                          <a:stretch>
                            <a:fillRect/>
                          </a:stretch>
                        </pic:blipFill>
                        <pic:spPr>
                          <a:xfrm>
                            <a:off x="0" y="0"/>
                            <a:ext cx="704850" cy="9163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1.型号：志光/GCON、GS009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2.规格(mm)：1980x780x800H；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7.脚架：优质钢制脚架，钢材壁厚不小于1.0mm，表面经过碱洗除油、酸洗除锈、磷化附膜、钝化、静电机器手自动喷涂和高温固化处理。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24610" cy="876935"/>
                  <wp:effectExtent l="0" t="0" r="8890" b="18415"/>
                  <wp:docPr id="74" name="图片_40"/>
                  <wp:cNvGraphicFramePr/>
                  <a:graphic xmlns:a="http://schemas.openxmlformats.org/drawingml/2006/main">
                    <a:graphicData uri="http://schemas.openxmlformats.org/drawingml/2006/picture">
                      <pic:pic xmlns:pic="http://schemas.openxmlformats.org/drawingml/2006/picture">
                        <pic:nvPicPr>
                          <pic:cNvPr id="74" name="图片_40"/>
                          <pic:cNvPicPr/>
                        </pic:nvPicPr>
                        <pic:blipFill>
                          <a:blip r:embed="rId30">
                            <a:extLst>
                              <a:ext uri="{28A0092B-C50C-407E-A947-70E740481C1C}">
                                <a14:useLocalDpi xmlns:a14="http://schemas.microsoft.com/office/drawing/2010/main" val="0"/>
                              </a:ext>
                            </a:extLst>
                          </a:blip>
                          <a:stretch>
                            <a:fillRect/>
                          </a:stretch>
                        </pic:blipFill>
                        <pic:spPr>
                          <a:xfrm>
                            <a:off x="0" y="0"/>
                            <a:ext cx="1324610" cy="8769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2.规格(mm)：830x780x800H；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7.脚架：优质钢制脚架，钢材壁厚不小于1.0mm，表面经过碱洗除油、酸洗除锈、磷化附膜、钝化、静电机器手自动喷涂和高温固化处理。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007110" cy="884555"/>
                  <wp:effectExtent l="0" t="0" r="2540" b="10795"/>
                  <wp:docPr id="75" name="图片_41"/>
                  <wp:cNvGraphicFramePr/>
                  <a:graphic xmlns:a="http://schemas.openxmlformats.org/drawingml/2006/main">
                    <a:graphicData uri="http://schemas.openxmlformats.org/drawingml/2006/picture">
                      <pic:pic xmlns:pic="http://schemas.openxmlformats.org/drawingml/2006/picture">
                        <pic:nvPicPr>
                          <pic:cNvPr id="75" name="图片_41"/>
                          <pic:cNvPicPr/>
                        </pic:nvPicPr>
                        <pic:blipFill>
                          <a:blip r:embed="rId31">
                            <a:extLst>
                              <a:ext uri="{28A0092B-C50C-407E-A947-70E740481C1C}">
                                <a14:useLocalDpi xmlns:a14="http://schemas.microsoft.com/office/drawing/2010/main" val="0"/>
                              </a:ext>
                            </a:extLst>
                          </a:blip>
                          <a:stretch>
                            <a:fillRect/>
                          </a:stretch>
                        </pic:blipFill>
                        <pic:spPr>
                          <a:xfrm>
                            <a:off x="0" y="0"/>
                            <a:ext cx="1007110" cy="8845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2.规格(mm)：1200*600*450H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09675" cy="860425"/>
                  <wp:effectExtent l="0" t="0" r="9525" b="15875"/>
                  <wp:docPr id="76" name="图片_42"/>
                  <wp:cNvGraphicFramePr/>
                  <a:graphic xmlns:a="http://schemas.openxmlformats.org/drawingml/2006/main">
                    <a:graphicData uri="http://schemas.openxmlformats.org/drawingml/2006/picture">
                      <pic:pic xmlns:pic="http://schemas.openxmlformats.org/drawingml/2006/picture">
                        <pic:nvPicPr>
                          <pic:cNvPr id="76" name="图片_42"/>
                          <pic:cNvPicPr/>
                        </pic:nvPicPr>
                        <pic:blipFill>
                          <a:blip r:embed="rId32">
                            <a:extLst>
                              <a:ext uri="{28A0092B-C50C-407E-A947-70E740481C1C}">
                                <a14:useLocalDpi xmlns:a14="http://schemas.microsoft.com/office/drawing/2010/main" val="0"/>
                              </a:ext>
                            </a:extLst>
                          </a:blip>
                          <a:stretch>
                            <a:fillRect/>
                          </a:stretch>
                        </pic:blipFill>
                        <pic:spPr>
                          <a:xfrm>
                            <a:off x="0" y="0"/>
                            <a:ext cx="1209675" cy="860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2.规格(mm)：800*400*850H；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▲3.基材：采用厚度不小于15mm的环保型浸渍胶膜纸饰面刨花板，板材各项技术要求须符合GB/T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N·m。铰链经“垂直静载荷（20kg）”、“水平静载荷（40N）”、“耐久性(至少80000次)”试验后各技术指标均符合QB/T2189-2013《家具五金 杯状暗铰链》的要求。下沉量不应大于3.0mm。铰链的金属表面耐腐蚀符合QB/T3826-1999或QB/T3832-1999的要求（中性盐雾100小时），耐腐蚀等级（10级最好,0级最差）≥8级。。导轨结构坚固耐用，抽拉顺畅。导轨经“垂直向下静载荷（150N）”、“水平侧向静载荷（75N）”、“耐久性(40000次)”、“拉出安全性”、“猛关或猛开”试验后各技术指标均符合QB/T2454-2013《家具五金 抽屉导轨》的要求。下沉量不应超过抽屉导轨拉出长度的4%。导轨的金属表面耐腐蚀符合QB/T3826-1999或QB/T3832-1999的要求（中性盐雾100小时），耐腐蚀等级（10级最好,0级最差）≥8级。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▲7. </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导轨”、“铰链”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026795" cy="1005840"/>
                  <wp:effectExtent l="0" t="0" r="1905" b="3810"/>
                  <wp:docPr id="77" name="图片_43"/>
                  <wp:cNvGraphicFramePr/>
                  <a:graphic xmlns:a="http://schemas.openxmlformats.org/drawingml/2006/main">
                    <a:graphicData uri="http://schemas.openxmlformats.org/drawingml/2006/picture">
                      <pic:pic xmlns:pic="http://schemas.openxmlformats.org/drawingml/2006/picture">
                        <pic:nvPicPr>
                          <pic:cNvPr id="77" name="图片_43"/>
                          <pic:cNvPicPr/>
                        </pic:nvPicPr>
                        <pic:blipFill>
                          <a:blip r:embed="rId33">
                            <a:extLst>
                              <a:ext uri="{28A0092B-C50C-407E-A947-70E740481C1C}">
                                <a14:useLocalDpi xmlns:a14="http://schemas.microsoft.com/office/drawing/2010/main" val="0"/>
                              </a:ext>
                            </a:extLst>
                          </a:blip>
                          <a:stretch>
                            <a:fillRect/>
                          </a:stretch>
                        </pic:blipFill>
                        <pic:spPr>
                          <a:xfrm>
                            <a:off x="0" y="0"/>
                            <a:ext cx="1026795" cy="10058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2.规格(mm)：800*300*950H；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818515" cy="1090930"/>
                  <wp:effectExtent l="0" t="0" r="635" b="13970"/>
                  <wp:docPr id="78" name="图片_62_SpCnt_1"/>
                  <wp:cNvGraphicFramePr/>
                  <a:graphic xmlns:a="http://schemas.openxmlformats.org/drawingml/2006/main">
                    <a:graphicData uri="http://schemas.openxmlformats.org/drawingml/2006/picture">
                      <pic:pic xmlns:pic="http://schemas.openxmlformats.org/drawingml/2006/picture">
                        <pic:nvPicPr>
                          <pic:cNvPr id="78" name="图片_62_SpCnt_1"/>
                          <pic:cNvPicPr/>
                        </pic:nvPicPr>
                        <pic:blipFill>
                          <a:blip r:embed="rId27">
                            <a:extLst>
                              <a:ext uri="{28A0092B-C50C-407E-A947-70E740481C1C}">
                                <a14:useLocalDpi xmlns:a14="http://schemas.microsoft.com/office/drawing/2010/main" val="0"/>
                              </a:ext>
                            </a:extLst>
                          </a:blip>
                          <a:stretch>
                            <a:fillRect/>
                          </a:stretch>
                        </pic:blipFill>
                        <pic:spPr>
                          <a:xfrm>
                            <a:off x="0" y="0"/>
                            <a:ext cx="818515" cy="1090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2.规格(mm)：1200*300*950H；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▲4.封边条：采用厚度为0.8mm的优质PVC封边条。封边条的耐干热性、耐磨性、耐冷热循环性符合QB/T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818515" cy="1090930"/>
                  <wp:effectExtent l="0" t="0" r="635" b="13970"/>
                  <wp:docPr id="79" name="图片_62_SpCnt_2"/>
                  <wp:cNvGraphicFramePr/>
                  <a:graphic xmlns:a="http://schemas.openxmlformats.org/drawingml/2006/main">
                    <a:graphicData uri="http://schemas.openxmlformats.org/drawingml/2006/picture">
                      <pic:pic xmlns:pic="http://schemas.openxmlformats.org/drawingml/2006/picture">
                        <pic:nvPicPr>
                          <pic:cNvPr id="79" name="图片_62_SpCnt_2"/>
                          <pic:cNvPicPr/>
                        </pic:nvPicPr>
                        <pic:blipFill>
                          <a:blip r:embed="rId27">
                            <a:extLst>
                              <a:ext uri="{28A0092B-C50C-407E-A947-70E740481C1C}">
                                <a14:useLocalDpi xmlns:a14="http://schemas.microsoft.com/office/drawing/2010/main" val="0"/>
                              </a:ext>
                            </a:extLst>
                          </a:blip>
                          <a:stretch>
                            <a:fillRect/>
                          </a:stretch>
                        </pic:blipFill>
                        <pic:spPr>
                          <a:xfrm>
                            <a:off x="0" y="0"/>
                            <a:ext cx="818515" cy="1090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三人位沙发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2.规格(mm)：1800*820*820H；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内部框架：框架基材为优质实木，搭配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6.沙发脚：采用优质实木，材质坚硬、刚性强、不易腐蚀、抗弯强度适中、断裂强度适中。木材经高温干燥、除虫、防虫、防腐处理，具有很好的尺寸稳定性,含水率低于14%。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1382.39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5529.56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66825" cy="736600"/>
                  <wp:effectExtent l="0" t="0" r="9525" b="6350"/>
                  <wp:docPr id="80" name="图片_35"/>
                  <wp:cNvGraphicFramePr/>
                  <a:graphic xmlns:a="http://schemas.openxmlformats.org/drawingml/2006/main">
                    <a:graphicData uri="http://schemas.openxmlformats.org/drawingml/2006/picture">
                      <pic:pic xmlns:pic="http://schemas.openxmlformats.org/drawingml/2006/picture">
                        <pic:nvPicPr>
                          <pic:cNvPr id="80" name="图片_35"/>
                          <pic:cNvPicPr/>
                        </pic:nvPicPr>
                        <pic:blipFill>
                          <a:blip r:embed="rId34">
                            <a:extLst>
                              <a:ext uri="{28A0092B-C50C-407E-A947-70E740481C1C}">
                                <a14:useLocalDpi xmlns:a14="http://schemas.microsoft.com/office/drawing/2010/main" val="0"/>
                              </a:ext>
                            </a:extLst>
                          </a:blip>
                          <a:stretch>
                            <a:fillRect/>
                          </a:stretch>
                        </pic:blipFill>
                        <pic:spPr>
                          <a:xfrm>
                            <a:off x="0" y="0"/>
                            <a:ext cx="1266825" cy="736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2.规格(mm)：1200*600*600Hm；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6.框架：框架基材为优质实木，材质坚硬、刚性强、不易腐蚀、抗弯强度适中、断裂强度适中。木材经高温干燥、除虫、防虫、防腐处理，具有很好的尺寸稳定性,含水率低于14%。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140460" cy="1062990"/>
                  <wp:effectExtent l="0" t="0" r="2540" b="3810"/>
                  <wp:docPr id="81" name="图片_38"/>
                  <wp:cNvGraphicFramePr/>
                  <a:graphic xmlns:a="http://schemas.openxmlformats.org/drawingml/2006/main">
                    <a:graphicData uri="http://schemas.openxmlformats.org/drawingml/2006/picture">
                      <pic:pic xmlns:pic="http://schemas.openxmlformats.org/drawingml/2006/picture">
                        <pic:nvPicPr>
                          <pic:cNvPr id="81" name="图片_38"/>
                          <pic:cNvPicPr/>
                        </pic:nvPicPr>
                        <pic:blipFill>
                          <a:blip r:embed="rId35">
                            <a:extLst>
                              <a:ext uri="{28A0092B-C50C-407E-A947-70E740481C1C}">
                                <a14:useLocalDpi xmlns:a14="http://schemas.microsoft.com/office/drawing/2010/main" val="0"/>
                              </a:ext>
                            </a:extLst>
                          </a:blip>
                          <a:stretch>
                            <a:fillRect/>
                          </a:stretch>
                        </pic:blipFill>
                        <pic:spPr>
                          <a:xfrm>
                            <a:off x="0" y="0"/>
                            <a:ext cx="1140460" cy="10629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▲5.内板：采用E1级优质环保型胶合板，胶合板的甲醛释放量符合GB18580-2017《室内装饰装修材料人造板及其制品中甲醛释放限量》E1级的要求，甲醛释放量≤0.124mg/m³；板材的挥发性有机化合物(72h)含量符合GB/T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合板”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863600" cy="944880"/>
                  <wp:effectExtent l="0" t="0" r="12700" b="7620"/>
                  <wp:docPr id="82" name="图片_37"/>
                  <wp:cNvGraphicFramePr/>
                  <a:graphic xmlns:a="http://schemas.openxmlformats.org/drawingml/2006/main">
                    <a:graphicData uri="http://schemas.openxmlformats.org/drawingml/2006/picture">
                      <pic:pic xmlns:pic="http://schemas.openxmlformats.org/drawingml/2006/picture">
                        <pic:nvPicPr>
                          <pic:cNvPr id="82" name="图片_37"/>
                          <pic:cNvPicPr/>
                        </pic:nvPicPr>
                        <pic:blipFill>
                          <a:blip r:embed="rId36">
                            <a:extLst>
                              <a:ext uri="{28A0092B-C50C-407E-A947-70E740481C1C}">
                                <a14:useLocalDpi xmlns:a14="http://schemas.microsoft.com/office/drawing/2010/main" val="0"/>
                              </a:ext>
                            </a:extLst>
                          </a:blip>
                          <a:stretch>
                            <a:fillRect/>
                          </a:stretch>
                        </pic:blipFill>
                        <pic:spPr>
                          <a:xfrm>
                            <a:off x="0" y="0"/>
                            <a:ext cx="863600" cy="9448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2.规格(mm)：600*600*600H；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6.框架：框架基材为优质实木，材质坚硬、刚性强、不易腐蚀、抗弯强度适中、断裂强度适中。木材经高温干燥、除虫、防虫、防腐处理，具有很好的尺寸稳定性,含水率低于14%。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003935" cy="1191260"/>
                  <wp:effectExtent l="0" t="0" r="5715" b="8890"/>
                  <wp:docPr id="83" name="图片_39"/>
                  <wp:cNvGraphicFramePr/>
                  <a:graphic xmlns:a="http://schemas.openxmlformats.org/drawingml/2006/main">
                    <a:graphicData uri="http://schemas.openxmlformats.org/drawingml/2006/picture">
                      <pic:pic xmlns:pic="http://schemas.openxmlformats.org/drawingml/2006/picture">
                        <pic:nvPicPr>
                          <pic:cNvPr id="83" name="图片_39"/>
                          <pic:cNvPicPr/>
                        </pic:nvPicPr>
                        <pic:blipFill>
                          <a:blip r:embed="rId37">
                            <a:extLst>
                              <a:ext uri="{28A0092B-C50C-407E-A947-70E740481C1C}">
                                <a14:useLocalDpi xmlns:a14="http://schemas.microsoft.com/office/drawing/2010/main" val="0"/>
                              </a:ext>
                            </a:extLst>
                          </a:blip>
                          <a:stretch>
                            <a:fillRect/>
                          </a:stretch>
                        </pic:blipFill>
                        <pic:spPr>
                          <a:xfrm>
                            <a:off x="0" y="0"/>
                            <a:ext cx="1003935" cy="11912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▲5.内板：采用E1级优质环保型胶合板，胶合板的甲醛释放量符合GB18580-2017《室内装饰装修材料人造板及其制品中甲醛释放限量》E1级的要求，甲醛释放量≤0.124mg/m³；板材的挥发性有机化合物(72h)含量符合GB/T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6.脚架：优质钢制脚架，钢材壁厚不小于1.0mm，表面经过碱洗除油、酸洗除锈、磷化附膜、钝化、静电机器手自动喷涂和高温固化处理。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85240" cy="991235"/>
                  <wp:effectExtent l="0" t="0" r="10160" b="18415"/>
                  <wp:docPr id="84" name="图片_33"/>
                  <wp:cNvGraphicFramePr/>
                  <a:graphic xmlns:a="http://schemas.openxmlformats.org/drawingml/2006/main">
                    <a:graphicData uri="http://schemas.openxmlformats.org/drawingml/2006/picture">
                      <pic:pic xmlns:pic="http://schemas.openxmlformats.org/drawingml/2006/picture">
                        <pic:nvPicPr>
                          <pic:cNvPr id="84" name="图片_33"/>
                          <pic:cNvPicPr/>
                        </pic:nvPicPr>
                        <pic:blipFill>
                          <a:blip r:embed="rId38">
                            <a:extLst>
                              <a:ext uri="{28A0092B-C50C-407E-A947-70E740481C1C}">
                                <a14:useLocalDpi xmlns:a14="http://schemas.microsoft.com/office/drawing/2010/main" val="0"/>
                              </a:ext>
                            </a:extLst>
                          </a:blip>
                          <a:stretch>
                            <a:fillRect/>
                          </a:stretch>
                        </pic:blipFill>
                        <pic:spPr>
                          <a:xfrm>
                            <a:off x="0" y="0"/>
                            <a:ext cx="1285240" cy="991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1.型号：志光/GCON、GF019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2.规格(mm)：Ø600*600H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40485" cy="734695"/>
                  <wp:effectExtent l="0" t="0" r="12065" b="8255"/>
                  <wp:docPr id="85" name="图片_36"/>
                  <wp:cNvGraphicFramePr/>
                  <a:graphic xmlns:a="http://schemas.openxmlformats.org/drawingml/2006/main">
                    <a:graphicData uri="http://schemas.openxmlformats.org/drawingml/2006/picture">
                      <pic:pic xmlns:pic="http://schemas.openxmlformats.org/drawingml/2006/picture">
                        <pic:nvPicPr>
                          <pic:cNvPr id="85" name="图片_36"/>
                          <pic:cNvPicPr/>
                        </pic:nvPicPr>
                        <pic:blipFill>
                          <a:blip r:embed="rId39">
                            <a:extLst>
                              <a:ext uri="{28A0092B-C50C-407E-A947-70E740481C1C}">
                                <a14:useLocalDpi xmlns:a14="http://schemas.microsoft.com/office/drawing/2010/main" val="0"/>
                              </a:ext>
                            </a:extLst>
                          </a:blip>
                          <a:stretch>
                            <a:fillRect/>
                          </a:stretch>
                        </pic:blipFill>
                        <pic:spPr>
                          <a:xfrm>
                            <a:off x="0" y="0"/>
                            <a:ext cx="1340485" cy="7346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2.规格(mm)：6000*1500*750H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08100" cy="791210"/>
                  <wp:effectExtent l="0" t="0" r="6350" b="8890"/>
                  <wp:docPr id="86" name="图片_45"/>
                  <wp:cNvGraphicFramePr/>
                  <a:graphic xmlns:a="http://schemas.openxmlformats.org/drawingml/2006/main">
                    <a:graphicData uri="http://schemas.openxmlformats.org/drawingml/2006/picture">
                      <pic:pic xmlns:pic="http://schemas.openxmlformats.org/drawingml/2006/picture">
                        <pic:nvPicPr>
                          <pic:cNvPr id="86" name="图片_45"/>
                          <pic:cNvPicPr/>
                        </pic:nvPicPr>
                        <pic:blipFill>
                          <a:blip r:embed="rId40">
                            <a:extLst>
                              <a:ext uri="{28A0092B-C50C-407E-A947-70E740481C1C}">
                                <a14:useLocalDpi xmlns:a14="http://schemas.microsoft.com/office/drawing/2010/main" val="0"/>
                              </a:ext>
                            </a:extLst>
                          </a:blip>
                          <a:stretch>
                            <a:fillRect/>
                          </a:stretch>
                        </pic:blipFill>
                        <pic:spPr>
                          <a:xfrm>
                            <a:off x="0" y="0"/>
                            <a:ext cx="1308100" cy="7912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3.面料：采用优质人造革（环保皮），皮质的拉力好,不易撕裂,耐腐蚀,抗磨性能好,具有抗菌、防霉、防蛀、无任何有害物质。符合GB/T16799《家具用皮革》的要求。环保皮的撕裂力不小于20N；摩擦色牢度 干擦（50次）不小于4级、湿擦（20次）不小于3级、碱性汗液（20次）不小于3级；气味不大于3级。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5.坐垫内板：采用优质环保型胶合板。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椅架：采用优质钢脚，钢材壁厚不小于1.0mm，经折弯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7.颜色：黑色。</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66470" cy="1183640"/>
                  <wp:effectExtent l="0" t="0" r="5080" b="16510"/>
                  <wp:docPr id="87" name="图片_46"/>
                  <wp:cNvGraphicFramePr/>
                  <a:graphic xmlns:a="http://schemas.openxmlformats.org/drawingml/2006/main">
                    <a:graphicData uri="http://schemas.openxmlformats.org/drawingml/2006/picture">
                      <pic:pic xmlns:pic="http://schemas.openxmlformats.org/drawingml/2006/picture">
                        <pic:nvPicPr>
                          <pic:cNvPr id="87" name="图片_46"/>
                          <pic:cNvPicPr/>
                        </pic:nvPicPr>
                        <pic:blipFill>
                          <a:blip r:embed="rId41">
                            <a:extLst>
                              <a:ext uri="{28A0092B-C50C-407E-A947-70E740481C1C}">
                                <a14:useLocalDpi xmlns:a14="http://schemas.microsoft.com/office/drawing/2010/main" val="0"/>
                              </a:ext>
                            </a:extLst>
                          </a:blip>
                          <a:stretch>
                            <a:fillRect/>
                          </a:stretch>
                        </pic:blipFill>
                        <pic:spPr>
                          <a:xfrm>
                            <a:off x="0" y="0"/>
                            <a:ext cx="966470" cy="11836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1.型号：志光/GCON、GB001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2.规格(mm)：1400*600*750H；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▲3.基材：采用优质E1级环保型油漆饰面多层实木板，板材的甲醛释放量符合GB18580-2017《室内装饰装修材料人造板及其制品中 甲醛释放限量》E1级要求甲醛释放限量≤0.124mg/m³。同时，所有板材的挥发性有机化合物(72h)含量符合GB/T 35601-2017《绿色产品评价人造板和木质地板》的要求，其中苯≤10ug/m³，甲苯≤20ug/m³，二甲苯≤20ug/m³，TVOC≤100ug/m³，可溶性重金属（铅、铬、镉、汞）总含量≤100mg/kg；桌面、脚架外框厚度为40mm(±2mm)。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4.饰面：采用优质木皮饰面，木皮颜色一致，纹理自然清晰，无明显节眼、黑斑、破损等。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5.框架基材：采用橡胶木实木，材质坚硬、刚性强、不易腐蚀、抗弯强度适中、断裂强度适中。木材经高温干燥、除虫、防虫、防腐处理，具有很好的尺寸稳定性,含水率低于14%。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油漆饰面刨花板”、“底漆”、“面漆”、“胶粘剂”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50010" cy="972820"/>
                  <wp:effectExtent l="0" t="0" r="2540" b="17780"/>
                  <wp:docPr id="88" name="图片_49"/>
                  <wp:cNvGraphicFramePr/>
                  <a:graphic xmlns:a="http://schemas.openxmlformats.org/drawingml/2006/main">
                    <a:graphicData uri="http://schemas.openxmlformats.org/drawingml/2006/picture">
                      <pic:pic xmlns:pic="http://schemas.openxmlformats.org/drawingml/2006/picture">
                        <pic:nvPicPr>
                          <pic:cNvPr id="88" name="图片_49"/>
                          <pic:cNvPicPr/>
                        </pic:nvPicPr>
                        <pic:blipFill>
                          <a:blip r:embed="rId42">
                            <a:extLst>
                              <a:ext uri="{28A0092B-C50C-407E-A947-70E740481C1C}">
                                <a14:useLocalDpi xmlns:a14="http://schemas.microsoft.com/office/drawing/2010/main" val="0"/>
                              </a:ext>
                            </a:extLst>
                          </a:blip>
                          <a:stretch>
                            <a:fillRect/>
                          </a:stretch>
                        </pic:blipFill>
                        <pic:spPr>
                          <a:xfrm>
                            <a:off x="0" y="0"/>
                            <a:ext cx="1350010" cy="972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1.型号：志光/GCON、GM004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2、规格(mm)：400*350*450H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3.基材：框架基材为橡胶木实木，材质坚硬、刚性强、不易腐蚀、抗弯强度适中、断裂强度适中。木材经高温干燥、除虫、防虫、防腐处理，具有很好的尺寸稳定性,含水率低于14%；脚架外框厚度为30mm(±2mm)。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胶粘剂”、“底漆”、“面漆”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780415" cy="923290"/>
                  <wp:effectExtent l="0" t="0" r="635" b="10160"/>
                  <wp:docPr id="89" name="图片_51"/>
                  <wp:cNvGraphicFramePr/>
                  <a:graphic xmlns:a="http://schemas.openxmlformats.org/drawingml/2006/main">
                    <a:graphicData uri="http://schemas.openxmlformats.org/drawingml/2006/picture">
                      <pic:pic xmlns:pic="http://schemas.openxmlformats.org/drawingml/2006/picture">
                        <pic:nvPicPr>
                          <pic:cNvPr id="89" name="图片_51"/>
                          <pic:cNvPicPr/>
                        </pic:nvPicPr>
                        <pic:blipFill>
                          <a:blip r:embed="rId43">
                            <a:extLst>
                              <a:ext uri="{28A0092B-C50C-407E-A947-70E740481C1C}">
                                <a14:useLocalDpi xmlns:a14="http://schemas.microsoft.com/office/drawing/2010/main" val="0"/>
                              </a:ext>
                            </a:extLst>
                          </a:blip>
                          <a:stretch>
                            <a:fillRect/>
                          </a:stretch>
                        </pic:blipFill>
                        <pic:spPr>
                          <a:xfrm>
                            <a:off x="0" y="0"/>
                            <a:ext cx="780415" cy="9232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 茶水柜 志光/GCON 1.型号：志光/GCON、GB002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2.规格(mm)：800*400*850HH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▲3.基材：采用厚度不小于15mm的优质环保型油漆饰面刨花板和油漆饰面中纤板合理搭配使用，板材的甲醛释放量符合GB18580-2017《室内装饰装修材料人造板及其制品中 甲醛释放限量》E1级要求甲醛释放限量≤0.124mg/m³。同时，所有板材的挥发性有机化合物(72h)含量符合GB/T 35601-2017《绿色产品评价人造板和木质地板》的要求，其中苯≤10ug/m³，甲苯≤20ug/m³，二甲苯≤20ug/m³，TVOC≤100ug/m³，可溶性重金属（铅、铬、镉、汞）总含量≤100mg/kg。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4.饰面：采用优质木皮饰面，木皮颜色一致，纹理自然清晰，无明显节眼、黑斑、破损等。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配件：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N·m。铰链经“垂直静载荷（20kg）”、“水平静载荷（40N）”、“耐久性(至少80000次)”试验后各技术指标均符合QB/T2189-2013《家具五金 杯状暗铰链》的要求。下沉量不应大于3.0mm。铰链的金属表面耐腐蚀符合QB/T3826-1999或QB/T3832-1999的要求（中性盐雾100小时），耐腐蚀等级（10级最好,0级最差）≥8级。。导轨结构坚固耐用，抽拉顺畅。导轨经“垂直向下静载荷（150N）”、“水平侧向静载荷（75N）”、“耐久性(40000次)”、“拉出安全性”、“猛关或猛开”试验后各技术指标均符合QB/T2454-2013《家具五金 抽屉导轨》的要求。下沉量不应超过抽屉导轨拉出长度的4%。导轨的金属表面耐腐蚀符合QB/T3826-1999或QB/T3832-1999的要求（中性盐雾100小时），耐腐蚀等级（10级最好,0级最差）≥8级。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▲7.胶粘剂：采用优质品牌胶粘剂（白乳胶）。胶粘剂（白乳胶）中的有害物质限量必符合国家标准GB 18583-2008《室内装饰装修材料 胶粘剂中有害物质限量》的要求。游离甲醛≤1.0g/kg；苯≤0.20g/kg；甲苯+二甲苯≤10g/kg；总挥发性有机物≤110g/L。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8.表面颜色：胡桃色。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9、供货时提供有资质(CMA或CNAS)的第三方检测机构出具符合招标要求的“油漆饰面刨花板”、“油漆饰面中纤板”、“底漆”、“面漆”、“胶粘剂”、“三合一连接件”、“导轨”、“铰链”的检测合格的检测报告复印件（检测报告可以是投标人自己送检的，也可以是家具生产厂家的或者是原材料供应商的），加盖投标人公章。（原件备查）。 张 1 1080 1080  </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040130" cy="1021080"/>
                  <wp:effectExtent l="0" t="0" r="7620" b="7620"/>
                  <wp:docPr id="90" name="图片_52"/>
                  <wp:cNvGraphicFramePr/>
                  <a:graphic xmlns:a="http://schemas.openxmlformats.org/drawingml/2006/main">
                    <a:graphicData uri="http://schemas.openxmlformats.org/drawingml/2006/picture">
                      <pic:pic xmlns:pic="http://schemas.openxmlformats.org/drawingml/2006/picture">
                        <pic:nvPicPr>
                          <pic:cNvPr id="90" name="图片_52"/>
                          <pic:cNvPicPr/>
                        </pic:nvPicPr>
                        <pic:blipFill>
                          <a:blip r:embed="rId44">
                            <a:extLst>
                              <a:ext uri="{28A0092B-C50C-407E-A947-70E740481C1C}">
                                <a14:useLocalDpi xmlns:a14="http://schemas.microsoft.com/office/drawing/2010/main" val="0"/>
                              </a:ext>
                            </a:extLst>
                          </a:blip>
                          <a:stretch>
                            <a:fillRect/>
                          </a:stretch>
                        </pic:blipFill>
                        <pic:spPr>
                          <a:xfrm>
                            <a:off x="0" y="0"/>
                            <a:ext cx="1040130" cy="10210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条桌1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2.规格(mm)：1400*500*750H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35601-2017《绿色产品评价人造板和木质地板》的要求，其中苯≤10ug/m³，甲苯≤20ug/m³，二甲苯≤20ug/m³，TVOC≤100ug/m³。面板厚度为25mm(±2mm)，挡板厚度为15mm(±2mm)。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面板封边条厚度为2mm，挡板封边条厚度为0.8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83335" cy="1100455"/>
                  <wp:effectExtent l="0" t="0" r="12065" b="4445"/>
                  <wp:docPr id="91" name="图片_54"/>
                  <wp:cNvGraphicFramePr/>
                  <a:graphic xmlns:a="http://schemas.openxmlformats.org/drawingml/2006/main">
                    <a:graphicData uri="http://schemas.openxmlformats.org/drawingml/2006/picture">
                      <pic:pic xmlns:pic="http://schemas.openxmlformats.org/drawingml/2006/picture">
                        <pic:nvPicPr>
                          <pic:cNvPr id="91" name="图片_54"/>
                          <pic:cNvPicPr/>
                        </pic:nvPicPr>
                        <pic:blipFill>
                          <a:blip r:embed="rId45">
                            <a:extLst>
                              <a:ext uri="{28A0092B-C50C-407E-A947-70E740481C1C}">
                                <a14:useLocalDpi xmlns:a14="http://schemas.microsoft.com/office/drawing/2010/main" val="0"/>
                              </a:ext>
                            </a:extLst>
                          </a:blip>
                          <a:stretch>
                            <a:fillRect/>
                          </a:stretch>
                        </pic:blipFill>
                        <pic:spPr>
                          <a:xfrm>
                            <a:off x="0" y="0"/>
                            <a:ext cx="1283335" cy="11004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采用优质网布面料，防磨防污性好；面料中的甲醛含量和可分解致癌芳香胺染料的含量符合GB18401-2010《国家纺织产品基本安全技术规范》的要求。甲醛含量（C类）≤300mg/kg；可分解致癌芳香胺染料的含量≤20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▲5.坐垫内板：采用E1级优质环保型胶合板，胶合板的甲醛释放量符合GB18580-2017《室内装饰装修材料人造板及其制品中甲醛释放限量》E1级的要求，甲醛释放量≤0.124mg/m³；板材的挥发性有机化合物(72h)含量符合GB/T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椅架：采用优质钢脚，钢材壁厚不小于1.0mm，经折弯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7.颜色：黑色。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供货时提供有资质(CMA或CNAS)的第三方检测机构出具符合招标要求的“网布”、“海绵”、“胶合板”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654685" cy="1067435"/>
                  <wp:effectExtent l="0" t="0" r="12065" b="18415"/>
                  <wp:docPr id="92" name="图片_55"/>
                  <wp:cNvGraphicFramePr/>
                  <a:graphic xmlns:a="http://schemas.openxmlformats.org/drawingml/2006/main">
                    <a:graphicData uri="http://schemas.openxmlformats.org/drawingml/2006/picture">
                      <pic:pic xmlns:pic="http://schemas.openxmlformats.org/drawingml/2006/picture">
                        <pic:nvPicPr>
                          <pic:cNvPr id="92" name="图片_55"/>
                          <pic:cNvPicPr/>
                        </pic:nvPicPr>
                        <pic:blipFill>
                          <a:blip r:embed="rId46">
                            <a:extLst>
                              <a:ext uri="{28A0092B-C50C-407E-A947-70E740481C1C}">
                                <a14:useLocalDpi xmlns:a14="http://schemas.microsoft.com/office/drawing/2010/main" val="0"/>
                              </a:ext>
                            </a:extLst>
                          </a:blip>
                          <a:stretch>
                            <a:fillRect/>
                          </a:stretch>
                        </pic:blipFill>
                        <pic:spPr>
                          <a:xfrm>
                            <a:off x="0" y="0"/>
                            <a:ext cx="654685" cy="10674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条桌1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2.规格(mm)：1800*500*750H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35601-2017《绿色产品评价人造板和木质地板》的要求，其中苯≤10ug/m³，甲苯≤20ug/m³，二甲苯≤20ug/m³，TVOC≤100ug/m³。面板厚度为25mm(±2mm)，挡板厚度为15mm(±2mm)。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面板封边条厚度为2mm，挡板封边条厚度为0.8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83335" cy="1100455"/>
                  <wp:effectExtent l="0" t="0" r="12065" b="4445"/>
                  <wp:docPr id="93" name="图片_56"/>
                  <wp:cNvGraphicFramePr/>
                  <a:graphic xmlns:a="http://schemas.openxmlformats.org/drawingml/2006/main">
                    <a:graphicData uri="http://schemas.openxmlformats.org/drawingml/2006/picture">
                      <pic:pic xmlns:pic="http://schemas.openxmlformats.org/drawingml/2006/picture">
                        <pic:nvPicPr>
                          <pic:cNvPr id="93" name="图片_56"/>
                          <pic:cNvPicPr/>
                        </pic:nvPicPr>
                        <pic:blipFill>
                          <a:blip r:embed="rId45">
                            <a:extLst>
                              <a:ext uri="{28A0092B-C50C-407E-A947-70E740481C1C}">
                                <a14:useLocalDpi xmlns:a14="http://schemas.microsoft.com/office/drawing/2010/main" val="0"/>
                              </a:ext>
                            </a:extLst>
                          </a:blip>
                          <a:stretch>
                            <a:fillRect/>
                          </a:stretch>
                        </pic:blipFill>
                        <pic:spPr>
                          <a:xfrm>
                            <a:off x="0" y="0"/>
                            <a:ext cx="1283335" cy="11004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躺椅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2.规格(mm)：折叠尺寸650*950*180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3.面料：采用优质弹力布，弹力布的拉力好,不易撕裂,耐腐蚀,抗磨性能好,具有抗菌、防霉、防蛀、无任何有害物质。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椅架：采用优质钢脚，钢材壁厚不小于0.8mm，经折弯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5.颜色：黑色。</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47775" cy="992505"/>
                  <wp:effectExtent l="0" t="0" r="9525" b="17145"/>
                  <wp:docPr id="94" name="图片_4"/>
                  <wp:cNvGraphicFramePr/>
                  <a:graphic xmlns:a="http://schemas.openxmlformats.org/drawingml/2006/main">
                    <a:graphicData uri="http://schemas.openxmlformats.org/drawingml/2006/picture">
                      <pic:pic xmlns:pic="http://schemas.openxmlformats.org/drawingml/2006/picture">
                        <pic:nvPicPr>
                          <pic:cNvPr id="94" name="图片_4"/>
                          <pic:cNvPicPr/>
                        </pic:nvPicPr>
                        <pic:blipFill>
                          <a:blip r:embed="rId47">
                            <a:extLst>
                              <a:ext uri="{28A0092B-C50C-407E-A947-70E740481C1C}">
                                <a14:useLocalDpi xmlns:a14="http://schemas.microsoft.com/office/drawing/2010/main" val="0"/>
                              </a:ext>
                            </a:extLst>
                          </a:blip>
                          <a:stretch>
                            <a:fillRect/>
                          </a:stretch>
                        </pic:blipFill>
                        <pic:spPr>
                          <a:xfrm>
                            <a:off x="0" y="0"/>
                            <a:ext cx="1247775" cy="9925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2.规格(mm)：1600*900*750H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81710" cy="1126490"/>
                  <wp:effectExtent l="0" t="0" r="8890" b="16510"/>
                  <wp:docPr id="95" name="图片_12"/>
                  <wp:cNvGraphicFramePr/>
                  <a:graphic xmlns:a="http://schemas.openxmlformats.org/drawingml/2006/main">
                    <a:graphicData uri="http://schemas.openxmlformats.org/drawingml/2006/picture">
                      <pic:pic xmlns:pic="http://schemas.openxmlformats.org/drawingml/2006/picture">
                        <pic:nvPicPr>
                          <pic:cNvPr id="95" name="图片_12"/>
                          <pic:cNvPicPr/>
                        </pic:nvPicPr>
                        <pic:blipFill>
                          <a:blip r:embed="rId48">
                            <a:extLst>
                              <a:ext uri="{28A0092B-C50C-407E-A947-70E740481C1C}">
                                <a14:useLocalDpi xmlns:a14="http://schemas.microsoft.com/office/drawing/2010/main" val="0"/>
                              </a:ext>
                            </a:extLst>
                          </a:blip>
                          <a:stretch>
                            <a:fillRect/>
                          </a:stretch>
                        </pic:blipFill>
                        <pic:spPr>
                          <a:xfrm>
                            <a:off x="0" y="0"/>
                            <a:ext cx="981710" cy="11264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▲5.坐垫内板：采用E1级优质环保型胶合板，胶合板的甲醛释放量符合GB18580-2017《室内装饰装修材料人造板及其制品中甲醛释放限量》E1级的要求，甲醛释放量≤0.124mg/m³；板材的挥发性有机化合物(72h)含量符合GB/T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6.框架：框架基材为优质实木，材质坚硬、刚性强、不易腐蚀、抗弯强度适中、断裂强度适中。木材经高温干燥、除虫、防虫、防腐处理，具有很好的尺寸稳定性,含水率低于14%。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7.油漆：采用优质环保型PU 聚酯漆，底漆和面漆中的有害物质限量都须符合GB18581-2020《木器涂料中有害物质限量》的要求。底漆和面漆中的苯含量均≤0.1%；底漆和面漆中的甲苯与二甲苯（含乙苯）含量总和均≤20%。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胶合板”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958850" cy="960120"/>
                  <wp:effectExtent l="0" t="0" r="12700" b="11430"/>
                  <wp:docPr id="96" name="图片_11"/>
                  <wp:cNvGraphicFramePr/>
                  <a:graphic xmlns:a="http://schemas.openxmlformats.org/drawingml/2006/main">
                    <a:graphicData uri="http://schemas.openxmlformats.org/drawingml/2006/picture">
                      <pic:pic xmlns:pic="http://schemas.openxmlformats.org/drawingml/2006/picture">
                        <pic:nvPicPr>
                          <pic:cNvPr id="96" name="图片_11"/>
                          <pic:cNvPicPr/>
                        </pic:nvPicPr>
                        <pic:blipFill>
                          <a:blip r:embed="rId49">
                            <a:extLst>
                              <a:ext uri="{28A0092B-C50C-407E-A947-70E740481C1C}">
                                <a14:useLocalDpi xmlns:a14="http://schemas.microsoft.com/office/drawing/2010/main" val="0"/>
                              </a:ext>
                            </a:extLst>
                          </a:blip>
                          <a:stretch>
                            <a:fillRect/>
                          </a:stretch>
                        </pic:blipFill>
                        <pic:spPr>
                          <a:xfrm>
                            <a:off x="0" y="0"/>
                            <a:ext cx="958850" cy="960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2.规格(mm)：4000*1600*750H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08100" cy="821055"/>
                  <wp:effectExtent l="0" t="0" r="6350" b="17145"/>
                  <wp:docPr id="97" name="图片_22"/>
                  <wp:cNvGraphicFramePr/>
                  <a:graphic xmlns:a="http://schemas.openxmlformats.org/drawingml/2006/main">
                    <a:graphicData uri="http://schemas.openxmlformats.org/drawingml/2006/picture">
                      <pic:pic xmlns:pic="http://schemas.openxmlformats.org/drawingml/2006/picture">
                        <pic:nvPicPr>
                          <pic:cNvPr id="97" name="图片_22"/>
                          <pic:cNvPicPr/>
                        </pic:nvPicPr>
                        <pic:blipFill>
                          <a:blip r:embed="rId50">
                            <a:extLst>
                              <a:ext uri="{28A0092B-C50C-407E-A947-70E740481C1C}">
                                <a14:useLocalDpi xmlns:a14="http://schemas.microsoft.com/office/drawing/2010/main" val="0"/>
                              </a:ext>
                            </a:extLst>
                          </a:blip>
                          <a:stretch>
                            <a:fillRect/>
                          </a:stretch>
                        </pic:blipFill>
                        <pic:spPr>
                          <a:xfrm>
                            <a:off x="0" y="0"/>
                            <a:ext cx="1308100" cy="8210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2.规格(mm)：3600*1350*750H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▲8. </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374140" cy="905510"/>
                  <wp:effectExtent l="0" t="0" r="16510" b="8890"/>
                  <wp:docPr id="98" name="图片_47"/>
                  <wp:cNvGraphicFramePr/>
                  <a:graphic xmlns:a="http://schemas.openxmlformats.org/drawingml/2006/main">
                    <a:graphicData uri="http://schemas.openxmlformats.org/drawingml/2006/picture">
                      <pic:pic xmlns:pic="http://schemas.openxmlformats.org/drawingml/2006/picture">
                        <pic:nvPicPr>
                          <pic:cNvPr id="98" name="图片_47"/>
                          <pic:cNvPicPr/>
                        </pic:nvPicPr>
                        <pic:blipFill>
                          <a:blip r:embed="rId51">
                            <a:extLst>
                              <a:ext uri="{28A0092B-C50C-407E-A947-70E740481C1C}">
                                <a14:useLocalDpi xmlns:a14="http://schemas.microsoft.com/office/drawing/2010/main" val="0"/>
                              </a:ext>
                            </a:extLst>
                          </a:blip>
                          <a:stretch>
                            <a:fillRect/>
                          </a:stretch>
                        </pic:blipFill>
                        <pic:spPr>
                          <a:xfrm>
                            <a:off x="0" y="0"/>
                            <a:ext cx="1374140" cy="9055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3.面料：采用优质人造革（环保皮），皮质的拉力好,不易撕裂,耐腐蚀,抗磨性能好,具有抗菌、防霉、防蛀、无任何有害物质。符合GB/T16799《家具用皮革》的要求。环保皮的撕裂力不小于20N；摩擦色牢度 干擦（50次）不小于4级、湿擦（20次）不小于3级、碱性汗液（20次）不小于3级；气味不大于3级。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5.坐垫内板：采用优质环保型胶合板。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椅架：采用优质钢脚，钢材壁厚不小于1.0mm，经折弯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73810" cy="719455"/>
                  <wp:effectExtent l="0" t="0" r="2540" b="4445"/>
                  <wp:docPr id="99" name="图片_44"/>
                  <wp:cNvGraphicFramePr/>
                  <a:graphic xmlns:a="http://schemas.openxmlformats.org/drawingml/2006/main">
                    <a:graphicData uri="http://schemas.openxmlformats.org/drawingml/2006/picture">
                      <pic:pic xmlns:pic="http://schemas.openxmlformats.org/drawingml/2006/picture">
                        <pic:nvPicPr>
                          <pic:cNvPr id="99" name="图片_44"/>
                          <pic:cNvPicPr/>
                        </pic:nvPicPr>
                        <pic:blipFill>
                          <a:blip r:embed="rId52">
                            <a:extLst>
                              <a:ext uri="{28A0092B-C50C-407E-A947-70E740481C1C}">
                                <a14:useLocalDpi xmlns:a14="http://schemas.microsoft.com/office/drawing/2010/main" val="0"/>
                              </a:ext>
                            </a:extLst>
                          </a:blip>
                          <a:stretch>
                            <a:fillRect/>
                          </a:stretch>
                        </pic:blipFill>
                        <pic:spPr>
                          <a:xfrm>
                            <a:off x="0" y="0"/>
                            <a:ext cx="1273810" cy="7194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1.型号：志光/GCON、GS019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5.框架：使用E1级优质环保型胶合板，胶合板的甲醛释放量符合GB18580-2017《室内装饰装修材料人造板及其制品中甲醛释放限量》E1级的要求，甲醛释放量≤0.124mg/m³。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海绵”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163.04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2445.6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dr w:val="single" w:color="000000" w:sz="4" w:space="0"/>
                <w:lang w:bidi="ar"/>
              </w:rPr>
              <w:drawing>
                <wp:inline distT="0" distB="0" distL="0" distR="0">
                  <wp:extent cx="1237615" cy="709930"/>
                  <wp:effectExtent l="0" t="0" r="635" b="13970"/>
                  <wp:docPr id="100" name="Picture_17"/>
                  <wp:cNvGraphicFramePr/>
                  <a:graphic xmlns:a="http://schemas.openxmlformats.org/drawingml/2006/main">
                    <a:graphicData uri="http://schemas.openxmlformats.org/drawingml/2006/picture">
                      <pic:pic xmlns:pic="http://schemas.openxmlformats.org/drawingml/2006/picture">
                        <pic:nvPicPr>
                          <pic:cNvPr id="100" name="Picture_17"/>
                          <pic:cNvPicPr/>
                        </pic:nvPicPr>
                        <pic:blipFill>
                          <a:blip r:embed="rId53">
                            <a:extLst>
                              <a:ext uri="{28A0092B-C50C-407E-A947-70E740481C1C}">
                                <a14:useLocalDpi xmlns:a14="http://schemas.microsoft.com/office/drawing/2010/main" val="0"/>
                              </a:ext>
                            </a:extLst>
                          </a:blip>
                          <a:stretch>
                            <a:fillRect/>
                          </a:stretch>
                        </pic:blipFill>
                        <pic:spPr>
                          <a:xfrm>
                            <a:off x="0" y="0"/>
                            <a:ext cx="1237615" cy="709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2.规格(mm)：3200*1000*750H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▲8. </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olor w:val="auto"/>
                <w:highlight w:val="none"/>
                <w:bdr w:val="single" w:color="000000" w:sz="4" w:space="0"/>
                <w:lang w:bidi="ar"/>
              </w:rPr>
              <w:drawing>
                <wp:inline distT="0" distB="0" distL="0" distR="0">
                  <wp:extent cx="1310640" cy="943610"/>
                  <wp:effectExtent l="0" t="0" r="3810" b="8890"/>
                  <wp:docPr id="101" name="图片_48"/>
                  <wp:cNvGraphicFramePr/>
                  <a:graphic xmlns:a="http://schemas.openxmlformats.org/drawingml/2006/main">
                    <a:graphicData uri="http://schemas.openxmlformats.org/drawingml/2006/picture">
                      <pic:pic xmlns:pic="http://schemas.openxmlformats.org/drawingml/2006/picture">
                        <pic:nvPicPr>
                          <pic:cNvPr id="101" name="图片_48"/>
                          <pic:cNvPicPr/>
                        </pic:nvPicPr>
                        <pic:blipFill>
                          <a:blip r:embed="rId54">
                            <a:extLst>
                              <a:ext uri="{28A0092B-C50C-407E-A947-70E740481C1C}">
                                <a14:useLocalDpi xmlns:a14="http://schemas.microsoft.com/office/drawing/2010/main" val="0"/>
                              </a:ext>
                            </a:extLst>
                          </a:blip>
                          <a:stretch>
                            <a:fillRect/>
                          </a:stretch>
                        </pic:blipFill>
                        <pic:spPr>
                          <a:xfrm>
                            <a:off x="0" y="0"/>
                            <a:ext cx="1310640" cy="9436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2.规格(mm)：3600*1350*750H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▲3.基材：面板采用厚度为25mm(±2mm)的环保型浸渍胶膜纸饰面刨花板，板材各项技术要求须符合GB/T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▲8. </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olor w:val="auto"/>
                <w:highlight w:val="none"/>
                <w:bdr w:val="single" w:color="000000" w:sz="4" w:space="0"/>
                <w:lang w:bidi="ar"/>
              </w:rPr>
              <w:drawing>
                <wp:inline distT="0" distB="0" distL="0" distR="0">
                  <wp:extent cx="1281430" cy="852170"/>
                  <wp:effectExtent l="0" t="0" r="13970" b="5080"/>
                  <wp:docPr id="102" name="图片_50"/>
                  <wp:cNvGraphicFramePr/>
                  <a:graphic xmlns:a="http://schemas.openxmlformats.org/drawingml/2006/main">
                    <a:graphicData uri="http://schemas.openxmlformats.org/drawingml/2006/picture">
                      <pic:pic xmlns:pic="http://schemas.openxmlformats.org/drawingml/2006/picture">
                        <pic:nvPicPr>
                          <pic:cNvPr id="102" name="图片_50"/>
                          <pic:cNvPicPr/>
                        </pic:nvPicPr>
                        <pic:blipFill>
                          <a:blip r:embed="rId54">
                            <a:extLst>
                              <a:ext uri="{28A0092B-C50C-407E-A947-70E740481C1C}">
                                <a14:useLocalDpi xmlns:a14="http://schemas.microsoft.com/office/drawing/2010/main" val="0"/>
                              </a:ext>
                            </a:extLst>
                          </a:blip>
                          <a:stretch>
                            <a:fillRect/>
                          </a:stretch>
                        </pic:blipFill>
                        <pic:spPr>
                          <a:xfrm>
                            <a:off x="0" y="0"/>
                            <a:ext cx="1281430" cy="8521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3.基材：面料采用优质布料，防磨防污性好；面料中的甲醛含量和可分解致癌芳香胺染料的含量符合GB18401-2010《国家纺织产品基本安全技术规范》的要求。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5.框架：框架基材为优质实木，搭配E1级优质环保型胶合板，胶合板的甲醛释放量符合GB18580-2017《室内装饰装修材料人造板及其制品中甲醛释放限量》E1级的要求，甲醛释放量≤0.124mg/m³。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olor w:val="auto"/>
                <w:highlight w:val="none"/>
                <w:bdr w:val="single" w:color="000000" w:sz="4" w:space="0"/>
                <w:lang w:bidi="ar"/>
              </w:rPr>
              <w:drawing>
                <wp:inline distT="0" distB="0" distL="0" distR="0">
                  <wp:extent cx="1342390" cy="817880"/>
                  <wp:effectExtent l="0" t="0" r="10160" b="1270"/>
                  <wp:docPr id="103" name="图片_53"/>
                  <wp:cNvGraphicFramePr/>
                  <a:graphic xmlns:a="http://schemas.openxmlformats.org/drawingml/2006/main">
                    <a:graphicData uri="http://schemas.openxmlformats.org/drawingml/2006/picture">
                      <pic:pic xmlns:pic="http://schemas.openxmlformats.org/drawingml/2006/picture">
                        <pic:nvPicPr>
                          <pic:cNvPr id="103" name="图片_53"/>
                          <pic:cNvPicPr/>
                        </pic:nvPicPr>
                        <pic:blipFill>
                          <a:blip r:embed="rId55">
                            <a:extLst>
                              <a:ext uri="{28A0092B-C50C-407E-A947-70E740481C1C}">
                                <a14:useLocalDpi xmlns:a14="http://schemas.microsoft.com/office/drawing/2010/main" val="0"/>
                              </a:ext>
                            </a:extLst>
                          </a:blip>
                          <a:stretch>
                            <a:fillRect/>
                          </a:stretch>
                        </pic:blipFill>
                        <pic:spPr>
                          <a:xfrm>
                            <a:off x="0" y="0"/>
                            <a:ext cx="1342390" cy="8178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圆茶几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2.规格(mm)：Ø500*550H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▲3.基材：面板采用厚度为18mm(±2mm)的环保型浸渍胶膜纸饰面刨花板，板材各项技术要求须符合GB/T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▲4.封边条：面板采用厚度为2mm的优质PVC封边条。封边条的耐干热性、耐磨性、耐冷热循环性符合QB/T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脚架：采用优质钢脚，钢材壁厚不小于1.0mm，经焊接成型，所有焊点都打磨光滑，可能接触人体或收藏物品的部位无毛刺、刃口、棱角。表面经过脱脂、除锈、磷化、清洗等处理，表面喷塑，涂层膜厚度均匀，内外一致，表面喷塑后，色泽均匀，光滑平整，无流痕、接痕、裂痕、划痕、气泡、色差、杂质。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热熔胶”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olor w:val="auto"/>
                <w:highlight w:val="none"/>
                <w:bdr w:val="single" w:color="000000" w:sz="4" w:space="0"/>
                <w:lang w:bidi="ar"/>
              </w:rPr>
              <w:drawing>
                <wp:inline distT="0" distB="0" distL="0" distR="0">
                  <wp:extent cx="833755" cy="1249045"/>
                  <wp:effectExtent l="0" t="0" r="4445" b="8255"/>
                  <wp:docPr id="104" name="图片_61_SpCnt_2"/>
                  <wp:cNvGraphicFramePr/>
                  <a:graphic xmlns:a="http://schemas.openxmlformats.org/drawingml/2006/main">
                    <a:graphicData uri="http://schemas.openxmlformats.org/drawingml/2006/picture">
                      <pic:pic xmlns:pic="http://schemas.openxmlformats.org/drawingml/2006/picture">
                        <pic:nvPicPr>
                          <pic:cNvPr id="104" name="图片_61_SpCnt_2"/>
                          <pic:cNvPicPr/>
                        </pic:nvPicPr>
                        <pic:blipFill>
                          <a:blip r:embed="rId56">
                            <a:extLst>
                              <a:ext uri="{28A0092B-C50C-407E-A947-70E740481C1C}">
                                <a14:useLocalDpi xmlns:a14="http://schemas.microsoft.com/office/drawing/2010/main" val="0"/>
                              </a:ext>
                            </a:extLst>
                          </a:blip>
                          <a:stretch>
                            <a:fillRect/>
                          </a:stretch>
                        </pic:blipFill>
                        <pic:spPr>
                          <a:xfrm>
                            <a:off x="0" y="0"/>
                            <a:ext cx="833755" cy="1249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08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电脑桌</w:t>
            </w:r>
          </w:p>
        </w:tc>
        <w:tc>
          <w:tcPr>
            <w:tcW w:w="108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1.型号：志光/GCON、GF029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2.规格(mm)：1200*600*750H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▲3.基材：采用环保型浸渍胶膜纸饰面刨花板，板材各项技术要求须符合GB/T 15102-2017《浸渍胶膜纸饰面纤维板和刨花板》的要求，其中板材的含水率在3.0%～13.0%之间；静曲强度≥11.0MPa；弹性模量≥1600MPa；内结合强度≥0.35MPa；2h吸水厚度膨胀率≤8.0%；密度在0.60～0.90g/cm³之间；表面胶合强度≥0.60MPa；握螺钉力（板面平均值≥900N、板边平均值≥600N）；表面耐香烟灼烧、表面耐干热、表面耐污染腐蚀（图案）、表面耐龟裂、表面耐水蒸气均达到4级以上(5级最好，1级最差）；甲醛释放量符合GB18580-2017《室内装饰装修材料人造板及其制品中甲醛释放限量》E1级要求，甲醛释放限量≤0.124mg/m³；板材的挥发性有机化合物(72h)含量符合GB/T 35601-2017《绿色产品评价人造板和木质地板》的要求，其中苯≤10ug/m³，甲苯≤20ug/m³，二甲苯≤20ug/m³，TVOC≤100ug/m³。面板厚度为25mm(±2mm)，其他板材厚度不小于15mm。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▲4.封边条：采用优质PVC封边条。封边条的耐干热性、耐磨性、耐冷热循环性符合QB/T 4463-2013《家具用封边条技术要求》的要求，同时，封边条的耐光色牢度（灰色样卡）≥4级；氯乙烯单体≤5、0mg/kg；甲醛释放量≤1.5mg/L；可迁移元素铅（Pb）含量≤90mg/kg；可迁移元素镉（Cd）含量≤75mg/kg；可迁移元素铬（Cr）含量≤60mg/kg；可迁移元素汞（Hg）含量≤60mg/kg。面板封边条厚度为2mm的，其他部件封边条厚度为0.8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▲5.热熔胶：采用优质品牌热熔胶，热熔胶中的有害物质限量符合国家标准GB 18583-2008《室内装饰装修材料 胶粘剂中有害物质限量》的要求。其中苯含量不大于5.0g/kg，甲苯+二甲苯含量不大于150g/kg，总挥发性有机物含量不大于10g/kg。热熔胶技术性能符合HG/T3698-2002《EVA热熔胶粘剂》的要求。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采用优质三合一连接件，符合GB/T28203-2011《家具用连接件技术要求及试验方法》中的技术要求，其中三合一偏心连接件的偏心体与链接螺杆的锁紧角度应在150°～190°范围内；三合一偏心连接件偏心体抗压强度≥240N；三合一偏心连接件预埋螺母抗拉强度≥550N；三合一偏心连接件中连接螺杆螺纹与预埋螺母的抗拉强度≥700N；三合一偏心连接件中偏心体与连接螺杆的扭矩≥7.0 N·m。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7.颜色：可选。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w:t>
            </w:r>
            <w:r>
              <w:rPr>
                <w:rFonts w:hint="eastAsia" w:ascii="宋体" w:hAnsi="宋体" w:cs="宋体"/>
                <w:i w:val="0"/>
                <w:iCs w:val="0"/>
                <w:color w:val="000000"/>
                <w:kern w:val="0"/>
                <w:sz w:val="16"/>
                <w:szCs w:val="16"/>
                <w:u w:val="none"/>
                <w:lang w:val="en-US" w:eastAsia="zh-CN" w:bidi="ar"/>
              </w:rPr>
              <w:t>供货时</w:t>
            </w:r>
            <w:r>
              <w:rPr>
                <w:rFonts w:hint="eastAsia" w:ascii="宋体" w:hAnsi="宋体" w:eastAsia="宋体" w:cs="宋体"/>
                <w:i w:val="0"/>
                <w:iCs w:val="0"/>
                <w:color w:val="000000"/>
                <w:kern w:val="0"/>
                <w:sz w:val="16"/>
                <w:szCs w:val="16"/>
                <w:u w:val="none"/>
                <w:lang w:val="en-US" w:eastAsia="zh-CN" w:bidi="ar"/>
              </w:rPr>
              <w:t>提供有资质(CMA或CNAS)的第三方检测机构出具符合招标要求的“浸渍胶膜纸饰面刨花板”、“PVC封边条”、“三合一链接件”、“热熔胶”、“导轨”的检测合格的检测报告复印件（检测报告可以是投标人自己送检的，也可以是家具生产厂家的或者是原材料供应商的），加盖投标人公章。（原件备查）。</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color w:val="auto"/>
                <w:highlight w:val="none"/>
              </w:rPr>
              <w:drawing>
                <wp:inline distT="0" distB="0" distL="114300" distR="114300">
                  <wp:extent cx="1165225" cy="953770"/>
                  <wp:effectExtent l="0" t="0" r="15875" b="177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7"/>
                          <a:stretch>
                            <a:fillRect/>
                          </a:stretch>
                        </pic:blipFill>
                        <pic:spPr>
                          <a:xfrm>
                            <a:off x="0" y="0"/>
                            <a:ext cx="1165225" cy="9537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志光</w:t>
            </w:r>
            <w:r>
              <w:rPr>
                <w:rFonts w:hint="eastAsia"/>
              </w:rPr>
              <w:t>/GCON</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1.型号：志光/GCON、GS021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2.规格（mm）：常规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采用优质网布面料，防磨防污性好；面料中的甲醛含量和可分解致癌芳香胺染料的含量符合GB18401-2010《国家纺织产品基本安全技术规范》的要求。甲醛含量（C类）≤300mg/kg；可分解致癌芳香胺染料的含量≤20mg/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▲4.辅料：采用优质海绵，密度高，回弹率好。要求海绵颜色均匀、无污染、无刺激性气味，海绵回弹率不小于35%，干热老化后拉伸强度不小于55kPa，湿热老化后拉伸强度不小于55kPa，压陷性能符合GB/T 10802-2023《通用软质聚氨脂泡沫塑料》的要求。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▲5.坐垫内板：采用E1级优质环保型胶合板，胶合板的甲醛释放量符合GB18580-2017《室内装饰装修材料人造板及其制品中甲醛释放限量》E1级的要求，甲醛释放量≤0.124mg/m³；板材的挥发性有机化合物(72h)含量符合GB/T 35601-2017《绿色产品评价人造板和木质地板》的要求，其中苯≤10ug/m³，甲苯≤20ug/m³，二甲苯≤20ug/m³，TVOC≤100ug/m³。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底盘：采用优质办公椅底盘，底盘具有倾仰功能。底盘符合GB/T3325《金属家具通用技术条件》的要求，其中焊接处无脱焊、虚焊、焊穿、错位、无夹渣、气孔、焊瘤、焊丝头、咬边、飞溅等缺陷；冲压件应无脱层、裂缝。</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7.气压棒：采用优质气压棒，各项性能须符合国家标准GB/T29525-2013《座椅升降气弹簧 技术条件》的要求。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8.脚架：采用优质尼龙五星脚，产品质量过硬各项技术指标均须符合GB28481-2012《塑料家具中有害物质限量》的要求。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9.脚轮：采用优质万向轮，产品质量过硬各项技术指标均须符合QB/T4765-2014《家具用脚轮》的要求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10.颜色：黑色。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11.供货时提供有资质(CMA或CNAS)的第三方检测机构出具符合招标要求的“网布”、“海绵”、“胶合板”的检测合格的检测报告复印件（检测报告可以是投标人自己送检的，也可以是家具生产厂家的或者是原材料供应商的），加盖投标人公章。（原件备查）。 张 150 223 33450  </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color w:val="auto"/>
                <w:highlight w:val="none"/>
              </w:rPr>
              <w:drawing>
                <wp:inline distT="0" distB="0" distL="114300" distR="114300">
                  <wp:extent cx="748665" cy="1186815"/>
                  <wp:effectExtent l="0" t="0" r="13335" b="133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8"/>
                          <a:stretch>
                            <a:fillRect/>
                          </a:stretch>
                        </pic:blipFill>
                        <pic:spPr>
                          <a:xfrm>
                            <a:off x="0" y="0"/>
                            <a:ext cx="748665" cy="11868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453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bookmarkStart w:id="1" w:name="预算金额"/>
            <w:r>
              <w:rPr>
                <w:rFonts w:hint="eastAsia" w:ascii="宋体" w:hAnsi="宋体" w:eastAsia="宋体" w:cs="宋体"/>
                <w:i w:val="0"/>
                <w:iCs w:val="0"/>
                <w:color w:val="000000"/>
                <w:kern w:val="0"/>
                <w:sz w:val="22"/>
                <w:szCs w:val="22"/>
                <w:u w:val="none"/>
                <w:lang w:val="en-US" w:eastAsia="zh-CN" w:bidi="ar"/>
              </w:rPr>
              <w:t>合计</w:t>
            </w:r>
            <w:bookmarkEnd w:id="1"/>
            <w:r>
              <w:rPr>
                <w:rFonts w:hint="eastAsia" w:ascii="宋体" w:hAnsi="宋体" w:eastAsia="宋体" w:cs="宋体"/>
                <w:i w:val="0"/>
                <w:iCs w:val="0"/>
                <w:color w:val="000000"/>
                <w:kern w:val="0"/>
                <w:sz w:val="22"/>
                <w:szCs w:val="22"/>
                <w:u w:val="none"/>
                <w:lang w:val="en-US" w:eastAsia="zh-CN" w:bidi="ar"/>
              </w:rPr>
              <w:t>：人民币柒拾柒万壹仟叁佰柒拾柒元壹角陆分(¥771377.16)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bl>
    <w:p>
      <w:r>
        <w:br w:type="page"/>
      </w:r>
    </w:p>
    <w:p>
      <w:pPr>
        <w:ind w:firstLine="630"/>
        <w:rPr>
          <w:rFonts w:cs="宋体"/>
          <w:sz w:val="32"/>
          <w:szCs w:val="32"/>
        </w:rPr>
        <w:sectPr>
          <w:pgSz w:w="16838" w:h="11906" w:orient="landscape"/>
          <w:pgMar w:top="567" w:right="567" w:bottom="567" w:left="567" w:header="851" w:footer="992" w:gutter="0"/>
          <w:cols w:space="425" w:num="1"/>
          <w:docGrid w:type="lines" w:linePitch="312" w:charSpace="0"/>
        </w:sectPr>
      </w:pPr>
    </w:p>
    <w:tbl>
      <w:tblPr>
        <w:tblStyle w:val="10"/>
        <w:tblW w:w="10785" w:type="dxa"/>
        <w:tblInd w:w="-969" w:type="dxa"/>
        <w:tblLayout w:type="autofit"/>
        <w:tblCellMar>
          <w:top w:w="0" w:type="dxa"/>
          <w:left w:w="0" w:type="dxa"/>
          <w:bottom w:w="0" w:type="dxa"/>
          <w:right w:w="0" w:type="dxa"/>
        </w:tblCellMar>
      </w:tblPr>
      <w:tblGrid>
        <w:gridCol w:w="2303"/>
        <w:gridCol w:w="8482"/>
      </w:tblGrid>
      <w:tr>
        <w:tblPrEx>
          <w:tblCellMar>
            <w:top w:w="0" w:type="dxa"/>
            <w:left w:w="0" w:type="dxa"/>
            <w:bottom w:w="0" w:type="dxa"/>
            <w:right w:w="0" w:type="dxa"/>
          </w:tblCellMar>
        </w:tblPrEx>
        <w:trPr>
          <w:trHeight w:val="555" w:hRule="atLeast"/>
        </w:trPr>
        <w:tc>
          <w:tcPr>
            <w:tcW w:w="10785"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ind w:left="105" w:leftChars="50"/>
              <w:textAlignment w:val="center"/>
              <w:rPr>
                <w:rFonts w:ascii="仿宋" w:hAnsi="仿宋" w:eastAsia="仿宋" w:cs="仿宋"/>
                <w:color w:val="000000"/>
                <w:kern w:val="0"/>
                <w:sz w:val="24"/>
              </w:rPr>
            </w:pPr>
            <w:r>
              <w:rPr>
                <w:rFonts w:hint="eastAsia" w:ascii="宋体" w:hAnsi="宋体" w:eastAsia="仿宋" w:cs="宋体"/>
                <w:sz w:val="21"/>
                <w:szCs w:val="21"/>
                <w:lang w:eastAsia="zh-CN"/>
              </w:rPr>
              <w:t>▲</w:t>
            </w:r>
            <w:r>
              <w:rPr>
                <w:rFonts w:hint="eastAsia" w:ascii="仿宋" w:hAnsi="仿宋" w:eastAsia="仿宋" w:cs="仿宋"/>
                <w:b/>
                <w:color w:val="000000"/>
                <w:sz w:val="24"/>
              </w:rPr>
              <w:t>商务要求</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仿宋" w:hAnsi="仿宋" w:eastAsia="仿宋" w:cs="仿宋"/>
                <w:b/>
                <w:color w:val="000000"/>
                <w:sz w:val="24"/>
              </w:rPr>
            </w:pPr>
            <w:r>
              <w:rPr>
                <w:rFonts w:hint="eastAsia" w:ascii="仿宋" w:hAnsi="仿宋" w:eastAsia="仿宋" w:cs="仿宋"/>
                <w:b/>
                <w:color w:val="000000"/>
                <w:sz w:val="24"/>
              </w:rPr>
              <w:t>合同签订期</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ascii="仿宋" w:hAnsi="仿宋" w:eastAsia="仿宋" w:cs="仿宋"/>
                <w:color w:val="000000"/>
                <w:kern w:val="0"/>
                <w:sz w:val="24"/>
              </w:rPr>
            </w:pPr>
            <w:r>
              <w:rPr>
                <w:rFonts w:hint="eastAsia" w:ascii="仿宋" w:hAnsi="仿宋" w:eastAsia="仿宋" w:cs="仿宋"/>
                <w:color w:val="000000"/>
                <w:kern w:val="0"/>
                <w:sz w:val="24"/>
                <w:highlight w:val="none"/>
              </w:rPr>
              <w:t>自成交通知书发出之日起25日内。</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widowControl/>
              <w:tabs>
                <w:tab w:val="left" w:pos="318"/>
              </w:tabs>
              <w:snapToGrid w:val="0"/>
              <w:spacing w:line="360" w:lineRule="auto"/>
              <w:ind w:left="105" w:leftChars="50" w:right="105" w:rightChars="50"/>
              <w:jc w:val="center"/>
              <w:textAlignment w:val="center"/>
              <w:rPr>
                <w:rFonts w:ascii="仿宋" w:hAnsi="仿宋" w:eastAsia="仿宋" w:cs="仿宋"/>
                <w:b/>
                <w:color w:val="000000"/>
                <w:sz w:val="24"/>
              </w:rPr>
            </w:pPr>
            <w:r>
              <w:rPr>
                <w:rFonts w:hint="eastAsia" w:ascii="仿宋" w:hAnsi="仿宋" w:eastAsia="仿宋" w:cs="仿宋"/>
                <w:b/>
                <w:color w:val="000000"/>
                <w:sz w:val="24"/>
                <w:lang w:bidi="ar"/>
              </w:rPr>
              <w:t>交</w:t>
            </w:r>
            <w:r>
              <w:rPr>
                <w:rFonts w:hint="eastAsia" w:ascii="仿宋" w:hAnsi="仿宋" w:eastAsia="仿宋" w:cs="仿宋"/>
                <w:b/>
                <w:color w:val="000000"/>
                <w:sz w:val="24"/>
                <w:lang w:eastAsia="zh-CN" w:bidi="ar"/>
              </w:rPr>
              <w:t>货</w:t>
            </w:r>
            <w:r>
              <w:rPr>
                <w:rFonts w:hint="eastAsia" w:ascii="仿宋" w:hAnsi="仿宋" w:eastAsia="仿宋" w:cs="仿宋"/>
                <w:b/>
                <w:color w:val="000000"/>
                <w:sz w:val="24"/>
                <w:lang w:bidi="ar"/>
              </w:rPr>
              <w:t>时间</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自合同签订之日起</w:t>
            </w:r>
            <w:r>
              <w:rPr>
                <w:rFonts w:hint="eastAsia" w:ascii="仿宋" w:hAnsi="仿宋" w:eastAsia="仿宋" w:cs="仿宋"/>
                <w:color w:val="000000"/>
                <w:kern w:val="0"/>
                <w:sz w:val="24"/>
                <w:lang w:val="en-US" w:eastAsia="zh-CN"/>
              </w:rPr>
              <w:t>30</w:t>
            </w:r>
            <w:r>
              <w:rPr>
                <w:rFonts w:hint="eastAsia" w:ascii="仿宋" w:hAnsi="仿宋" w:eastAsia="仿宋" w:cs="仿宋"/>
                <w:color w:val="000000"/>
                <w:kern w:val="0"/>
                <w:sz w:val="24"/>
              </w:rPr>
              <w:t>天内安装调试完毕并验收合格。</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widowControl/>
              <w:tabs>
                <w:tab w:val="left" w:pos="318"/>
              </w:tabs>
              <w:snapToGrid w:val="0"/>
              <w:spacing w:line="360" w:lineRule="auto"/>
              <w:ind w:left="105" w:leftChars="50" w:right="105" w:rightChars="50"/>
              <w:jc w:val="center"/>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交</w:t>
            </w:r>
            <w:r>
              <w:rPr>
                <w:rFonts w:hint="eastAsia" w:ascii="仿宋" w:hAnsi="仿宋" w:eastAsia="仿宋" w:cs="仿宋"/>
                <w:b/>
                <w:color w:val="000000"/>
                <w:sz w:val="24"/>
                <w:lang w:eastAsia="zh-CN" w:bidi="ar"/>
              </w:rPr>
              <w:t>货</w:t>
            </w:r>
            <w:r>
              <w:rPr>
                <w:rFonts w:hint="eastAsia" w:ascii="仿宋" w:hAnsi="仿宋" w:eastAsia="仿宋" w:cs="仿宋"/>
                <w:b/>
                <w:color w:val="000000"/>
                <w:sz w:val="24"/>
                <w:lang w:bidi="ar"/>
              </w:rPr>
              <w:t>地点</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南宁市东盟经济开发区发展大道2号</w:t>
            </w:r>
            <w:r>
              <w:rPr>
                <w:rFonts w:hint="eastAsia" w:ascii="仿宋" w:hAnsi="仿宋" w:eastAsia="仿宋" w:cs="仿宋"/>
                <w:color w:val="000000"/>
                <w:kern w:val="0"/>
                <w:sz w:val="24"/>
                <w:lang w:eastAsia="zh-CN"/>
              </w:rPr>
              <w:t>广西</w:t>
            </w:r>
            <w:r>
              <w:rPr>
                <w:rFonts w:hint="eastAsia" w:ascii="仿宋" w:hAnsi="仿宋" w:eastAsia="仿宋" w:cs="仿宋"/>
                <w:color w:val="000000"/>
                <w:kern w:val="0"/>
                <w:sz w:val="24"/>
              </w:rPr>
              <w:t>幼师武鸣校区</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ind w:left="105" w:leftChars="50" w:right="105" w:rightChars="50"/>
              <w:jc w:val="center"/>
              <w:textAlignment w:val="center"/>
              <w:rPr>
                <w:rFonts w:ascii="仿宋" w:hAnsi="仿宋" w:eastAsia="仿宋" w:cs="仿宋"/>
                <w:b/>
                <w:color w:val="000000"/>
                <w:kern w:val="0"/>
                <w:sz w:val="24"/>
              </w:rPr>
            </w:pPr>
            <w:r>
              <w:rPr>
                <w:rFonts w:hint="eastAsia" w:ascii="仿宋" w:hAnsi="仿宋" w:eastAsia="仿宋" w:cs="仿宋"/>
                <w:b/>
                <w:color w:val="000000"/>
                <w:sz w:val="24"/>
                <w:lang w:bidi="ar"/>
              </w:rPr>
              <w:t>质保期限</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竞标产品必须是具备厂家合法渠道的全新正品，必须按厂家承诺实行“三包”；</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2质保期</w:t>
            </w: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年（自最终验收合格之日算），分项货物质保期另有要求按分项要求。质保期内免费上门保修、更换配件，终身上门维修；在质保期内设备运行发生故障，中标人必须免费提供维修服务。</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tabs>
                <w:tab w:val="left" w:pos="132"/>
              </w:tabs>
              <w:snapToGrid w:val="0"/>
              <w:spacing w:line="360" w:lineRule="auto"/>
              <w:ind w:left="157" w:leftChars="50" w:hanging="52"/>
              <w:jc w:val="center"/>
              <w:rPr>
                <w:rFonts w:ascii="仿宋" w:hAnsi="仿宋" w:eastAsia="仿宋" w:cs="仿宋"/>
                <w:b/>
                <w:color w:val="000000"/>
                <w:sz w:val="24"/>
              </w:rPr>
            </w:pPr>
            <w:r>
              <w:rPr>
                <w:rFonts w:hint="eastAsia" w:ascii="仿宋" w:hAnsi="仿宋" w:eastAsia="仿宋" w:cs="仿宋"/>
                <w:b/>
                <w:color w:val="000000"/>
                <w:sz w:val="24"/>
              </w:rPr>
              <w:t>售后服务</w:t>
            </w:r>
          </w:p>
          <w:p>
            <w:pPr>
              <w:widowControl/>
              <w:snapToGrid w:val="0"/>
              <w:spacing w:line="360" w:lineRule="auto"/>
              <w:ind w:left="105" w:leftChars="50"/>
              <w:jc w:val="center"/>
              <w:textAlignment w:val="center"/>
              <w:rPr>
                <w:rFonts w:ascii="仿宋" w:hAnsi="仿宋" w:eastAsia="仿宋" w:cs="仿宋"/>
                <w:b/>
                <w:color w:val="000000"/>
                <w:kern w:val="0"/>
                <w:sz w:val="24"/>
              </w:rPr>
            </w:pPr>
            <w:r>
              <w:rPr>
                <w:rFonts w:hint="eastAsia" w:ascii="仿宋" w:hAnsi="仿宋" w:eastAsia="仿宋" w:cs="仿宋"/>
                <w:b/>
                <w:color w:val="000000"/>
                <w:sz w:val="24"/>
              </w:rPr>
              <w:t>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分项货物另有要求按分项要求。质保期内免费维修、免费更换零部件，服务内容如下：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1）免费送货上门，免费安装调试合格，提供服务方案。</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）接到故障通知后1小时内响应，4小时内到达现场维修。一般问题应在24小时内解决，重大问题或其它无法迅速解决的问题应在一周内解决。</w:t>
            </w:r>
          </w:p>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ind w:left="105" w:leftChars="50"/>
              <w:jc w:val="center"/>
              <w:textAlignment w:val="center"/>
              <w:rPr>
                <w:rFonts w:ascii="仿宋" w:hAnsi="仿宋" w:eastAsia="仿宋" w:cs="仿宋"/>
                <w:b/>
                <w:color w:val="000000"/>
                <w:kern w:val="0"/>
                <w:sz w:val="24"/>
              </w:rPr>
            </w:pPr>
            <w:bookmarkStart w:id="2" w:name="付款方式"/>
            <w:r>
              <w:rPr>
                <w:rFonts w:hint="eastAsia" w:ascii="仿宋" w:hAnsi="仿宋" w:eastAsia="仿宋" w:cs="仿宋"/>
                <w:b/>
                <w:color w:val="000000"/>
                <w:sz w:val="24"/>
              </w:rPr>
              <w:t>付款方式</w:t>
            </w:r>
            <w:bookmarkEnd w:id="2"/>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highlight w:val="none"/>
                <w:lang w:val="en-US" w:eastAsia="zh-CN"/>
              </w:rPr>
              <w:t>签订合同前成交供应商向采购人支付合同价款5％（如成交供应商为中小企业，履约保证金为合同价款的2%）的履约保证金。合同签订后在15个工作日内采购人支付按合同价款30%的预付款；项目验收合格后，采购人在15日内支付至100%的合同价款给成交供应商；每次采购人支付款项前成交供应商须开具等额合法有效的发票给采购人，否则采购人有权顺延支付款项且不承担任何违约责任。货物在质保期内无质量问题，质保期满后，成交供应商向采购人提出书面申请，采购人于15个工作日内无息退还履约保证金。</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ind w:left="105" w:leftChars="50"/>
              <w:jc w:val="center"/>
              <w:textAlignment w:val="center"/>
              <w:rPr>
                <w:rFonts w:ascii="仿宋" w:hAnsi="仿宋" w:eastAsia="仿宋" w:cs="仿宋"/>
                <w:b/>
                <w:color w:val="000000"/>
                <w:kern w:val="0"/>
                <w:sz w:val="24"/>
              </w:rPr>
            </w:pPr>
            <w:r>
              <w:rPr>
                <w:rFonts w:hint="eastAsia" w:ascii="仿宋" w:hAnsi="仿宋" w:eastAsia="仿宋" w:cs="仿宋"/>
                <w:b/>
                <w:color w:val="000000"/>
                <w:sz w:val="24"/>
              </w:rPr>
              <w:t>报价要求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本项目实行总承包报价；包含货物及服务采购、专用工具、标准附件、运输、保管、安装、验收、培训等各种费用和售后服务、税金及其它所有成本费用的总和。供应商应对本项目的所有内容范围的货物及服务进行总承包报价；采购人不再支付任何费用。</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lang w:eastAsia="zh-CN"/>
              </w:rPr>
              <w:t>产品要求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竞标不接受指定品牌及型号外的产品报价，否则报价将无效</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竞标产品必须为全新原装产品，成交供应商所提供的产品、资料等要满足中华人民共和国的相应标准。</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lang w:val="en-US" w:eastAsia="zh-CN"/>
              </w:rPr>
              <w:t>品牌要求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所有产品均指定“志光/GCON”品牌和型号，为确保采购人的合法权益，报价时要提供志光品牌厂商针对本项目产品的授权书，和所投品牌产品的商标注册证复印件及商品合格证，并加盖厂家公章，未提供的报价无效。如中标人未提供或者提供不全，则视为虚假应标，采购人有权拒签采购合同，并追究中标人相应的法律责任。</w:t>
            </w:r>
          </w:p>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rPr>
              <w:t>验收标准</w:t>
            </w:r>
          </w:p>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rPr>
              <w:t>及要求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成交供应商应提供货物的有效检验文件，经采购人认可后，与合同的性能指标一起作为货物验收标准，采购人可对货物进行复检与性能测试，成交供应商应派出有经验、高水平的技术人员协助此项工作。采购人对货物验收合格后，签署验收合格证书，验收标准应符合中国有关的国家、地方、行业标准。</w:t>
            </w:r>
          </w:p>
          <w:p>
            <w:pPr>
              <w:widowControl/>
              <w:snapToGrid w:val="0"/>
              <w:spacing w:line="360" w:lineRule="auto"/>
              <w:ind w:left="105" w:leftChars="50" w:right="105" w:rightChars="50"/>
              <w:textAlignment w:val="center"/>
              <w:rPr>
                <w:rFonts w:hint="eastAsia"/>
              </w:rPr>
            </w:pPr>
            <w:r>
              <w:rPr>
                <w:rFonts w:hint="eastAsia" w:ascii="仿宋" w:hAnsi="仿宋" w:eastAsia="仿宋" w:cs="仿宋"/>
                <w:i w:val="0"/>
                <w:iCs w:val="0"/>
                <w:caps w:val="0"/>
                <w:color w:val="000000"/>
                <w:spacing w:val="0"/>
                <w:kern w:val="0"/>
                <w:sz w:val="24"/>
                <w:szCs w:val="21"/>
                <w:shd w:val="clear"/>
                <w:lang w:val="en-US" w:eastAsia="zh-CN"/>
              </w:rPr>
              <w:t>2</w:t>
            </w:r>
            <w:bookmarkStart w:id="3" w:name="审计中心建议加入"/>
            <w:r>
              <w:rPr>
                <w:rFonts w:hint="eastAsia" w:ascii="仿宋" w:hAnsi="仿宋" w:eastAsia="仿宋" w:cs="仿宋"/>
                <w:i w:val="0"/>
                <w:iCs w:val="0"/>
                <w:caps w:val="0"/>
                <w:color w:val="000000"/>
                <w:spacing w:val="0"/>
                <w:kern w:val="0"/>
                <w:sz w:val="24"/>
                <w:szCs w:val="21"/>
                <w:shd w:val="clear"/>
                <w:lang w:val="en-US" w:eastAsia="zh-CN"/>
              </w:rPr>
              <w:t>、</w:t>
            </w:r>
            <w:r>
              <w:rPr>
                <w:rFonts w:hint="eastAsia" w:ascii="仿宋" w:hAnsi="仿宋" w:eastAsia="仿宋" w:cs="仿宋"/>
                <w:i w:val="0"/>
                <w:iCs w:val="0"/>
                <w:caps w:val="0"/>
                <w:color w:val="000000"/>
                <w:spacing w:val="0"/>
                <w:kern w:val="0"/>
                <w:sz w:val="24"/>
                <w:szCs w:val="21"/>
                <w:shd w:val="clear"/>
              </w:rPr>
              <w:t>验收时采购</w:t>
            </w:r>
            <w:bookmarkEnd w:id="3"/>
            <w:r>
              <w:rPr>
                <w:rFonts w:hint="eastAsia" w:ascii="仿宋" w:hAnsi="仿宋" w:eastAsia="仿宋" w:cs="仿宋"/>
                <w:i w:val="0"/>
                <w:iCs w:val="0"/>
                <w:caps w:val="0"/>
                <w:color w:val="000000"/>
                <w:spacing w:val="0"/>
                <w:kern w:val="0"/>
                <w:sz w:val="24"/>
                <w:szCs w:val="21"/>
                <w:shd w:val="clear"/>
              </w:rPr>
              <w:t>人有权邀请专家共同组成的验收小组，并随机对家具进行破坏性检测，由采购人在家具中随机抽取样本，送到国家认可有资质的质检部门进行检测，检验结果符合供应商响应文件中技术参数的判定为合格，检验结果不合格的不予验收并做退货处理，由此产生的一切后果由供应商承担。检测单位均由采购方指定，所有费用由供应商承担。</w:t>
            </w:r>
          </w:p>
        </w:tc>
      </w:tr>
      <w:tr>
        <w:tblPrEx>
          <w:tblCellMar>
            <w:top w:w="0" w:type="dxa"/>
            <w:left w:w="0" w:type="dxa"/>
            <w:bottom w:w="0" w:type="dxa"/>
            <w:right w:w="0" w:type="dxa"/>
          </w:tblCellMar>
        </w:tblPrEx>
        <w:trPr>
          <w:trHeight w:val="426" w:hRule="atLeast"/>
        </w:trPr>
        <w:tc>
          <w:tcPr>
            <w:tcW w:w="2303" w:type="dxa"/>
            <w:tcBorders>
              <w:top w:val="single" w:color="000000" w:sz="4" w:space="0"/>
              <w:left w:val="single" w:color="000000" w:sz="4" w:space="0"/>
              <w:bottom w:val="single" w:color="000000" w:sz="4" w:space="0"/>
              <w:right w:val="single" w:color="000000" w:sz="4" w:space="0"/>
            </w:tcBorders>
          </w:tcPr>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rPr>
              <w:t>免费培训</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免费提供现场技术培训，保证使用人员能正常操作产品的各种功能及日常保养和维护。</w:t>
            </w:r>
          </w:p>
        </w:tc>
      </w:tr>
      <w:tr>
        <w:tblPrEx>
          <w:tblCellMar>
            <w:top w:w="0" w:type="dxa"/>
            <w:left w:w="0" w:type="dxa"/>
            <w:bottom w:w="0" w:type="dxa"/>
            <w:right w:w="0" w:type="dxa"/>
          </w:tblCellMar>
        </w:tblPrEx>
        <w:trPr>
          <w:trHeight w:val="555" w:hRule="atLeast"/>
        </w:trPr>
        <w:tc>
          <w:tcPr>
            <w:tcW w:w="2303" w:type="dxa"/>
            <w:tcBorders>
              <w:top w:val="single" w:color="000000" w:sz="4" w:space="0"/>
              <w:left w:val="single" w:color="000000" w:sz="4" w:space="0"/>
              <w:bottom w:val="single" w:color="000000" w:sz="4" w:space="0"/>
              <w:right w:val="single" w:color="000000" w:sz="4" w:space="0"/>
            </w:tcBorders>
            <w:vAlign w:val="center"/>
          </w:tcPr>
          <w:p>
            <w:pPr>
              <w:tabs>
                <w:tab w:val="left" w:pos="132"/>
              </w:tabs>
              <w:snapToGrid w:val="0"/>
              <w:spacing w:line="360" w:lineRule="auto"/>
              <w:ind w:left="157" w:leftChars="50" w:hanging="52"/>
              <w:jc w:val="center"/>
              <w:rPr>
                <w:rFonts w:hint="eastAsia" w:ascii="仿宋" w:hAnsi="仿宋" w:eastAsia="仿宋" w:cs="仿宋"/>
                <w:b/>
                <w:color w:val="000000"/>
                <w:sz w:val="24"/>
              </w:rPr>
            </w:pPr>
            <w:r>
              <w:rPr>
                <w:rFonts w:hint="eastAsia" w:ascii="仿宋" w:hAnsi="仿宋" w:eastAsia="仿宋" w:cs="仿宋"/>
                <w:b/>
                <w:color w:val="000000"/>
                <w:sz w:val="24"/>
              </w:rPr>
              <w:t>其他要求</w:t>
            </w:r>
          </w:p>
        </w:tc>
        <w:tc>
          <w:tcPr>
            <w:tcW w:w="8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360" w:lineRule="auto"/>
              <w:ind w:left="105" w:leftChars="50" w:right="105" w:rightChars="50"/>
              <w:textAlignment w:val="center"/>
              <w:rPr>
                <w:rFonts w:hint="eastAsia" w:ascii="仿宋" w:hAnsi="仿宋" w:eastAsia="仿宋" w:cs="仿宋"/>
                <w:color w:val="000000"/>
                <w:kern w:val="0"/>
                <w:sz w:val="24"/>
                <w:szCs w:val="21"/>
                <w:lang w:val="en-US" w:eastAsia="zh-CN" w:bidi="ar-SA"/>
              </w:rPr>
            </w:pPr>
            <w:r>
              <w:rPr>
                <w:rFonts w:hint="eastAsia" w:ascii="仿宋" w:hAnsi="仿宋" w:eastAsia="仿宋" w:cs="仿宋"/>
                <w:color w:val="000000"/>
                <w:kern w:val="0"/>
                <w:sz w:val="24"/>
                <w:szCs w:val="21"/>
                <w:lang w:val="en-US" w:eastAsia="zh-CN" w:bidi="ar-SA"/>
              </w:rPr>
              <w:t>本项目采购需求中带▲号、“须”或“必须”的内容均为实质性要求，必须全部满足，否则，视为实质不响应文件要求，其竞标无效。对不能满足参数要求虚假响应，或者无法正常交货影响采购人使用的，采购人可作为废标处理，并按规定对投标人予以投诉处理。</w:t>
            </w:r>
          </w:p>
          <w:p>
            <w:pPr>
              <w:widowControl/>
              <w:snapToGrid w:val="0"/>
              <w:spacing w:line="360" w:lineRule="auto"/>
              <w:ind w:left="105" w:leftChars="50" w:right="105" w:rightChars="50"/>
              <w:textAlignment w:val="center"/>
              <w:rPr>
                <w:rFonts w:hint="eastAsia" w:ascii="仿宋" w:hAnsi="仿宋" w:eastAsia="仿宋" w:cs="仿宋"/>
                <w:color w:val="000000"/>
                <w:kern w:val="0"/>
                <w:sz w:val="24"/>
                <w:szCs w:val="21"/>
                <w:lang w:val="en-US" w:eastAsia="zh-CN" w:bidi="ar-SA"/>
              </w:rPr>
            </w:pPr>
          </w:p>
        </w:tc>
      </w:tr>
    </w:tbl>
    <w:p>
      <w:pPr>
        <w:pStyle w:val="3"/>
        <w:sectPr>
          <w:pgSz w:w="11906" w:h="16838"/>
          <w:pgMar w:top="1440" w:right="1800" w:bottom="1440" w:left="1800" w:header="851" w:footer="992" w:gutter="0"/>
          <w:cols w:space="425" w:num="1"/>
          <w:docGrid w:type="lines" w:linePitch="312" w:charSpace="0"/>
        </w:sectPr>
      </w:pPr>
    </w:p>
    <w:p/>
    <w:p>
      <w:pPr>
        <w:spacing w:line="360" w:lineRule="auto"/>
        <w:jc w:val="center"/>
        <w:rPr>
          <w:rFonts w:ascii="宋体" w:hAnsi="宋体" w:cs="Courier New"/>
          <w:color w:val="000000"/>
          <w:sz w:val="72"/>
          <w:szCs w:val="72"/>
        </w:rPr>
      </w:pPr>
      <w:r>
        <w:rPr>
          <w:rFonts w:hint="eastAsia" w:ascii="宋体" w:hAnsi="宋体" w:cs="Courier New"/>
          <w:color w:val="000000"/>
          <w:sz w:val="72"/>
          <w:szCs w:val="72"/>
        </w:rPr>
        <w:t>响应文件</w:t>
      </w:r>
    </w:p>
    <w:p>
      <w:pPr>
        <w:spacing w:line="360" w:lineRule="auto"/>
        <w:jc w:val="center"/>
        <w:rPr>
          <w:rFonts w:ascii="宋体" w:hAnsi="宋体" w:cs="Courier New"/>
          <w:color w:val="000000"/>
          <w:sz w:val="36"/>
          <w:szCs w:val="36"/>
        </w:rPr>
      </w:pPr>
    </w:p>
    <w:p>
      <w:pPr>
        <w:spacing w:line="360" w:lineRule="auto"/>
        <w:jc w:val="center"/>
        <w:rPr>
          <w:rFonts w:ascii="宋体" w:hAnsi="宋体" w:cs="Courier New"/>
          <w:color w:val="000000"/>
          <w:sz w:val="36"/>
          <w:szCs w:val="36"/>
        </w:rPr>
      </w:pPr>
    </w:p>
    <w:p>
      <w:pPr>
        <w:spacing w:line="360" w:lineRule="auto"/>
        <w:ind w:firstLine="640" w:firstLineChars="200"/>
        <w:rPr>
          <w:rFonts w:ascii="宋体" w:hAnsi="宋体" w:cs="Courier New"/>
          <w:color w:val="000000"/>
          <w:sz w:val="32"/>
          <w:szCs w:val="32"/>
        </w:rPr>
      </w:pPr>
      <w:r>
        <w:rPr>
          <w:rFonts w:hint="eastAsia" w:ascii="宋体" w:hAnsi="宋体" w:cs="Courier New"/>
          <w:color w:val="000000"/>
          <w:sz w:val="32"/>
          <w:szCs w:val="32"/>
        </w:rPr>
        <w:t>项目名称：</w:t>
      </w:r>
    </w:p>
    <w:p>
      <w:pPr>
        <w:spacing w:line="360" w:lineRule="auto"/>
        <w:ind w:firstLine="640" w:firstLineChars="200"/>
        <w:rPr>
          <w:rFonts w:ascii="宋体" w:hAnsi="宋体" w:cs="Courier New"/>
          <w:color w:val="000000"/>
          <w:sz w:val="32"/>
          <w:szCs w:val="32"/>
        </w:rPr>
      </w:pPr>
    </w:p>
    <w:p>
      <w:pPr>
        <w:spacing w:line="360" w:lineRule="auto"/>
        <w:ind w:firstLine="640" w:firstLineChars="200"/>
        <w:rPr>
          <w:rFonts w:ascii="宋体" w:hAnsi="宋体" w:cs="Courier New"/>
          <w:color w:val="000000"/>
          <w:sz w:val="32"/>
          <w:szCs w:val="32"/>
          <w:u w:val="single"/>
        </w:rPr>
      </w:pPr>
      <w:r>
        <w:rPr>
          <w:rFonts w:hint="eastAsia" w:ascii="宋体" w:hAnsi="宋体" w:cs="Courier New"/>
          <w:color w:val="000000"/>
          <w:sz w:val="32"/>
          <w:szCs w:val="32"/>
        </w:rPr>
        <w:t>项目编号：</w:t>
      </w:r>
    </w:p>
    <w:p>
      <w:pPr>
        <w:spacing w:line="360" w:lineRule="auto"/>
        <w:ind w:firstLine="2560" w:firstLineChars="800"/>
        <w:rPr>
          <w:rFonts w:ascii="宋体" w:hAnsi="宋体" w:cs="Courier New"/>
          <w:color w:val="000000"/>
          <w:sz w:val="32"/>
          <w:szCs w:val="32"/>
          <w:u w:val="single"/>
        </w:rPr>
      </w:pPr>
    </w:p>
    <w:p>
      <w:pPr>
        <w:spacing w:line="360" w:lineRule="auto"/>
        <w:ind w:firstLine="640" w:firstLineChars="200"/>
        <w:rPr>
          <w:rFonts w:ascii="宋体" w:hAnsi="宋体" w:cs="Courier New"/>
          <w:color w:val="000000"/>
          <w:sz w:val="32"/>
          <w:szCs w:val="32"/>
          <w:u w:val="single"/>
        </w:rPr>
      </w:pPr>
      <w:r>
        <w:rPr>
          <w:rFonts w:hint="eastAsia" w:ascii="宋体" w:hAnsi="宋体" w:cs="Courier New"/>
          <w:color w:val="000000"/>
          <w:sz w:val="32"/>
          <w:szCs w:val="32"/>
        </w:rPr>
        <w:t>供应商：</w:t>
      </w:r>
    </w:p>
    <w:p>
      <w:pPr>
        <w:spacing w:line="360" w:lineRule="auto"/>
        <w:ind w:firstLine="640" w:firstLineChars="200"/>
        <w:rPr>
          <w:rFonts w:ascii="宋体" w:hAnsi="宋体" w:cs="Courier New"/>
          <w:color w:val="000000"/>
          <w:sz w:val="32"/>
          <w:szCs w:val="32"/>
        </w:rPr>
      </w:pPr>
      <w:r>
        <w:rPr>
          <w:rFonts w:hint="eastAsia" w:ascii="宋体" w:hAnsi="宋体" w:cs="Courier New"/>
          <w:color w:val="000000"/>
          <w:sz w:val="32"/>
          <w:szCs w:val="32"/>
        </w:rPr>
        <w:t>法定代表人或其委托代理人：</w:t>
      </w:r>
    </w:p>
    <w:p>
      <w:pPr>
        <w:spacing w:line="360" w:lineRule="auto"/>
        <w:ind w:firstLine="480" w:firstLineChars="150"/>
        <w:rPr>
          <w:rFonts w:ascii="宋体" w:hAnsi="宋体" w:cs="Courier New"/>
          <w:color w:val="000000"/>
          <w:sz w:val="32"/>
          <w:szCs w:val="32"/>
        </w:rPr>
      </w:pPr>
    </w:p>
    <w:p>
      <w:pPr>
        <w:spacing w:line="360" w:lineRule="auto"/>
        <w:ind w:firstLine="640" w:firstLineChars="200"/>
        <w:rPr>
          <w:rFonts w:ascii="宋体" w:hAnsi="宋体" w:cs="Courier New"/>
          <w:color w:val="000000"/>
          <w:sz w:val="32"/>
          <w:szCs w:val="32"/>
        </w:rPr>
      </w:pPr>
      <w:r>
        <w:rPr>
          <w:rFonts w:hint="eastAsia" w:ascii="宋体" w:hAnsi="宋体" w:cs="Courier New"/>
          <w:color w:val="000000"/>
          <w:sz w:val="32"/>
          <w:szCs w:val="32"/>
        </w:rPr>
        <w:t>日期：</w:t>
      </w:r>
      <w:r>
        <w:rPr>
          <w:rFonts w:hint="eastAsia" w:ascii="宋体" w:hAnsi="宋体" w:cs="Courier New"/>
          <w:color w:val="000000"/>
          <w:sz w:val="32"/>
          <w:szCs w:val="32"/>
          <w:u w:val="single"/>
        </w:rPr>
        <w:t xml:space="preserve">         </w:t>
      </w:r>
      <w:r>
        <w:rPr>
          <w:rFonts w:hint="eastAsia" w:ascii="宋体" w:hAnsi="宋体" w:cs="Courier New"/>
          <w:color w:val="000000"/>
          <w:sz w:val="32"/>
          <w:szCs w:val="32"/>
        </w:rPr>
        <w:t>年</w:t>
      </w:r>
      <w:r>
        <w:rPr>
          <w:rFonts w:hint="eastAsia" w:ascii="宋体" w:hAnsi="宋体" w:cs="Courier New"/>
          <w:color w:val="000000"/>
          <w:sz w:val="32"/>
          <w:szCs w:val="32"/>
          <w:u w:val="single"/>
        </w:rPr>
        <w:t xml:space="preserve">     </w:t>
      </w:r>
      <w:r>
        <w:rPr>
          <w:rFonts w:hint="eastAsia" w:ascii="宋体" w:hAnsi="宋体" w:cs="Courier New"/>
          <w:color w:val="000000"/>
          <w:sz w:val="32"/>
          <w:szCs w:val="32"/>
        </w:rPr>
        <w:t>月</w:t>
      </w:r>
      <w:r>
        <w:rPr>
          <w:rFonts w:hint="eastAsia" w:ascii="宋体" w:hAnsi="宋体" w:cs="Courier New"/>
          <w:color w:val="000000"/>
          <w:sz w:val="32"/>
          <w:szCs w:val="32"/>
          <w:u w:val="single"/>
        </w:rPr>
        <w:t xml:space="preserve">     </w:t>
      </w:r>
      <w:r>
        <w:rPr>
          <w:rFonts w:hint="eastAsia" w:ascii="宋体" w:hAnsi="宋体" w:cs="Courier New"/>
          <w:color w:val="000000"/>
          <w:sz w:val="32"/>
          <w:szCs w:val="32"/>
        </w:rPr>
        <w:t>日</w:t>
      </w:r>
    </w:p>
    <w:p>
      <w:pPr>
        <w:tabs>
          <w:tab w:val="left" w:pos="8640"/>
        </w:tabs>
        <w:spacing w:line="360" w:lineRule="auto"/>
        <w:rPr>
          <w:rFonts w:ascii="宋体" w:hAnsi="宋体" w:cs="Courier New"/>
        </w:rPr>
      </w:pPr>
    </w:p>
    <w:p>
      <w:pPr>
        <w:tabs>
          <w:tab w:val="left" w:pos="7560"/>
          <w:tab w:val="left" w:pos="7920"/>
        </w:tabs>
        <w:spacing w:line="360" w:lineRule="auto"/>
        <w:jc w:val="both"/>
        <w:rPr>
          <w:rFonts w:ascii="宋体" w:hAnsi="宋体" w:cs="Courier New"/>
          <w:color w:val="000000"/>
          <w:sz w:val="36"/>
          <w:szCs w:val="36"/>
        </w:rPr>
      </w:pPr>
      <w:r>
        <w:rPr>
          <w:rFonts w:hint="eastAsia" w:ascii="宋体" w:hAnsi="宋体" w:cs="Courier New"/>
          <w:color w:val="000000"/>
          <w:sz w:val="36"/>
          <w:szCs w:val="36"/>
        </w:rPr>
        <w:br w:type="page"/>
      </w:r>
    </w:p>
    <w:p>
      <w:pPr>
        <w:tabs>
          <w:tab w:val="left" w:pos="7560"/>
          <w:tab w:val="left" w:pos="7920"/>
        </w:tabs>
        <w:spacing w:line="360" w:lineRule="auto"/>
        <w:jc w:val="center"/>
        <w:rPr>
          <w:rFonts w:ascii="宋体" w:hAnsi="宋体" w:cs="Courier New"/>
          <w:color w:val="000000"/>
          <w:sz w:val="36"/>
          <w:szCs w:val="36"/>
        </w:rPr>
      </w:pPr>
      <w:r>
        <w:rPr>
          <w:rFonts w:hint="eastAsia" w:ascii="宋体" w:hAnsi="宋体" w:cs="Courier New"/>
          <w:color w:val="000000"/>
          <w:sz w:val="36"/>
          <w:szCs w:val="36"/>
        </w:rPr>
        <w:t>目    录</w:t>
      </w:r>
    </w:p>
    <w:p>
      <w:pPr>
        <w:tabs>
          <w:tab w:val="left" w:pos="8640"/>
        </w:tabs>
        <w:spacing w:line="360" w:lineRule="auto"/>
        <w:jc w:val="left"/>
        <w:rPr>
          <w:rFonts w:ascii="宋体" w:hAnsi="宋体" w:cs="Courier New"/>
        </w:rPr>
      </w:pPr>
    </w:p>
    <w:p>
      <w:pPr>
        <w:spacing w:line="360" w:lineRule="auto"/>
        <w:ind w:firstLine="210" w:firstLineChars="100"/>
        <w:jc w:val="left"/>
        <w:rPr>
          <w:rFonts w:ascii="宋体" w:hAnsi="宋体" w:cs="Courier New"/>
        </w:rPr>
      </w:pPr>
      <w:r>
        <w:rPr>
          <w:rFonts w:hint="eastAsia" w:ascii="宋体" w:hAnsi="宋体" w:cs="Courier New"/>
        </w:rPr>
        <w:t>（一）供应商资格证明文件</w:t>
      </w:r>
      <w:r>
        <w:rPr>
          <w:rFonts w:hint="eastAsia" w:ascii="宋体" w:hAnsi="宋体" w:cs="Courier New"/>
          <w:lang w:val="en-US" w:eastAsia="zh-CN"/>
        </w:rPr>
        <w:t xml:space="preserve"> </w:t>
      </w:r>
      <w:r>
        <w:rPr>
          <w:rFonts w:hint="eastAsia" w:ascii="宋体" w:hAnsi="宋体" w:cs="Courier New"/>
          <w:b/>
        </w:rPr>
        <w:t>…………………………………………………………</w:t>
      </w:r>
      <w:r>
        <w:rPr>
          <w:rFonts w:hint="eastAsia" w:ascii="宋体" w:hAnsi="宋体" w:cs="Courier New"/>
        </w:rPr>
        <w:t>第   页</w:t>
      </w:r>
    </w:p>
    <w:p>
      <w:pPr>
        <w:tabs>
          <w:tab w:val="left" w:pos="7380"/>
        </w:tabs>
        <w:spacing w:line="360" w:lineRule="auto"/>
        <w:ind w:right="-153" w:rightChars="-73" w:firstLine="315" w:firstLineChars="150"/>
        <w:jc w:val="left"/>
        <w:rPr>
          <w:rFonts w:ascii="宋体" w:hAnsi="宋体" w:cs="Courier New"/>
        </w:rPr>
      </w:pPr>
      <w:r>
        <w:rPr>
          <w:rFonts w:hint="eastAsia" w:ascii="宋体" w:hAnsi="宋体" w:cs="Courier New"/>
        </w:rPr>
        <w:t>(二) 商务技术类文件…</w:t>
      </w:r>
      <w:r>
        <w:rPr>
          <w:rFonts w:hint="eastAsia" w:ascii="宋体" w:hAnsi="宋体" w:cs="Courier New"/>
          <w:lang w:val="en-US" w:eastAsia="zh-CN"/>
        </w:rPr>
        <w:t xml:space="preserve"> …</w:t>
      </w:r>
      <w:r>
        <w:rPr>
          <w:rFonts w:hint="eastAsia" w:ascii="宋体" w:hAnsi="宋体" w:cs="Courier New"/>
          <w:b/>
        </w:rPr>
        <w:t>…………………………………………………………</w:t>
      </w:r>
      <w:r>
        <w:rPr>
          <w:rFonts w:hint="eastAsia" w:ascii="宋体" w:hAnsi="宋体" w:cs="Courier New"/>
        </w:rPr>
        <w:t>第   页</w:t>
      </w:r>
    </w:p>
    <w:p>
      <w:pPr>
        <w:tabs>
          <w:tab w:val="left" w:pos="7380"/>
        </w:tabs>
        <w:spacing w:line="360" w:lineRule="auto"/>
        <w:ind w:right="-153" w:rightChars="-73" w:firstLine="315" w:firstLineChars="150"/>
        <w:jc w:val="left"/>
        <w:rPr>
          <w:rFonts w:ascii="宋体" w:hAnsi="宋体" w:cs="Courier New"/>
        </w:rPr>
      </w:pPr>
      <w:r>
        <w:rPr>
          <w:rFonts w:hint="eastAsia" w:ascii="宋体" w:hAnsi="宋体" w:cs="Courier New"/>
        </w:rPr>
        <w:t>(三) 供应商认为需要提供的有关资料</w:t>
      </w:r>
      <w:r>
        <w:rPr>
          <w:rFonts w:hint="eastAsia" w:ascii="宋体" w:hAnsi="宋体" w:cs="Courier New"/>
          <w:lang w:val="en-US" w:eastAsia="zh-CN"/>
        </w:rPr>
        <w:t xml:space="preserve"> </w:t>
      </w:r>
      <w:r>
        <w:rPr>
          <w:rFonts w:hint="eastAsia" w:ascii="宋体" w:hAnsi="宋体" w:cs="Courier New"/>
        </w:rPr>
        <w:t>……</w:t>
      </w:r>
      <w:r>
        <w:rPr>
          <w:rFonts w:hint="eastAsia" w:ascii="宋体" w:hAnsi="宋体" w:cs="Courier New"/>
          <w:b/>
        </w:rPr>
        <w:t>………………………………………</w:t>
      </w:r>
      <w:r>
        <w:rPr>
          <w:rFonts w:hint="eastAsia" w:ascii="宋体" w:hAnsi="宋体" w:cs="Courier New"/>
        </w:rPr>
        <w:t>第   页</w:t>
      </w:r>
      <w:bookmarkStart w:id="4" w:name="_Toc417029007"/>
      <w:bookmarkStart w:id="5" w:name="_Toc397585462"/>
    </w:p>
    <w:p>
      <w:pPr>
        <w:spacing w:line="360" w:lineRule="auto"/>
        <w:ind w:firstLine="210" w:firstLineChars="100"/>
        <w:jc w:val="left"/>
        <w:rPr>
          <w:rFonts w:ascii="宋体" w:hAnsi="宋体"/>
          <w:szCs w:val="24"/>
        </w:rPr>
      </w:pPr>
      <w:r>
        <w:rPr>
          <w:rFonts w:hint="eastAsia" w:ascii="宋体" w:hAnsi="宋体"/>
          <w:szCs w:val="24"/>
        </w:rPr>
        <w:t>（四）报价表</w:t>
      </w:r>
      <w:r>
        <w:rPr>
          <w:rFonts w:hint="eastAsia" w:ascii="宋体" w:hAnsi="宋体" w:cs="Courier New"/>
          <w:b/>
        </w:rPr>
        <w:t>…………………………………………………………………………</w:t>
      </w:r>
      <w:r>
        <w:rPr>
          <w:rFonts w:hint="eastAsia" w:ascii="宋体" w:hAnsi="宋体" w:cs="Courier New"/>
          <w:b/>
          <w:lang w:val="en-US" w:eastAsia="zh-CN"/>
        </w:rPr>
        <w:t xml:space="preserve"> </w:t>
      </w:r>
      <w:r>
        <w:rPr>
          <w:rFonts w:hint="eastAsia" w:ascii="宋体" w:hAnsi="宋体" w:cs="Courier New"/>
        </w:rPr>
        <w:t>第   页</w:t>
      </w:r>
    </w:p>
    <w:p>
      <w:pPr>
        <w:spacing w:line="360" w:lineRule="auto"/>
        <w:jc w:val="left"/>
        <w:rPr>
          <w:rFonts w:ascii="仿宋_GB2312" w:hAnsi="宋体" w:eastAsia="仿宋_GB2312" w:cs="宋体"/>
          <w:kern w:val="0"/>
          <w:sz w:val="29"/>
          <w:szCs w:val="29"/>
        </w:rPr>
      </w:pPr>
      <w:r>
        <w:rPr>
          <w:rFonts w:ascii="宋体" w:hAnsi="宋体"/>
          <w:szCs w:val="24"/>
        </w:rPr>
        <w:br w:type="page"/>
      </w:r>
      <w:bookmarkEnd w:id="4"/>
      <w:bookmarkEnd w:id="5"/>
      <w:r>
        <w:rPr>
          <w:rFonts w:hint="eastAsia" w:ascii="宋体" w:hAnsi="宋体"/>
          <w:b/>
          <w:bCs/>
          <w:szCs w:val="24"/>
        </w:rPr>
        <w:t>标有“</w:t>
      </w:r>
      <w:r>
        <w:rPr>
          <w:rFonts w:hint="eastAsia" w:ascii="宋体" w:hAnsi="宋体"/>
          <w:b/>
          <w:bCs/>
          <w:szCs w:val="24"/>
          <w:lang w:eastAsia="zh-CN"/>
        </w:rPr>
        <w:t>▲</w:t>
      </w:r>
      <w:r>
        <w:rPr>
          <w:rFonts w:hint="eastAsia" w:ascii="宋体" w:hAnsi="宋体"/>
          <w:b/>
          <w:bCs/>
          <w:szCs w:val="24"/>
        </w:rPr>
        <w:t>”号的材料均为必须提供的材料，并加盖公章,如未提供,按报价无效处理。</w:t>
      </w:r>
    </w:p>
    <w:p>
      <w:pPr>
        <w:spacing w:line="360" w:lineRule="auto"/>
        <w:rPr>
          <w:rFonts w:ascii="宋体" w:hAnsi="宋体"/>
          <w:b/>
          <w:szCs w:val="24"/>
        </w:rPr>
      </w:pPr>
    </w:p>
    <w:p>
      <w:pPr>
        <w:spacing w:line="360" w:lineRule="auto"/>
        <w:rPr>
          <w:rFonts w:ascii="宋体" w:hAnsi="宋体"/>
          <w:szCs w:val="24"/>
        </w:rPr>
      </w:pPr>
      <w:r>
        <w:rPr>
          <w:rFonts w:ascii="宋体" w:hAnsi="宋体"/>
          <w:b/>
          <w:szCs w:val="24"/>
        </w:rPr>
        <w:t xml:space="preserve"> </w:t>
      </w:r>
      <w:r>
        <w:rPr>
          <w:rFonts w:hint="eastAsia" w:ascii="宋体" w:hAnsi="宋体"/>
          <w:b/>
          <w:szCs w:val="24"/>
        </w:rPr>
        <w:t>（一）供应商资格证明文件</w:t>
      </w:r>
    </w:p>
    <w:p>
      <w:pPr>
        <w:spacing w:line="360" w:lineRule="auto"/>
        <w:ind w:firstLine="420" w:firstLineChars="200"/>
        <w:rPr>
          <w:rFonts w:ascii="宋体" w:hAnsi="宋体"/>
          <w:szCs w:val="24"/>
        </w:rPr>
      </w:pPr>
      <w:r>
        <w:rPr>
          <w:rFonts w:hint="eastAsia" w:ascii="宋体" w:hAnsi="宋体"/>
          <w:lang w:eastAsia="zh-CN"/>
        </w:rPr>
        <w:t>▲</w:t>
      </w:r>
      <w:r>
        <w:rPr>
          <w:rFonts w:hint="eastAsia" w:ascii="宋体" w:hAnsi="宋体"/>
          <w:szCs w:val="24"/>
        </w:rPr>
        <w:t>1、有效的营业执照副本（均为复印件并加盖单位公章）</w:t>
      </w:r>
      <w:r>
        <w:rPr>
          <w:rFonts w:hint="eastAsia" w:ascii="宋体" w:hAnsi="宋体"/>
        </w:rPr>
        <w:t>；</w:t>
      </w:r>
    </w:p>
    <w:p>
      <w:pPr>
        <w:spacing w:line="360" w:lineRule="auto"/>
        <w:ind w:firstLine="420" w:firstLineChars="200"/>
        <w:rPr>
          <w:rFonts w:ascii="宋体" w:hAnsi="宋体"/>
          <w:szCs w:val="24"/>
        </w:rPr>
      </w:pPr>
      <w:r>
        <w:rPr>
          <w:rFonts w:hint="eastAsia" w:ascii="宋体" w:hAnsi="宋体"/>
          <w:lang w:eastAsia="zh-CN"/>
        </w:rPr>
        <w:t>▲</w:t>
      </w:r>
      <w:r>
        <w:rPr>
          <w:rFonts w:hint="eastAsia" w:ascii="宋体" w:hAnsi="宋体"/>
          <w:szCs w:val="24"/>
        </w:rPr>
        <w:t>2、法定代表人身份证复印件（加盖单位公章）；</w:t>
      </w:r>
    </w:p>
    <w:p>
      <w:pPr>
        <w:spacing w:line="360" w:lineRule="auto"/>
        <w:ind w:firstLine="420" w:firstLineChars="200"/>
        <w:rPr>
          <w:rFonts w:ascii="宋体" w:hAnsi="宋体"/>
          <w:szCs w:val="24"/>
        </w:rPr>
      </w:pPr>
      <w:r>
        <w:rPr>
          <w:rFonts w:hint="eastAsia" w:ascii="宋体" w:hAnsi="宋体"/>
          <w:lang w:eastAsia="zh-CN"/>
        </w:rPr>
        <w:t>▲</w:t>
      </w:r>
      <w:r>
        <w:rPr>
          <w:rFonts w:hint="eastAsia" w:ascii="宋体" w:hAnsi="宋体"/>
          <w:szCs w:val="24"/>
        </w:rPr>
        <w:t>3、法定代表人授权委托书原件和委托代理人身份证复印件；</w:t>
      </w:r>
    </w:p>
    <w:p>
      <w:pPr>
        <w:spacing w:line="360" w:lineRule="auto"/>
        <w:jc w:val="center"/>
        <w:rPr>
          <w:rFonts w:ascii="宋体" w:hAnsi="宋体"/>
          <w:b/>
          <w:sz w:val="32"/>
          <w:szCs w:val="32"/>
        </w:rPr>
      </w:pPr>
    </w:p>
    <w:p>
      <w:pPr>
        <w:spacing w:line="360" w:lineRule="auto"/>
        <w:jc w:val="center"/>
        <w:rPr>
          <w:rFonts w:ascii="宋体" w:hAnsi="宋体"/>
          <w:szCs w:val="24"/>
        </w:rPr>
      </w:pPr>
      <w:r>
        <w:rPr>
          <w:rFonts w:hint="eastAsia" w:ascii="宋体" w:hAnsi="宋体"/>
          <w:b/>
          <w:sz w:val="32"/>
          <w:szCs w:val="32"/>
        </w:rPr>
        <w:t>法定代表人授权委托书（格式）</w:t>
      </w:r>
    </w:p>
    <w:p>
      <w:pPr>
        <w:spacing w:line="360" w:lineRule="auto"/>
        <w:rPr>
          <w:rFonts w:ascii="宋体" w:hAnsi="宋体"/>
        </w:rPr>
      </w:pPr>
      <w:r>
        <w:rPr>
          <w:rFonts w:hint="eastAsia" w:ascii="宋体" w:hAnsi="宋体"/>
          <w:u w:val="single"/>
        </w:rPr>
        <w:t>广西幼儿师范高等专科学校</w:t>
      </w:r>
      <w:r>
        <w:rPr>
          <w:rFonts w:hint="eastAsia" w:ascii="宋体" w:hAnsi="宋体"/>
        </w:rPr>
        <w:t>：</w:t>
      </w:r>
    </w:p>
    <w:p>
      <w:pPr>
        <w:spacing w:line="360" w:lineRule="auto"/>
        <w:ind w:firstLine="420" w:firstLineChars="200"/>
        <w:rPr>
          <w:rFonts w:ascii="宋体" w:hAnsi="宋体"/>
        </w:rPr>
      </w:pPr>
      <w:r>
        <w:rPr>
          <w:rFonts w:hint="eastAsia" w:ascii="宋体" w:hAnsi="宋体"/>
        </w:rPr>
        <w:t>兹授权</w:t>
      </w:r>
      <w:r>
        <w:rPr>
          <w:rFonts w:hint="eastAsia" w:ascii="宋体" w:hAnsi="宋体"/>
          <w:u w:val="single"/>
        </w:rPr>
        <w:t xml:space="preserve">        </w:t>
      </w:r>
      <w:r>
        <w:rPr>
          <w:rFonts w:hint="eastAsia" w:ascii="宋体" w:hAnsi="宋体"/>
        </w:rPr>
        <w:t>同志为我公司参加贵单位组织的</w:t>
      </w:r>
      <w:r>
        <w:rPr>
          <w:rFonts w:hint="eastAsia" w:ascii="宋体" w:hAnsi="宋体"/>
          <w:u w:val="single"/>
        </w:rPr>
        <w:t xml:space="preserve"> （项目名称、项目编号）自治区政府电子卖场在线询价 </w:t>
      </w:r>
      <w:r>
        <w:rPr>
          <w:rFonts w:hint="eastAsia" w:ascii="宋体" w:hAnsi="宋体"/>
        </w:rPr>
        <w:t>采购活动的委托代理人，全权代表我公司处理在该项目活动中的一切事宜。代理期限从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 xml:space="preserve">月 </w:t>
      </w:r>
      <w:r>
        <w:rPr>
          <w:rFonts w:hint="eastAsia" w:ascii="宋体" w:hAnsi="宋体"/>
          <w:u w:val="single"/>
        </w:rPr>
        <w:t xml:space="preserve">   </w:t>
      </w:r>
      <w:r>
        <w:rPr>
          <w:rFonts w:hint="eastAsia" w:ascii="宋体" w:hAnsi="宋体"/>
        </w:rPr>
        <w:t>日起至</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 xml:space="preserve">日止。 </w:t>
      </w:r>
    </w:p>
    <w:p>
      <w:pPr>
        <w:spacing w:line="360" w:lineRule="auto"/>
        <w:rPr>
          <w:rFonts w:ascii="宋体" w:hAnsi="宋体"/>
        </w:rPr>
      </w:pPr>
    </w:p>
    <w:p>
      <w:pPr>
        <w:spacing w:line="360" w:lineRule="auto"/>
        <w:ind w:firstLine="4410" w:firstLineChars="2100"/>
        <w:rPr>
          <w:rFonts w:ascii="宋体" w:hAnsi="宋体"/>
        </w:rPr>
      </w:pPr>
      <w:r>
        <w:rPr>
          <w:rFonts w:hint="eastAsia" w:ascii="宋体" w:hAnsi="宋体"/>
        </w:rPr>
        <w:t>授权单位（盖章）：</w:t>
      </w:r>
      <w:r>
        <w:rPr>
          <w:rFonts w:hint="eastAsia" w:ascii="宋体" w:hAnsi="宋体"/>
          <w:u w:val="single"/>
        </w:rPr>
        <w:t xml:space="preserve">                   </w:t>
      </w:r>
    </w:p>
    <w:p>
      <w:pPr>
        <w:spacing w:line="360" w:lineRule="auto"/>
        <w:ind w:firstLine="4410" w:firstLineChars="2100"/>
        <w:rPr>
          <w:rFonts w:ascii="宋体" w:hAnsi="宋体"/>
        </w:rPr>
      </w:pPr>
      <w:r>
        <w:rPr>
          <w:rFonts w:hint="eastAsia" w:ascii="宋体" w:hAnsi="宋体"/>
        </w:rPr>
        <w:t>法定代表人（签字或盖章）：</w:t>
      </w:r>
      <w:r>
        <w:rPr>
          <w:rFonts w:hint="eastAsia" w:ascii="宋体" w:hAnsi="宋体"/>
          <w:u w:val="single"/>
        </w:rPr>
        <w:t xml:space="preserve">           </w:t>
      </w:r>
    </w:p>
    <w:p>
      <w:pPr>
        <w:spacing w:line="360" w:lineRule="auto"/>
        <w:ind w:firstLine="4410" w:firstLineChars="2100"/>
        <w:rPr>
          <w:rFonts w:ascii="宋体" w:hAnsi="宋体"/>
        </w:rPr>
      </w:pP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adjustRightInd w:val="0"/>
        <w:snapToGrid w:val="0"/>
        <w:spacing w:line="360" w:lineRule="auto"/>
        <w:ind w:firstLine="420" w:firstLineChars="200"/>
        <w:rPr>
          <w:rFonts w:ascii="宋体" w:hAnsi="宋体"/>
        </w:rPr>
      </w:pPr>
      <w:r>
        <w:rPr>
          <w:rFonts w:hint="eastAsia" w:ascii="宋体" w:hAnsi="宋体"/>
        </w:rPr>
        <w:t>附：被授权人身份证（正反两面复印件）</w:t>
      </w:r>
    </w:p>
    <w:p>
      <w:pPr>
        <w:autoSpaceDE w:val="0"/>
        <w:autoSpaceDN w:val="0"/>
        <w:snapToGrid w:val="0"/>
        <w:spacing w:line="360" w:lineRule="auto"/>
        <w:ind w:firstLine="415" w:firstLineChars="198"/>
        <w:textAlignment w:val="bottom"/>
        <w:rPr>
          <w:rFonts w:ascii="宋体" w:hAnsi="宋体"/>
        </w:rPr>
      </w:pPr>
    </w:p>
    <w:p>
      <w:pPr>
        <w:autoSpaceDE w:val="0"/>
        <w:autoSpaceDN w:val="0"/>
        <w:snapToGrid w:val="0"/>
        <w:spacing w:line="360" w:lineRule="auto"/>
        <w:ind w:firstLine="415" w:firstLineChars="198"/>
        <w:textAlignment w:val="bottom"/>
        <w:rPr>
          <w:rFonts w:ascii="宋体" w:hAnsi="宋体"/>
        </w:rPr>
      </w:pPr>
    </w:p>
    <w:p>
      <w:pPr>
        <w:autoSpaceDE w:val="0"/>
        <w:autoSpaceDN w:val="0"/>
        <w:snapToGrid w:val="0"/>
        <w:spacing w:line="360" w:lineRule="auto"/>
        <w:ind w:firstLine="415" w:firstLineChars="198"/>
        <w:textAlignment w:val="bottom"/>
        <w:rPr>
          <w:rFonts w:ascii="宋体" w:hAnsi="宋体"/>
          <w:szCs w:val="24"/>
        </w:rPr>
      </w:pPr>
      <w:r>
        <w:rPr>
          <w:rFonts w:hint="eastAsia" w:ascii="宋体" w:hAnsi="宋体"/>
          <w:lang w:eastAsia="zh-CN"/>
        </w:rPr>
        <w:t>▲</w:t>
      </w:r>
      <w:r>
        <w:rPr>
          <w:rFonts w:hint="eastAsia" w:ascii="宋体" w:hAnsi="宋体"/>
          <w:szCs w:val="24"/>
        </w:rPr>
        <w:t>4、</w:t>
      </w:r>
      <w:r>
        <w:rPr>
          <w:rFonts w:hint="eastAsia" w:hAnsi="宋体"/>
          <w:szCs w:val="24"/>
        </w:rPr>
        <w:t>供应商自行在“信用中国”网站(www.creditchina.gov.cn)、中国政府采购网(www.ccgp.gov.cn)</w:t>
      </w:r>
      <w:r>
        <w:rPr>
          <w:rFonts w:hint="eastAsia"/>
          <w:szCs w:val="24"/>
        </w:rPr>
        <w:t xml:space="preserve"> </w:t>
      </w:r>
      <w:r>
        <w:rPr>
          <w:rFonts w:hint="eastAsia" w:hAnsi="宋体"/>
          <w:szCs w:val="24"/>
        </w:rPr>
        <w:t>查询主体信用记录，并</w:t>
      </w:r>
      <w:r>
        <w:rPr>
          <w:rFonts w:hint="eastAsia" w:hAnsi="宋体" w:cs="宋体"/>
          <w:kern w:val="0"/>
        </w:rPr>
        <w:t>截图查询结果（其中，“信用中国”查询内容包括：</w:t>
      </w:r>
      <w:r>
        <w:rPr>
          <w:rFonts w:hint="eastAsia" w:hAnsi="宋体" w:cs="宋体"/>
          <w:kern w:val="0"/>
          <w:u w:val="single"/>
        </w:rPr>
        <w:t>失信被执行人、重大税收违法案件当事人名单、政府采购严重违法失信行为记录名单共三个网页页面</w:t>
      </w:r>
      <w:r>
        <w:rPr>
          <w:rFonts w:hint="eastAsia" w:hAnsi="宋体" w:cs="宋体"/>
          <w:kern w:val="0"/>
        </w:rPr>
        <w:t>，网页页面须显示供应商名称以及查询结果。“中国政府采购网”的查询内容包括：</w:t>
      </w:r>
      <w:r>
        <w:rPr>
          <w:rFonts w:hint="eastAsia" w:hAnsi="宋体" w:cs="宋体"/>
          <w:kern w:val="0"/>
          <w:u w:val="single"/>
        </w:rPr>
        <w:t>政府采购严重违法失信行为信息记录网页，网页须显示供应商名称以及查询结果。网页中的处罚日期不允许设置起始时间，只能设置截止时间，截止时间为本项目询价公告发布之日起至报价截止时间中任意一天</w:t>
      </w:r>
      <w:r>
        <w:rPr>
          <w:rFonts w:hint="eastAsia" w:hAnsi="宋体" w:cs="宋体"/>
          <w:kern w:val="0"/>
        </w:rPr>
        <w:t>）</w:t>
      </w:r>
      <w:r>
        <w:rPr>
          <w:rFonts w:hint="eastAsia" w:ascii="宋体" w:hAnsi="宋体"/>
        </w:rPr>
        <w:t>；</w:t>
      </w:r>
      <w:r>
        <w:rPr>
          <w:rFonts w:hint="eastAsia" w:ascii="宋体" w:hAnsi="宋体"/>
          <w:szCs w:val="24"/>
        </w:rPr>
        <w:t xml:space="preserve"> </w:t>
      </w:r>
    </w:p>
    <w:p>
      <w:pPr>
        <w:autoSpaceDE w:val="0"/>
        <w:autoSpaceDN w:val="0"/>
        <w:snapToGrid w:val="0"/>
        <w:spacing w:line="360" w:lineRule="auto"/>
        <w:ind w:firstLine="420" w:firstLineChars="200"/>
        <w:textAlignment w:val="bottom"/>
        <w:rPr>
          <w:rFonts w:ascii="宋体" w:hAnsi="宋体"/>
        </w:rPr>
      </w:pPr>
    </w:p>
    <w:p>
      <w:pPr>
        <w:autoSpaceDE w:val="0"/>
        <w:autoSpaceDN w:val="0"/>
        <w:snapToGrid w:val="0"/>
        <w:spacing w:line="360" w:lineRule="auto"/>
        <w:ind w:firstLine="420" w:firstLineChars="200"/>
        <w:textAlignment w:val="bottom"/>
        <w:rPr>
          <w:rFonts w:ascii="宋体" w:hAnsi="宋体"/>
        </w:rPr>
      </w:pPr>
    </w:p>
    <w:p>
      <w:pPr>
        <w:autoSpaceDE w:val="0"/>
        <w:autoSpaceDN w:val="0"/>
        <w:snapToGrid w:val="0"/>
        <w:spacing w:line="360" w:lineRule="auto"/>
        <w:ind w:firstLine="420" w:firstLineChars="200"/>
        <w:textAlignment w:val="bottom"/>
        <w:rPr>
          <w:rFonts w:ascii="宋体" w:hAnsi="宋体"/>
        </w:rPr>
      </w:pPr>
    </w:p>
    <w:p>
      <w:pPr>
        <w:autoSpaceDE w:val="0"/>
        <w:autoSpaceDN w:val="0"/>
        <w:snapToGrid w:val="0"/>
        <w:spacing w:line="360" w:lineRule="auto"/>
        <w:ind w:firstLine="420" w:firstLineChars="200"/>
        <w:textAlignment w:val="bottom"/>
        <w:rPr>
          <w:rFonts w:ascii="宋体" w:hAnsi="宋体"/>
        </w:rPr>
      </w:pPr>
    </w:p>
    <w:p>
      <w:pPr>
        <w:autoSpaceDE w:val="0"/>
        <w:autoSpaceDN w:val="0"/>
        <w:snapToGrid w:val="0"/>
        <w:spacing w:line="360" w:lineRule="auto"/>
        <w:ind w:firstLine="420" w:firstLineChars="200"/>
        <w:textAlignment w:val="bottom"/>
        <w:rPr>
          <w:rFonts w:ascii="宋体" w:hAnsi="宋体"/>
        </w:rPr>
      </w:pPr>
    </w:p>
    <w:p>
      <w:pPr>
        <w:autoSpaceDE w:val="0"/>
        <w:autoSpaceDN w:val="0"/>
        <w:snapToGrid w:val="0"/>
        <w:spacing w:line="360" w:lineRule="auto"/>
        <w:ind w:firstLine="420" w:firstLineChars="200"/>
        <w:textAlignment w:val="bottom"/>
        <w:rPr>
          <w:rFonts w:ascii="宋体" w:hAnsi="宋体"/>
          <w:szCs w:val="24"/>
        </w:rPr>
      </w:pPr>
      <w:r>
        <w:rPr>
          <w:rFonts w:hint="eastAsia" w:ascii="宋体" w:hAnsi="宋体"/>
          <w:lang w:eastAsia="zh-CN"/>
        </w:rPr>
        <w:t>▲</w:t>
      </w:r>
      <w:r>
        <w:rPr>
          <w:rFonts w:ascii="宋体" w:hAnsi="宋体"/>
          <w:szCs w:val="24"/>
        </w:rPr>
        <w:t>5</w:t>
      </w:r>
      <w:r>
        <w:rPr>
          <w:rFonts w:hint="eastAsia" w:ascii="宋体" w:hAnsi="宋体"/>
          <w:szCs w:val="24"/>
        </w:rPr>
        <w:t>、参加政府采购活动前3年内在经营活动中没有重大违法记录的书面声明；</w:t>
      </w:r>
    </w:p>
    <w:p>
      <w:pPr>
        <w:spacing w:line="360" w:lineRule="auto"/>
        <w:jc w:val="center"/>
        <w:rPr>
          <w:rFonts w:ascii="宋体" w:hAnsi="宋体"/>
          <w:b/>
          <w:sz w:val="32"/>
          <w:szCs w:val="32"/>
        </w:rPr>
      </w:pPr>
      <w:r>
        <w:rPr>
          <w:rFonts w:hint="eastAsia" w:ascii="宋体" w:hAnsi="宋体"/>
          <w:b/>
          <w:sz w:val="32"/>
          <w:szCs w:val="32"/>
        </w:rPr>
        <w:t>无重大违法记录声明（格式）</w:t>
      </w:r>
    </w:p>
    <w:p>
      <w:pPr>
        <w:spacing w:line="360" w:lineRule="auto"/>
        <w:rPr>
          <w:rFonts w:ascii="宋体" w:hAnsi="宋体"/>
        </w:rPr>
      </w:pPr>
      <w:r>
        <w:rPr>
          <w:rFonts w:hint="eastAsia" w:hAnsi="宋体"/>
          <w:bCs/>
          <w:szCs w:val="24"/>
          <w:u w:val="single"/>
        </w:rPr>
        <w:t>广西幼儿师范高等专科学校</w:t>
      </w:r>
      <w:r>
        <w:rPr>
          <w:rFonts w:hint="eastAsia" w:ascii="宋体" w:hAnsi="宋体"/>
        </w:rPr>
        <w:t>：</w:t>
      </w:r>
    </w:p>
    <w:p>
      <w:pPr>
        <w:spacing w:line="360" w:lineRule="auto"/>
        <w:ind w:firstLine="420" w:firstLineChars="200"/>
        <w:rPr>
          <w:rFonts w:ascii="宋体" w:hAnsi="宋体"/>
        </w:rPr>
      </w:pPr>
      <w:r>
        <w:rPr>
          <w:rFonts w:hint="eastAsia" w:ascii="宋体" w:hAnsi="宋体"/>
        </w:rPr>
        <w:t>我公司参与</w:t>
      </w:r>
      <w:r>
        <w:rPr>
          <w:rFonts w:hint="eastAsia" w:ascii="宋体" w:hAnsi="宋体"/>
          <w:u w:val="single"/>
        </w:rPr>
        <w:t xml:space="preserve">                                     </w:t>
      </w:r>
      <w:r>
        <w:rPr>
          <w:rFonts w:hint="eastAsia" w:ascii="宋体" w:hAnsi="宋体"/>
        </w:rPr>
        <w:t>（项目名称）的报价，我公司郑重声明：我公司近三年在经营活动中无重大违法活动记录，符合《中华人民共和国政府采购法》等规定的供应商资格条件。我方对此声明负全部法律责任。</w:t>
      </w:r>
    </w:p>
    <w:p>
      <w:pPr>
        <w:spacing w:line="360" w:lineRule="auto"/>
        <w:ind w:firstLine="420" w:firstLineChars="200"/>
        <w:rPr>
          <w:rFonts w:ascii="宋体" w:hAnsi="宋体"/>
        </w:rPr>
      </w:pPr>
      <w:r>
        <w:rPr>
          <w:rFonts w:hint="eastAsia" w:ascii="宋体" w:hAnsi="宋体"/>
        </w:rPr>
        <w:t>特此声明。</w:t>
      </w:r>
    </w:p>
    <w:p>
      <w:pPr>
        <w:spacing w:line="360" w:lineRule="auto"/>
        <w:jc w:val="center"/>
        <w:rPr>
          <w:rFonts w:ascii="宋体" w:hAnsi="宋体"/>
        </w:rPr>
      </w:pPr>
      <w:r>
        <w:rPr>
          <w:rFonts w:hint="eastAsia" w:ascii="宋体" w:hAnsi="宋体"/>
        </w:rPr>
        <w:t xml:space="preserve">                                       声明人：（公章）</w:t>
      </w:r>
    </w:p>
    <w:p>
      <w:pPr>
        <w:spacing w:line="360" w:lineRule="auto"/>
        <w:ind w:firstLine="5985" w:firstLineChars="2850"/>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p>
    <w:p>
      <w:pPr>
        <w:autoSpaceDE w:val="0"/>
        <w:autoSpaceDN w:val="0"/>
        <w:snapToGrid w:val="0"/>
        <w:spacing w:line="360" w:lineRule="auto"/>
        <w:textAlignment w:val="bottom"/>
        <w:rPr>
          <w:rFonts w:ascii="宋体" w:hAnsi="宋体"/>
          <w:b/>
          <w:szCs w:val="24"/>
        </w:rPr>
      </w:pPr>
      <w:r>
        <w:rPr>
          <w:rFonts w:hint="eastAsia" w:ascii="宋体" w:hAnsi="宋体"/>
          <w:b/>
          <w:szCs w:val="24"/>
        </w:rPr>
        <w:t>（二）商务技术类文件</w:t>
      </w:r>
    </w:p>
    <w:p>
      <w:pPr>
        <w:spacing w:line="300" w:lineRule="auto"/>
        <w:jc w:val="center"/>
        <w:rPr>
          <w:rFonts w:ascii="宋体" w:hAnsi="宋体"/>
          <w:b/>
          <w:sz w:val="28"/>
          <w:szCs w:val="28"/>
        </w:rPr>
      </w:pPr>
      <w:r>
        <w:rPr>
          <w:rFonts w:hint="eastAsia" w:ascii="宋体" w:hAnsi="宋体"/>
          <w:b/>
          <w:sz w:val="28"/>
          <w:szCs w:val="28"/>
          <w:lang w:eastAsia="zh-CN"/>
        </w:rPr>
        <w:t>▲</w:t>
      </w:r>
      <w:r>
        <w:rPr>
          <w:rFonts w:hint="eastAsia" w:ascii="宋体" w:hAnsi="宋体"/>
          <w:b/>
          <w:sz w:val="28"/>
          <w:szCs w:val="28"/>
        </w:rPr>
        <w:t>1、技术响应表</w:t>
      </w:r>
    </w:p>
    <w:p>
      <w:pPr>
        <w:spacing w:line="300" w:lineRule="auto"/>
        <w:rPr>
          <w:rFonts w:ascii="宋体" w:hAnsi="宋体"/>
          <w:sz w:val="28"/>
          <w:szCs w:val="28"/>
        </w:rPr>
      </w:pPr>
    </w:p>
    <w:p>
      <w:pPr>
        <w:spacing w:line="300" w:lineRule="auto"/>
        <w:rPr>
          <w:rFonts w:ascii="宋体" w:hAnsi="宋体"/>
          <w:u w:val="single"/>
        </w:rPr>
      </w:pPr>
      <w:r>
        <w:rPr>
          <w:rFonts w:hint="eastAsia" w:ascii="宋体" w:hAnsi="宋体"/>
        </w:rPr>
        <w:t>采购项目编号:</w:t>
      </w:r>
      <w:r>
        <w:rPr>
          <w:rFonts w:hint="eastAsia" w:ascii="宋体" w:hAnsi="宋体"/>
          <w:u w:val="single"/>
        </w:rPr>
        <w:t xml:space="preserve">                 </w:t>
      </w:r>
    </w:p>
    <w:p>
      <w:pPr>
        <w:spacing w:line="300" w:lineRule="auto"/>
        <w:rPr>
          <w:rFonts w:ascii="宋体" w:hAnsi="宋体"/>
        </w:rPr>
      </w:pPr>
      <w:r>
        <w:rPr>
          <w:rFonts w:hint="eastAsia" w:ascii="宋体" w:hAnsi="宋体"/>
        </w:rPr>
        <w:t>采购项目名称:</w:t>
      </w:r>
      <w:r>
        <w:rPr>
          <w:rFonts w:hint="eastAsia" w:ascii="宋体" w:hAnsi="宋体"/>
          <w:u w:val="single"/>
        </w:rPr>
        <w:t xml:space="preserve">                 </w:t>
      </w:r>
    </w:p>
    <w:p>
      <w:pPr>
        <w:spacing w:line="300" w:lineRule="auto"/>
        <w:rPr>
          <w:rFonts w:ascii="宋体" w:hAnsi="宋体"/>
        </w:rPr>
      </w:pPr>
    </w:p>
    <w:tbl>
      <w:tblPr>
        <w:tblStyle w:val="10"/>
        <w:tblW w:w="991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1"/>
        <w:gridCol w:w="2843"/>
        <w:gridCol w:w="3178"/>
        <w:gridCol w:w="1580"/>
        <w:gridCol w:w="14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41" w:type="dxa"/>
            <w:vAlign w:val="center"/>
          </w:tcPr>
          <w:p>
            <w:pPr>
              <w:adjustRightInd w:val="0"/>
              <w:snapToGrid w:val="0"/>
              <w:spacing w:line="300" w:lineRule="auto"/>
              <w:jc w:val="center"/>
              <w:outlineLvl w:val="0"/>
              <w:rPr>
                <w:rFonts w:ascii="宋体" w:hAnsi="宋体"/>
              </w:rPr>
            </w:pPr>
            <w:bookmarkStart w:id="6" w:name="_Toc291581941"/>
            <w:bookmarkStart w:id="7" w:name="_Toc388450312"/>
            <w:bookmarkStart w:id="8" w:name="_Toc322959186"/>
            <w:r>
              <w:rPr>
                <w:rFonts w:hint="eastAsia" w:ascii="宋体" w:hAnsi="宋体"/>
              </w:rPr>
              <w:t>序号</w:t>
            </w:r>
            <w:bookmarkEnd w:id="6"/>
            <w:bookmarkEnd w:id="7"/>
            <w:bookmarkEnd w:id="8"/>
          </w:p>
        </w:tc>
        <w:tc>
          <w:tcPr>
            <w:tcW w:w="2843" w:type="dxa"/>
            <w:vAlign w:val="center"/>
          </w:tcPr>
          <w:p>
            <w:pPr>
              <w:adjustRightInd w:val="0"/>
              <w:snapToGrid w:val="0"/>
              <w:spacing w:line="300" w:lineRule="auto"/>
              <w:jc w:val="center"/>
              <w:outlineLvl w:val="0"/>
              <w:rPr>
                <w:rFonts w:ascii="宋体" w:hAnsi="宋体"/>
              </w:rPr>
            </w:pPr>
            <w:bookmarkStart w:id="9" w:name="_Toc388450313"/>
            <w:bookmarkStart w:id="10" w:name="_Toc322959187"/>
            <w:bookmarkStart w:id="11" w:name="_Toc291581942"/>
            <w:r>
              <w:rPr>
                <w:rFonts w:hint="eastAsia" w:ascii="宋体" w:hAnsi="宋体"/>
              </w:rPr>
              <w:t>采购文件要求</w:t>
            </w:r>
            <w:bookmarkEnd w:id="9"/>
            <w:bookmarkEnd w:id="10"/>
            <w:bookmarkEnd w:id="11"/>
          </w:p>
        </w:tc>
        <w:tc>
          <w:tcPr>
            <w:tcW w:w="3178" w:type="dxa"/>
            <w:vAlign w:val="center"/>
          </w:tcPr>
          <w:p>
            <w:pPr>
              <w:adjustRightInd w:val="0"/>
              <w:snapToGrid w:val="0"/>
              <w:spacing w:line="300" w:lineRule="auto"/>
              <w:jc w:val="center"/>
              <w:outlineLvl w:val="0"/>
              <w:rPr>
                <w:rFonts w:ascii="宋体" w:hAnsi="宋体"/>
              </w:rPr>
            </w:pPr>
            <w:bookmarkStart w:id="12" w:name="_Toc322959188"/>
            <w:bookmarkStart w:id="13" w:name="_Toc291581943"/>
            <w:bookmarkStart w:id="14" w:name="_Toc388450314"/>
            <w:r>
              <w:rPr>
                <w:rFonts w:hint="eastAsia" w:ascii="宋体" w:hAnsi="宋体"/>
              </w:rPr>
              <w:t>响应文件具体响应</w:t>
            </w:r>
            <w:bookmarkEnd w:id="12"/>
            <w:bookmarkEnd w:id="13"/>
            <w:bookmarkEnd w:id="14"/>
          </w:p>
        </w:tc>
        <w:tc>
          <w:tcPr>
            <w:tcW w:w="1580" w:type="dxa"/>
            <w:vAlign w:val="center"/>
          </w:tcPr>
          <w:p>
            <w:pPr>
              <w:adjustRightInd w:val="0"/>
              <w:snapToGrid w:val="0"/>
              <w:spacing w:line="300" w:lineRule="auto"/>
              <w:jc w:val="center"/>
              <w:outlineLvl w:val="0"/>
              <w:rPr>
                <w:rFonts w:ascii="宋体" w:hAnsi="宋体"/>
              </w:rPr>
            </w:pPr>
            <w:bookmarkStart w:id="15" w:name="_Toc291581944"/>
            <w:bookmarkStart w:id="16" w:name="_Toc322959189"/>
            <w:bookmarkStart w:id="17" w:name="_Toc388450315"/>
            <w:r>
              <w:rPr>
                <w:rFonts w:hint="eastAsia" w:ascii="宋体" w:hAnsi="宋体"/>
              </w:rPr>
              <w:t>响应/偏离</w:t>
            </w:r>
            <w:bookmarkEnd w:id="15"/>
            <w:bookmarkEnd w:id="16"/>
            <w:bookmarkEnd w:id="17"/>
          </w:p>
        </w:tc>
        <w:tc>
          <w:tcPr>
            <w:tcW w:w="1469" w:type="dxa"/>
            <w:vAlign w:val="center"/>
          </w:tcPr>
          <w:p>
            <w:pPr>
              <w:adjustRightInd w:val="0"/>
              <w:snapToGrid w:val="0"/>
              <w:spacing w:line="300" w:lineRule="auto"/>
              <w:jc w:val="center"/>
              <w:outlineLvl w:val="0"/>
              <w:rPr>
                <w:rFonts w:ascii="宋体" w:hAnsi="宋体"/>
              </w:rPr>
            </w:pPr>
            <w:bookmarkStart w:id="18" w:name="_Toc322959190"/>
            <w:bookmarkStart w:id="19" w:name="_Toc388450316"/>
            <w:bookmarkStart w:id="20" w:name="_Toc291581945"/>
            <w:r>
              <w:rPr>
                <w:rFonts w:hint="eastAsia" w:ascii="宋体" w:hAnsi="宋体"/>
              </w:rPr>
              <w:t>说明</w:t>
            </w:r>
            <w:bookmarkEnd w:id="18"/>
            <w:bookmarkEnd w:id="19"/>
            <w:bookmarkEnd w:id="20"/>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841" w:type="dxa"/>
            <w:vAlign w:val="center"/>
          </w:tcPr>
          <w:p>
            <w:pPr>
              <w:adjustRightInd w:val="0"/>
              <w:snapToGrid w:val="0"/>
              <w:spacing w:line="300" w:lineRule="auto"/>
              <w:jc w:val="center"/>
              <w:outlineLvl w:val="0"/>
              <w:rPr>
                <w:rFonts w:ascii="宋体" w:hAnsi="宋体"/>
              </w:rPr>
            </w:pPr>
            <w:bookmarkStart w:id="21" w:name="_Toc388450317"/>
            <w:bookmarkStart w:id="22" w:name="_Toc291581946"/>
            <w:bookmarkStart w:id="23" w:name="_Toc322959191"/>
            <w:r>
              <w:rPr>
                <w:rFonts w:hint="eastAsia" w:ascii="宋体" w:hAnsi="宋体"/>
              </w:rPr>
              <w:t>1</w:t>
            </w:r>
            <w:bookmarkEnd w:id="21"/>
            <w:bookmarkEnd w:id="22"/>
            <w:bookmarkEnd w:id="23"/>
          </w:p>
        </w:tc>
        <w:tc>
          <w:tcPr>
            <w:tcW w:w="2843" w:type="dxa"/>
            <w:vAlign w:val="center"/>
          </w:tcPr>
          <w:p>
            <w:pPr>
              <w:adjustRightInd w:val="0"/>
              <w:snapToGrid w:val="0"/>
              <w:spacing w:line="300" w:lineRule="auto"/>
              <w:jc w:val="center"/>
              <w:outlineLvl w:val="0"/>
              <w:rPr>
                <w:rFonts w:ascii="宋体" w:hAnsi="宋体"/>
              </w:rPr>
            </w:pPr>
          </w:p>
        </w:tc>
        <w:tc>
          <w:tcPr>
            <w:tcW w:w="3178" w:type="dxa"/>
            <w:vAlign w:val="center"/>
          </w:tcPr>
          <w:p>
            <w:pPr>
              <w:adjustRightInd w:val="0"/>
              <w:snapToGrid w:val="0"/>
              <w:spacing w:line="300" w:lineRule="auto"/>
              <w:jc w:val="center"/>
              <w:outlineLvl w:val="0"/>
              <w:rPr>
                <w:rFonts w:ascii="宋体" w:hAnsi="宋体"/>
              </w:rPr>
            </w:pPr>
          </w:p>
        </w:tc>
        <w:tc>
          <w:tcPr>
            <w:tcW w:w="1580" w:type="dxa"/>
            <w:vAlign w:val="center"/>
          </w:tcPr>
          <w:p>
            <w:pPr>
              <w:adjustRightInd w:val="0"/>
              <w:snapToGrid w:val="0"/>
              <w:spacing w:line="300" w:lineRule="auto"/>
              <w:jc w:val="center"/>
              <w:outlineLvl w:val="0"/>
              <w:rPr>
                <w:rFonts w:ascii="宋体" w:hAnsi="宋体"/>
              </w:rPr>
            </w:pPr>
          </w:p>
        </w:tc>
        <w:tc>
          <w:tcPr>
            <w:tcW w:w="1469" w:type="dxa"/>
            <w:vAlign w:val="center"/>
          </w:tcPr>
          <w:p>
            <w:pPr>
              <w:adjustRightInd w:val="0"/>
              <w:snapToGrid w:val="0"/>
              <w:spacing w:line="300" w:lineRule="auto"/>
              <w:jc w:val="center"/>
              <w:outlineLvl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41" w:type="dxa"/>
            <w:vAlign w:val="center"/>
          </w:tcPr>
          <w:p>
            <w:pPr>
              <w:adjustRightInd w:val="0"/>
              <w:snapToGrid w:val="0"/>
              <w:spacing w:line="300" w:lineRule="auto"/>
              <w:jc w:val="center"/>
              <w:outlineLvl w:val="0"/>
              <w:rPr>
                <w:rFonts w:ascii="宋体" w:hAnsi="宋体"/>
              </w:rPr>
            </w:pPr>
            <w:bookmarkStart w:id="24" w:name="_Toc322959192"/>
            <w:bookmarkStart w:id="25" w:name="_Toc291581947"/>
            <w:bookmarkStart w:id="26" w:name="_Toc388450318"/>
            <w:r>
              <w:rPr>
                <w:rFonts w:hint="eastAsia" w:ascii="宋体" w:hAnsi="宋体"/>
              </w:rPr>
              <w:t>2</w:t>
            </w:r>
            <w:bookmarkEnd w:id="24"/>
            <w:bookmarkEnd w:id="25"/>
            <w:bookmarkEnd w:id="26"/>
          </w:p>
        </w:tc>
        <w:tc>
          <w:tcPr>
            <w:tcW w:w="2843" w:type="dxa"/>
            <w:vAlign w:val="center"/>
          </w:tcPr>
          <w:p>
            <w:pPr>
              <w:adjustRightInd w:val="0"/>
              <w:snapToGrid w:val="0"/>
              <w:spacing w:line="300" w:lineRule="auto"/>
              <w:jc w:val="center"/>
              <w:outlineLvl w:val="0"/>
              <w:rPr>
                <w:rFonts w:ascii="宋体" w:hAnsi="宋体"/>
              </w:rPr>
            </w:pPr>
          </w:p>
        </w:tc>
        <w:tc>
          <w:tcPr>
            <w:tcW w:w="3178" w:type="dxa"/>
            <w:vAlign w:val="center"/>
          </w:tcPr>
          <w:p>
            <w:pPr>
              <w:adjustRightInd w:val="0"/>
              <w:snapToGrid w:val="0"/>
              <w:spacing w:line="300" w:lineRule="auto"/>
              <w:jc w:val="center"/>
              <w:outlineLvl w:val="0"/>
              <w:rPr>
                <w:rFonts w:ascii="宋体" w:hAnsi="宋体"/>
              </w:rPr>
            </w:pPr>
          </w:p>
        </w:tc>
        <w:tc>
          <w:tcPr>
            <w:tcW w:w="1580" w:type="dxa"/>
            <w:vAlign w:val="center"/>
          </w:tcPr>
          <w:p>
            <w:pPr>
              <w:adjustRightInd w:val="0"/>
              <w:snapToGrid w:val="0"/>
              <w:spacing w:line="300" w:lineRule="auto"/>
              <w:jc w:val="center"/>
              <w:outlineLvl w:val="0"/>
              <w:rPr>
                <w:rFonts w:ascii="宋体" w:hAnsi="宋体"/>
              </w:rPr>
            </w:pPr>
          </w:p>
        </w:tc>
        <w:tc>
          <w:tcPr>
            <w:tcW w:w="1469" w:type="dxa"/>
            <w:vAlign w:val="center"/>
          </w:tcPr>
          <w:p>
            <w:pPr>
              <w:adjustRightInd w:val="0"/>
              <w:snapToGrid w:val="0"/>
              <w:spacing w:line="300" w:lineRule="auto"/>
              <w:jc w:val="center"/>
              <w:outlineLvl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41" w:type="dxa"/>
            <w:vAlign w:val="center"/>
          </w:tcPr>
          <w:p>
            <w:pPr>
              <w:adjustRightInd w:val="0"/>
              <w:snapToGrid w:val="0"/>
              <w:spacing w:line="300" w:lineRule="auto"/>
              <w:jc w:val="center"/>
              <w:outlineLvl w:val="0"/>
              <w:rPr>
                <w:rFonts w:ascii="宋体" w:hAnsi="宋体"/>
              </w:rPr>
            </w:pPr>
            <w:bookmarkStart w:id="27" w:name="_Toc291581948"/>
            <w:bookmarkStart w:id="28" w:name="_Toc322959193"/>
            <w:bookmarkStart w:id="29" w:name="_Toc388450319"/>
            <w:r>
              <w:rPr>
                <w:rFonts w:hint="eastAsia" w:ascii="宋体" w:hAnsi="宋体"/>
              </w:rPr>
              <w:t>3</w:t>
            </w:r>
            <w:bookmarkEnd w:id="27"/>
            <w:bookmarkEnd w:id="28"/>
            <w:bookmarkEnd w:id="29"/>
          </w:p>
        </w:tc>
        <w:tc>
          <w:tcPr>
            <w:tcW w:w="2843" w:type="dxa"/>
            <w:vAlign w:val="center"/>
          </w:tcPr>
          <w:p>
            <w:pPr>
              <w:adjustRightInd w:val="0"/>
              <w:snapToGrid w:val="0"/>
              <w:spacing w:line="300" w:lineRule="auto"/>
              <w:jc w:val="center"/>
              <w:outlineLvl w:val="0"/>
              <w:rPr>
                <w:rFonts w:ascii="宋体" w:hAnsi="宋体"/>
              </w:rPr>
            </w:pPr>
          </w:p>
        </w:tc>
        <w:tc>
          <w:tcPr>
            <w:tcW w:w="3178" w:type="dxa"/>
            <w:vAlign w:val="center"/>
          </w:tcPr>
          <w:p>
            <w:pPr>
              <w:adjustRightInd w:val="0"/>
              <w:snapToGrid w:val="0"/>
              <w:spacing w:line="300" w:lineRule="auto"/>
              <w:jc w:val="center"/>
              <w:outlineLvl w:val="0"/>
              <w:rPr>
                <w:rFonts w:ascii="宋体" w:hAnsi="宋体"/>
              </w:rPr>
            </w:pPr>
          </w:p>
        </w:tc>
        <w:tc>
          <w:tcPr>
            <w:tcW w:w="1580" w:type="dxa"/>
            <w:vAlign w:val="center"/>
          </w:tcPr>
          <w:p>
            <w:pPr>
              <w:adjustRightInd w:val="0"/>
              <w:snapToGrid w:val="0"/>
              <w:spacing w:line="300" w:lineRule="auto"/>
              <w:jc w:val="center"/>
              <w:outlineLvl w:val="0"/>
              <w:rPr>
                <w:rFonts w:ascii="宋体" w:hAnsi="宋体"/>
              </w:rPr>
            </w:pPr>
          </w:p>
        </w:tc>
        <w:tc>
          <w:tcPr>
            <w:tcW w:w="1469" w:type="dxa"/>
            <w:vAlign w:val="center"/>
          </w:tcPr>
          <w:p>
            <w:pPr>
              <w:adjustRightInd w:val="0"/>
              <w:snapToGrid w:val="0"/>
              <w:spacing w:line="300" w:lineRule="auto"/>
              <w:jc w:val="center"/>
              <w:outlineLvl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841" w:type="dxa"/>
            <w:vAlign w:val="center"/>
          </w:tcPr>
          <w:p>
            <w:pPr>
              <w:adjustRightInd w:val="0"/>
              <w:snapToGrid w:val="0"/>
              <w:spacing w:line="300" w:lineRule="auto"/>
              <w:jc w:val="center"/>
              <w:outlineLvl w:val="0"/>
              <w:rPr>
                <w:rFonts w:ascii="宋体" w:hAnsi="宋体"/>
              </w:rPr>
            </w:pPr>
            <w:bookmarkStart w:id="30" w:name="_Toc322959196"/>
            <w:bookmarkStart w:id="31" w:name="_Toc291581951"/>
            <w:bookmarkStart w:id="32" w:name="_Toc388450322"/>
            <w:r>
              <w:rPr>
                <w:rFonts w:hint="eastAsia" w:ascii="宋体" w:hAnsi="宋体"/>
              </w:rPr>
              <w:t>…</w:t>
            </w:r>
            <w:bookmarkEnd w:id="30"/>
            <w:bookmarkEnd w:id="31"/>
            <w:bookmarkEnd w:id="32"/>
          </w:p>
        </w:tc>
        <w:tc>
          <w:tcPr>
            <w:tcW w:w="2843" w:type="dxa"/>
            <w:vAlign w:val="center"/>
          </w:tcPr>
          <w:p>
            <w:pPr>
              <w:adjustRightInd w:val="0"/>
              <w:snapToGrid w:val="0"/>
              <w:spacing w:line="300" w:lineRule="auto"/>
              <w:jc w:val="center"/>
              <w:outlineLvl w:val="0"/>
              <w:rPr>
                <w:rFonts w:ascii="宋体" w:hAnsi="宋体"/>
              </w:rPr>
            </w:pPr>
          </w:p>
        </w:tc>
        <w:tc>
          <w:tcPr>
            <w:tcW w:w="3178" w:type="dxa"/>
            <w:vAlign w:val="center"/>
          </w:tcPr>
          <w:p>
            <w:pPr>
              <w:adjustRightInd w:val="0"/>
              <w:snapToGrid w:val="0"/>
              <w:spacing w:line="300" w:lineRule="auto"/>
              <w:jc w:val="center"/>
              <w:outlineLvl w:val="0"/>
              <w:rPr>
                <w:rFonts w:ascii="宋体" w:hAnsi="宋体"/>
              </w:rPr>
            </w:pPr>
          </w:p>
        </w:tc>
        <w:tc>
          <w:tcPr>
            <w:tcW w:w="1580" w:type="dxa"/>
            <w:tcBorders>
              <w:right w:val="single" w:color="auto" w:sz="4" w:space="0"/>
            </w:tcBorders>
            <w:vAlign w:val="center"/>
          </w:tcPr>
          <w:p>
            <w:pPr>
              <w:adjustRightInd w:val="0"/>
              <w:snapToGrid w:val="0"/>
              <w:spacing w:line="300" w:lineRule="auto"/>
              <w:jc w:val="center"/>
              <w:outlineLvl w:val="0"/>
              <w:rPr>
                <w:rFonts w:ascii="宋体" w:hAnsi="宋体"/>
              </w:rPr>
            </w:pPr>
          </w:p>
        </w:tc>
        <w:tc>
          <w:tcPr>
            <w:tcW w:w="1469" w:type="dxa"/>
            <w:tcBorders>
              <w:left w:val="single" w:color="auto" w:sz="4" w:space="0"/>
            </w:tcBorders>
            <w:vAlign w:val="center"/>
          </w:tcPr>
          <w:p>
            <w:pPr>
              <w:adjustRightInd w:val="0"/>
              <w:snapToGrid w:val="0"/>
              <w:spacing w:line="300" w:lineRule="auto"/>
              <w:jc w:val="center"/>
              <w:outlineLvl w:val="0"/>
              <w:rPr>
                <w:rFonts w:ascii="宋体" w:hAnsi="宋体"/>
              </w:rPr>
            </w:pPr>
          </w:p>
        </w:tc>
      </w:tr>
    </w:tbl>
    <w:p>
      <w:pPr>
        <w:spacing w:line="500" w:lineRule="exact"/>
        <w:ind w:firstLine="739" w:firstLineChars="352"/>
        <w:rPr>
          <w:rFonts w:ascii="宋体" w:hAnsi="宋体" w:cs="Courier New"/>
        </w:rPr>
      </w:pPr>
      <w:r>
        <w:rPr>
          <w:rFonts w:hint="eastAsia" w:ascii="宋体" w:hAnsi="宋体" w:cs="Courier New"/>
        </w:rPr>
        <w:t>说明：应对</w:t>
      </w:r>
      <w:bookmarkStart w:id="33" w:name="_Hlk41521256"/>
      <w:r>
        <w:rPr>
          <w:rFonts w:hint="eastAsia" w:ascii="宋体" w:hAnsi="宋体" w:cs="Courier New"/>
        </w:rPr>
        <w:t>照本在线询价采购文件</w:t>
      </w:r>
      <w:bookmarkEnd w:id="33"/>
      <w:r>
        <w:rPr>
          <w:rFonts w:hint="eastAsia" w:ascii="宋体" w:hAnsi="宋体" w:cs="Courier New"/>
        </w:rPr>
        <w:t>“采购货物技术要求”，逐条说明所提供货物和服务已对</w:t>
      </w:r>
      <w:bookmarkStart w:id="34" w:name="_Hlk41521095"/>
      <w:r>
        <w:rPr>
          <w:rFonts w:hint="eastAsia" w:ascii="宋体" w:hAnsi="宋体" w:cs="Courier New"/>
        </w:rPr>
        <w:t>采购文件的“采购货物技术要求”</w:t>
      </w:r>
      <w:bookmarkEnd w:id="34"/>
      <w:r>
        <w:rPr>
          <w:rFonts w:hint="eastAsia" w:ascii="宋体" w:hAnsi="宋体" w:cs="Courier New"/>
        </w:rPr>
        <w:t>做出了实质性的响应，并申明与“采购货物技术要求”条文的响应和偏离。</w:t>
      </w:r>
      <w:r>
        <w:rPr>
          <w:rFonts w:hint="eastAsia" w:hAnsi="宋体"/>
        </w:rPr>
        <w:t>若完全响应无偏离，则在“是否响应”栏中填写“完全响应无偏离”即可</w:t>
      </w:r>
    </w:p>
    <w:p>
      <w:pPr>
        <w:spacing w:line="300" w:lineRule="auto"/>
        <w:rPr>
          <w:rFonts w:ascii="宋体" w:hAnsi="宋体" w:cs="Courier New"/>
        </w:rPr>
      </w:pPr>
    </w:p>
    <w:p>
      <w:pPr>
        <w:spacing w:line="360" w:lineRule="auto"/>
        <w:ind w:firstLine="3150" w:firstLineChars="1500"/>
        <w:rPr>
          <w:rFonts w:ascii="宋体" w:hAnsi="宋体" w:cs="Courier New"/>
          <w:u w:val="single"/>
        </w:rPr>
      </w:pPr>
      <w:r>
        <w:rPr>
          <w:rFonts w:hint="eastAsia" w:ascii="宋体" w:hAnsi="宋体" w:cs="Courier New"/>
        </w:rPr>
        <w:t>法定代表人或法定代表人授权代表（签字）:</w:t>
      </w:r>
      <w:r>
        <w:rPr>
          <w:rFonts w:hint="eastAsia" w:ascii="宋体" w:hAnsi="宋体" w:cs="Courier New"/>
          <w:u w:val="single"/>
        </w:rPr>
        <w:t xml:space="preserve">           </w:t>
      </w:r>
    </w:p>
    <w:p>
      <w:pPr>
        <w:spacing w:line="360" w:lineRule="auto"/>
        <w:ind w:firstLine="3150" w:firstLineChars="1500"/>
        <w:rPr>
          <w:rFonts w:ascii="宋体" w:hAnsi="宋体" w:cs="Courier New"/>
          <w:u w:val="single"/>
        </w:rPr>
      </w:pPr>
      <w:r>
        <w:rPr>
          <w:rFonts w:hint="eastAsia" w:ascii="宋体" w:hAnsi="宋体" w:cs="Courier New"/>
        </w:rPr>
        <w:t>供应商名称（签章）：</w:t>
      </w:r>
      <w:r>
        <w:rPr>
          <w:rFonts w:hint="eastAsia" w:ascii="宋体" w:hAnsi="宋体" w:cs="Courier New"/>
          <w:u w:val="single"/>
        </w:rPr>
        <w:t xml:space="preserve">                              </w:t>
      </w:r>
    </w:p>
    <w:p>
      <w:pPr>
        <w:spacing w:line="360" w:lineRule="auto"/>
        <w:ind w:firstLine="3150" w:firstLineChars="1500"/>
        <w:rPr>
          <w:rFonts w:ascii="宋体" w:hAnsi="宋体"/>
          <w:szCs w:val="24"/>
        </w:rPr>
      </w:pPr>
      <w:r>
        <w:rPr>
          <w:rFonts w:hint="eastAsia" w:ascii="宋体" w:hAnsi="宋体"/>
          <w:szCs w:val="24"/>
        </w:rPr>
        <w:t>日期：</w:t>
      </w:r>
      <w:r>
        <w:rPr>
          <w:rFonts w:ascii="宋体" w:hAnsi="宋体"/>
          <w:szCs w:val="24"/>
          <w:u w:val="single"/>
        </w:rPr>
        <w:t xml:space="preserve">     </w:t>
      </w:r>
      <w:r>
        <w:rPr>
          <w:rFonts w:hint="eastAsia" w:ascii="宋体" w:hAnsi="宋体"/>
          <w:szCs w:val="24"/>
        </w:rPr>
        <w:t>年</w:t>
      </w:r>
      <w:r>
        <w:rPr>
          <w:rFonts w:ascii="宋体" w:hAnsi="宋体"/>
          <w:szCs w:val="24"/>
          <w:u w:val="single"/>
        </w:rPr>
        <w:t xml:space="preserve">     </w:t>
      </w:r>
      <w:r>
        <w:rPr>
          <w:rFonts w:hint="eastAsia" w:ascii="宋体" w:hAnsi="宋体"/>
          <w:szCs w:val="24"/>
        </w:rPr>
        <w:t>月</w:t>
      </w:r>
      <w:r>
        <w:rPr>
          <w:rFonts w:ascii="宋体" w:hAnsi="宋体"/>
          <w:szCs w:val="24"/>
          <w:u w:val="single"/>
        </w:rPr>
        <w:t xml:space="preserve">    </w:t>
      </w:r>
      <w:r>
        <w:rPr>
          <w:rFonts w:hint="eastAsia" w:ascii="宋体" w:hAnsi="宋体"/>
          <w:szCs w:val="24"/>
        </w:rPr>
        <w:t>日</w:t>
      </w:r>
    </w:p>
    <w:p>
      <w:pPr>
        <w:spacing w:line="300" w:lineRule="auto"/>
        <w:jc w:val="center"/>
        <w:rPr>
          <w:rFonts w:ascii="宋体" w:hAnsi="宋体"/>
          <w:b/>
          <w:sz w:val="28"/>
          <w:szCs w:val="28"/>
        </w:rPr>
      </w:pPr>
    </w:p>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p>
    <w:p>
      <w:pPr>
        <w:spacing w:line="300" w:lineRule="auto"/>
        <w:jc w:val="center"/>
        <w:rPr>
          <w:rFonts w:ascii="宋体" w:hAnsi="宋体"/>
          <w:b/>
          <w:sz w:val="28"/>
          <w:szCs w:val="28"/>
        </w:rPr>
      </w:pPr>
      <w:r>
        <w:rPr>
          <w:rFonts w:hint="eastAsia" w:ascii="宋体" w:hAnsi="宋体"/>
          <w:b/>
          <w:sz w:val="28"/>
          <w:szCs w:val="28"/>
          <w:lang w:eastAsia="zh-CN"/>
        </w:rPr>
        <w:t>▲</w:t>
      </w:r>
      <w:r>
        <w:rPr>
          <w:rFonts w:hint="eastAsia" w:ascii="宋体" w:hAnsi="宋体"/>
          <w:b/>
          <w:sz w:val="28"/>
          <w:szCs w:val="28"/>
        </w:rPr>
        <w:t>2、商务响应表</w:t>
      </w:r>
    </w:p>
    <w:p>
      <w:pPr>
        <w:spacing w:line="300" w:lineRule="auto"/>
        <w:rPr>
          <w:rFonts w:ascii="宋体" w:hAnsi="宋体"/>
          <w:u w:val="single"/>
        </w:rPr>
      </w:pPr>
      <w:r>
        <w:rPr>
          <w:rFonts w:hint="eastAsia" w:ascii="宋体" w:hAnsi="宋体"/>
        </w:rPr>
        <w:t>采购项目编号：</w:t>
      </w:r>
      <w:r>
        <w:rPr>
          <w:rFonts w:hint="eastAsia" w:ascii="宋体" w:hAnsi="宋体"/>
          <w:u w:val="single"/>
        </w:rPr>
        <w:t xml:space="preserve">                 </w:t>
      </w:r>
    </w:p>
    <w:p>
      <w:pPr>
        <w:spacing w:line="300" w:lineRule="auto"/>
        <w:rPr>
          <w:rFonts w:ascii="宋体" w:hAnsi="宋体"/>
          <w:u w:val="single"/>
        </w:rPr>
      </w:pPr>
      <w:r>
        <w:rPr>
          <w:rFonts w:hint="eastAsia" w:ascii="宋体" w:hAnsi="宋体"/>
        </w:rPr>
        <w:t>采购项目名称：</w:t>
      </w:r>
      <w:r>
        <w:rPr>
          <w:rFonts w:hint="eastAsia" w:ascii="宋体" w:hAnsi="宋体"/>
          <w:u w:val="single"/>
        </w:rPr>
        <w:t xml:space="preserve">                 </w:t>
      </w:r>
    </w:p>
    <w:p>
      <w:pPr>
        <w:spacing w:line="300" w:lineRule="auto"/>
        <w:rPr>
          <w:rFonts w:ascii="宋体" w:hAnsi="宋体"/>
        </w:rPr>
      </w:pP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417"/>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b/>
              </w:rPr>
            </w:pPr>
            <w:r>
              <w:rPr>
                <w:rFonts w:hint="eastAsia" w:ascii="宋体" w:hAnsi="宋体"/>
                <w:b/>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b/>
              </w:rPr>
            </w:pPr>
            <w:r>
              <w:rPr>
                <w:rFonts w:hint="eastAsia" w:ascii="宋体" w:hAnsi="宋体"/>
                <w:b/>
              </w:rPr>
              <w:t>采购文件要求</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b/>
              </w:rPr>
            </w:pPr>
            <w:r>
              <w:rPr>
                <w:rFonts w:hint="eastAsia" w:ascii="宋体" w:hAnsi="宋体"/>
                <w:b/>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b/>
              </w:rPr>
            </w:pPr>
            <w:r>
              <w:rPr>
                <w:rFonts w:hint="eastAsia" w:ascii="宋体" w:hAnsi="宋体"/>
                <w:b/>
              </w:rPr>
              <w:t>报价人的承诺或说明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line="340" w:lineRule="exact"/>
              <w:rPr>
                <w:sz w:val="20"/>
                <w:szCs w:val="20"/>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r>
              <w:rPr>
                <w:rFonts w:hint="eastAsia" w:ascii="宋体" w:hAnsi="宋体"/>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rPr>
            </w:pPr>
          </w:p>
        </w:tc>
      </w:tr>
    </w:tbl>
    <w:p>
      <w:pPr>
        <w:snapToGrid w:val="0"/>
        <w:spacing w:before="50" w:after="50"/>
        <w:rPr>
          <w:rFonts w:hAnsi="宋体"/>
        </w:rPr>
      </w:pPr>
    </w:p>
    <w:p>
      <w:pPr>
        <w:snapToGrid w:val="0"/>
        <w:spacing w:before="50" w:after="50"/>
        <w:rPr>
          <w:rFonts w:ascii="宋体" w:hAnsi="宋体"/>
          <w:spacing w:val="20"/>
        </w:rPr>
      </w:pPr>
      <w:r>
        <w:rPr>
          <w:rFonts w:hint="eastAsia" w:hAnsi="宋体"/>
        </w:rPr>
        <w:t>说明：应对照照政府采购电子卖场在线询价采购文件“商务要求”逐条说明已对采购文件的要求做出了实质性的响应，并申明与商务要求的响应和偏离。若完全响应无偏离，则在“是否响应”栏中填写“完全响应无偏离”即可。</w:t>
      </w:r>
    </w:p>
    <w:p>
      <w:pPr>
        <w:snapToGrid w:val="0"/>
        <w:spacing w:before="50" w:after="50"/>
        <w:rPr>
          <w:rFonts w:ascii="宋体" w:hAnsi="宋体"/>
          <w:spacing w:val="20"/>
        </w:rPr>
      </w:pPr>
    </w:p>
    <w:p>
      <w:pPr>
        <w:spacing w:line="360" w:lineRule="auto"/>
        <w:jc w:val="center"/>
        <w:rPr>
          <w:rFonts w:ascii="宋体" w:hAnsi="宋体"/>
          <w:b/>
          <w:sz w:val="28"/>
          <w:szCs w:val="28"/>
        </w:rPr>
      </w:pPr>
      <w:r>
        <w:rPr>
          <w:rFonts w:hint="eastAsia" w:ascii="宋体" w:hAnsi="宋体"/>
          <w:lang w:eastAsia="zh-CN"/>
        </w:rPr>
        <w:t>▲</w:t>
      </w:r>
      <w:r>
        <w:rPr>
          <w:rFonts w:hint="eastAsia" w:ascii="宋体" w:hAnsi="宋体"/>
          <w:b/>
          <w:sz w:val="28"/>
          <w:szCs w:val="28"/>
        </w:rPr>
        <w:t>3、质量保证措施和售后服务承诺</w:t>
      </w:r>
    </w:p>
    <w:p>
      <w:pPr>
        <w:spacing w:line="360" w:lineRule="auto"/>
        <w:rPr>
          <w:rFonts w:ascii="宋体" w:hAnsi="宋体"/>
          <w:b/>
          <w:szCs w:val="24"/>
        </w:rPr>
      </w:pPr>
      <w:r>
        <w:rPr>
          <w:rFonts w:hint="eastAsia" w:ascii="宋体" w:hAnsi="宋体"/>
          <w:b/>
          <w:szCs w:val="24"/>
        </w:rPr>
        <w:t>质量保证措施和售后服务承诺格式自拟。</w:t>
      </w:r>
    </w:p>
    <w:p>
      <w:pPr>
        <w:spacing w:line="360" w:lineRule="auto"/>
        <w:rPr>
          <w:rFonts w:ascii="宋体" w:hAnsi="宋体"/>
          <w:b/>
          <w:szCs w:val="24"/>
        </w:rPr>
      </w:pPr>
    </w:p>
    <w:p>
      <w:pPr>
        <w:spacing w:line="360" w:lineRule="auto"/>
        <w:rPr>
          <w:rFonts w:ascii="宋体" w:hAnsi="宋体"/>
          <w:szCs w:val="24"/>
        </w:rPr>
      </w:pPr>
      <w:r>
        <w:rPr>
          <w:rFonts w:hint="eastAsia" w:ascii="宋体" w:hAnsi="宋体"/>
          <w:b/>
          <w:szCs w:val="24"/>
        </w:rPr>
        <w:t>（三）供应商认为需要提供的有关资料</w:t>
      </w:r>
      <w:r>
        <w:rPr>
          <w:rFonts w:hint="eastAsia" w:ascii="宋体" w:hAnsi="宋体"/>
          <w:szCs w:val="24"/>
        </w:rPr>
        <w:t>。</w:t>
      </w: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b/>
          <w:szCs w:val="24"/>
        </w:rPr>
      </w:pPr>
    </w:p>
    <w:p>
      <w:pPr>
        <w:spacing w:line="360" w:lineRule="auto"/>
        <w:rPr>
          <w:rFonts w:ascii="宋体" w:hAnsi="宋体"/>
          <w:szCs w:val="24"/>
        </w:rPr>
      </w:pPr>
      <w:r>
        <w:rPr>
          <w:rFonts w:hint="eastAsia" w:ascii="宋体" w:hAnsi="宋体"/>
          <w:b/>
          <w:szCs w:val="24"/>
        </w:rPr>
        <w:t>（四）</w:t>
      </w:r>
      <w:r>
        <w:rPr>
          <w:rFonts w:hint="eastAsia" w:ascii="宋体" w:hAnsi="宋体"/>
          <w:b/>
          <w:bCs/>
          <w:szCs w:val="24"/>
          <w:lang w:eastAsia="zh-CN"/>
        </w:rPr>
        <w:t>▲</w:t>
      </w:r>
      <w:r>
        <w:rPr>
          <w:rFonts w:hint="eastAsia" w:ascii="宋体" w:hAnsi="宋体"/>
          <w:b/>
          <w:szCs w:val="24"/>
        </w:rPr>
        <w:t>报价表</w:t>
      </w:r>
      <w:r>
        <w:rPr>
          <w:rFonts w:hint="eastAsia" w:ascii="宋体" w:hAnsi="宋体"/>
          <w:szCs w:val="24"/>
        </w:rPr>
        <w:t>。</w:t>
      </w:r>
    </w:p>
    <w:p>
      <w:pPr>
        <w:spacing w:line="500" w:lineRule="exact"/>
        <w:jc w:val="center"/>
        <w:rPr>
          <w:rFonts w:ascii="仿宋_GB2312" w:hAnsi="仿宋_GB2312" w:eastAsia="仿宋_GB2312"/>
          <w:b/>
          <w:sz w:val="32"/>
          <w:szCs w:val="32"/>
        </w:rPr>
      </w:pPr>
      <w:r>
        <w:rPr>
          <w:rFonts w:hint="eastAsia" w:ascii="仿宋_GB2312" w:hAnsi="仿宋_GB2312" w:eastAsia="仿宋_GB2312"/>
          <w:b/>
          <w:sz w:val="32"/>
          <w:szCs w:val="32"/>
        </w:rPr>
        <w:t>报  价  表</w:t>
      </w:r>
    </w:p>
    <w:p>
      <w:pPr>
        <w:spacing w:line="500" w:lineRule="exact"/>
        <w:rPr>
          <w:rFonts w:ascii="宋体" w:hAnsi="宋体"/>
          <w:u w:val="single"/>
        </w:rPr>
      </w:pPr>
      <w:r>
        <w:rPr>
          <w:rFonts w:hint="eastAsia" w:ascii="宋体" w:hAnsi="宋体"/>
        </w:rPr>
        <w:t>项目名称:</w:t>
      </w:r>
      <w:r>
        <w:rPr>
          <w:rFonts w:hint="eastAsia" w:ascii="宋体" w:hAnsi="宋体"/>
          <w:u w:val="single"/>
        </w:rPr>
        <w:t xml:space="preserve">                 </w:t>
      </w:r>
    </w:p>
    <w:p>
      <w:pPr>
        <w:spacing w:line="500" w:lineRule="exact"/>
        <w:rPr>
          <w:rFonts w:ascii="宋体" w:hAnsi="宋体"/>
        </w:rPr>
      </w:pPr>
      <w:r>
        <w:rPr>
          <w:rFonts w:hint="eastAsia" w:ascii="宋体" w:hAnsi="宋体"/>
        </w:rPr>
        <w:t>项目编号:</w:t>
      </w:r>
      <w:r>
        <w:rPr>
          <w:rFonts w:hint="eastAsia" w:ascii="宋体" w:hAnsi="宋体"/>
          <w:u w:val="single"/>
        </w:rPr>
        <w:t xml:space="preserve">                 </w:t>
      </w:r>
      <w:r>
        <w:rPr>
          <w:rFonts w:hint="eastAsia" w:ascii="宋体" w:hAnsi="宋体"/>
        </w:rPr>
        <w:t xml:space="preserve">    </w:t>
      </w:r>
    </w:p>
    <w:p>
      <w:pPr>
        <w:spacing w:line="500" w:lineRule="exact"/>
        <w:rPr>
          <w:rFonts w:ascii="宋体" w:hAnsi="宋体"/>
          <w:b/>
        </w:rPr>
      </w:pPr>
    </w:p>
    <w:tbl>
      <w:tblPr>
        <w:tblStyle w:val="10"/>
        <w:tblW w:w="9274" w:type="dxa"/>
        <w:tblInd w:w="0" w:type="dxa"/>
        <w:tblLayout w:type="autofit"/>
        <w:tblCellMar>
          <w:top w:w="0" w:type="dxa"/>
          <w:left w:w="108" w:type="dxa"/>
          <w:bottom w:w="0" w:type="dxa"/>
          <w:right w:w="108" w:type="dxa"/>
        </w:tblCellMar>
      </w:tblPr>
      <w:tblGrid>
        <w:gridCol w:w="456"/>
        <w:gridCol w:w="916"/>
        <w:gridCol w:w="1151"/>
        <w:gridCol w:w="646"/>
        <w:gridCol w:w="816"/>
        <w:gridCol w:w="2459"/>
        <w:gridCol w:w="633"/>
        <w:gridCol w:w="1294"/>
        <w:gridCol w:w="903"/>
      </w:tblGrid>
      <w:tr>
        <w:tblPrEx>
          <w:tblCellMar>
            <w:top w:w="0" w:type="dxa"/>
            <w:left w:w="108" w:type="dxa"/>
            <w:bottom w:w="0" w:type="dxa"/>
            <w:right w:w="108" w:type="dxa"/>
          </w:tblCellMar>
        </w:tblPrEx>
        <w:trPr>
          <w:cantSplit/>
          <w:trHeight w:val="1713" w:hRule="atLeast"/>
        </w:trPr>
        <w:tc>
          <w:tcPr>
            <w:tcW w:w="445" w:type="dxa"/>
            <w:tcBorders>
              <w:top w:val="single" w:color="000000" w:sz="4" w:space="0"/>
              <w:left w:val="single" w:color="000000" w:sz="4" w:space="0"/>
              <w:bottom w:val="single" w:color="000000" w:sz="4" w:space="0"/>
              <w:right w:val="single" w:color="000000" w:sz="4" w:space="0"/>
            </w:tcBorders>
            <w:vAlign w:val="center"/>
          </w:tcPr>
          <w:p>
            <w:pPr>
              <w:pStyle w:val="6"/>
              <w:jc w:val="center"/>
              <w:rPr>
                <w:spacing w:val="-29"/>
              </w:rPr>
            </w:pPr>
            <w:r>
              <w:rPr>
                <w:rFonts w:hint="eastAsia"/>
                <w:spacing w:val="-29"/>
              </w:rPr>
              <w:t>序号</w:t>
            </w:r>
          </w:p>
        </w:tc>
        <w:tc>
          <w:tcPr>
            <w:tcW w:w="918"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jc w:val="center"/>
              <w:rPr>
                <w:rFonts w:ascii="宋体" w:hAnsi="宋体"/>
              </w:rPr>
            </w:pPr>
            <w:r>
              <w:rPr>
                <w:rFonts w:hint="eastAsia" w:ascii="宋体" w:hAnsi="宋体"/>
              </w:rPr>
              <w:t>货物</w:t>
            </w:r>
          </w:p>
          <w:p>
            <w:pPr>
              <w:tabs>
                <w:tab w:val="left" w:pos="180"/>
                <w:tab w:val="left" w:pos="1620"/>
              </w:tabs>
              <w:spacing w:line="500" w:lineRule="exact"/>
              <w:jc w:val="center"/>
              <w:rPr>
                <w:rFonts w:ascii="宋体" w:hAnsi="宋体"/>
              </w:rPr>
            </w:pPr>
            <w:r>
              <w:rPr>
                <w:rFonts w:hint="eastAsia" w:ascii="宋体" w:hAnsi="宋体"/>
              </w:rPr>
              <w:t>名称</w:t>
            </w:r>
          </w:p>
        </w:tc>
        <w:tc>
          <w:tcPr>
            <w:tcW w:w="1152"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jc w:val="center"/>
              <w:rPr>
                <w:rFonts w:ascii="宋体" w:hAnsi="宋体"/>
              </w:rPr>
            </w:pPr>
            <w:r>
              <w:rPr>
                <w:rFonts w:hint="eastAsia" w:ascii="宋体" w:hAnsi="宋体"/>
              </w:rPr>
              <w:t>品牌、型号规格、生产厂家</w:t>
            </w:r>
          </w:p>
        </w:tc>
        <w:tc>
          <w:tcPr>
            <w:tcW w:w="647"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jc w:val="center"/>
              <w:rPr>
                <w:rFonts w:ascii="宋体" w:hAnsi="宋体"/>
              </w:rPr>
            </w:pPr>
            <w:r>
              <w:rPr>
                <w:rFonts w:hint="eastAsia" w:ascii="宋体" w:hAnsi="宋体"/>
              </w:rPr>
              <w:t>数量①</w:t>
            </w:r>
          </w:p>
        </w:tc>
        <w:tc>
          <w:tcPr>
            <w:tcW w:w="817"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jc w:val="center"/>
              <w:rPr>
                <w:rFonts w:ascii="宋体" w:hAnsi="宋体"/>
              </w:rPr>
            </w:pPr>
            <w:r>
              <w:rPr>
                <w:rFonts w:hint="eastAsia" w:ascii="宋体" w:hAnsi="宋体"/>
              </w:rPr>
              <w:t>单位</w:t>
            </w:r>
          </w:p>
        </w:tc>
        <w:tc>
          <w:tcPr>
            <w:tcW w:w="2463"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ind w:left="210" w:hanging="210" w:hangingChars="100"/>
              <w:rPr>
                <w:rFonts w:ascii="宋体" w:hAnsi="宋体"/>
              </w:rPr>
            </w:pPr>
            <w:r>
              <w:rPr>
                <w:rFonts w:hint="eastAsia" w:ascii="宋体" w:hAnsi="宋体"/>
              </w:rPr>
              <w:t>技术参数及性能配置要求（材质工艺要求说明）</w:t>
            </w:r>
          </w:p>
        </w:tc>
        <w:tc>
          <w:tcPr>
            <w:tcW w:w="634" w:type="dxa"/>
            <w:tcBorders>
              <w:top w:val="single" w:color="000000" w:sz="4" w:space="0"/>
              <w:left w:val="single" w:color="000000" w:sz="4" w:space="0"/>
              <w:bottom w:val="single" w:color="000000" w:sz="4" w:space="0"/>
              <w:right w:val="single" w:color="000000" w:sz="4" w:space="0"/>
            </w:tcBorders>
            <w:vAlign w:val="center"/>
          </w:tcPr>
          <w:p>
            <w:pPr>
              <w:tabs>
                <w:tab w:val="left" w:pos="180"/>
                <w:tab w:val="left" w:pos="1620"/>
              </w:tabs>
              <w:spacing w:line="500" w:lineRule="exact"/>
              <w:jc w:val="center"/>
              <w:rPr>
                <w:rFonts w:ascii="宋体" w:hAnsi="宋体"/>
              </w:rPr>
            </w:pPr>
            <w:r>
              <w:rPr>
                <w:rFonts w:hint="eastAsia" w:ascii="宋体" w:hAnsi="宋体"/>
              </w:rPr>
              <w:t>单价②</w:t>
            </w:r>
          </w:p>
        </w:tc>
        <w:tc>
          <w:tcPr>
            <w:tcW w:w="129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rPr>
              <w:t>单项合价</w:t>
            </w:r>
          </w:p>
          <w:p>
            <w:pPr>
              <w:pStyle w:val="6"/>
              <w:jc w:val="center"/>
            </w:pPr>
            <w:r>
              <w:rPr>
                <w:rFonts w:hint="eastAsia"/>
              </w:rPr>
              <w:t>（元）</w:t>
            </w:r>
          </w:p>
          <w:p>
            <w:pPr>
              <w:pStyle w:val="6"/>
              <w:jc w:val="center"/>
            </w:pPr>
            <w:r>
              <w:rPr>
                <w:rFonts w:hint="eastAsia"/>
              </w:rPr>
              <w:t>③</w:t>
            </w:r>
            <w:r>
              <w:t>=</w:t>
            </w:r>
            <w:r>
              <w:rPr>
                <w:rFonts w:hint="eastAsia"/>
              </w:rPr>
              <w:t>①×②</w:t>
            </w: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rPr>
              <w:t>备注</w:t>
            </w:r>
          </w:p>
        </w:tc>
      </w:tr>
      <w:tr>
        <w:tblPrEx>
          <w:tblCellMar>
            <w:top w:w="0" w:type="dxa"/>
            <w:left w:w="108" w:type="dxa"/>
            <w:bottom w:w="0" w:type="dxa"/>
            <w:right w:w="108" w:type="dxa"/>
          </w:tblCellMar>
        </w:tblPrEx>
        <w:trPr>
          <w:cantSplit/>
          <w:trHeight w:val="646" w:hRule="atLeast"/>
        </w:trPr>
        <w:tc>
          <w:tcPr>
            <w:tcW w:w="4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1</w:t>
            </w:r>
          </w:p>
        </w:tc>
        <w:tc>
          <w:tcPr>
            <w:tcW w:w="9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11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64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81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2463"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63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129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6"/>
              <w:rPr>
                <w:spacing w:val="-10"/>
              </w:rPr>
            </w:pPr>
          </w:p>
        </w:tc>
      </w:tr>
      <w:tr>
        <w:tblPrEx>
          <w:tblCellMar>
            <w:top w:w="0" w:type="dxa"/>
            <w:left w:w="108" w:type="dxa"/>
            <w:bottom w:w="0" w:type="dxa"/>
            <w:right w:w="108" w:type="dxa"/>
          </w:tblCellMar>
        </w:tblPrEx>
        <w:trPr>
          <w:cantSplit/>
          <w:trHeight w:val="646" w:hRule="atLeast"/>
        </w:trPr>
        <w:tc>
          <w:tcPr>
            <w:tcW w:w="4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w:t>
            </w:r>
          </w:p>
        </w:tc>
        <w:tc>
          <w:tcPr>
            <w:tcW w:w="9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11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64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81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2463"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63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129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6"/>
              <w:rPr>
                <w:spacing w:val="-10"/>
              </w:rPr>
            </w:pPr>
          </w:p>
        </w:tc>
      </w:tr>
      <w:tr>
        <w:tblPrEx>
          <w:tblCellMar>
            <w:top w:w="0" w:type="dxa"/>
            <w:left w:w="108" w:type="dxa"/>
            <w:bottom w:w="0" w:type="dxa"/>
            <w:right w:w="108" w:type="dxa"/>
          </w:tblCellMar>
        </w:tblPrEx>
        <w:trPr>
          <w:cantSplit/>
          <w:trHeight w:val="646" w:hRule="atLeast"/>
        </w:trPr>
        <w:tc>
          <w:tcPr>
            <w:tcW w:w="4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ascii="宋体" w:hAnsi="宋体"/>
                <w:sz w:val="24"/>
              </w:rPr>
              <w:t>N</w:t>
            </w:r>
          </w:p>
        </w:tc>
        <w:tc>
          <w:tcPr>
            <w:tcW w:w="9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11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p>
        </w:tc>
        <w:tc>
          <w:tcPr>
            <w:tcW w:w="64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817"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2463"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63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1294" w:type="dxa"/>
            <w:tcBorders>
              <w:top w:val="single" w:color="000000" w:sz="4" w:space="0"/>
              <w:left w:val="single" w:color="000000" w:sz="4" w:space="0"/>
              <w:bottom w:val="single" w:color="000000" w:sz="4" w:space="0"/>
              <w:right w:val="single" w:color="000000" w:sz="4" w:space="0"/>
            </w:tcBorders>
            <w:vAlign w:val="center"/>
          </w:tcPr>
          <w:p>
            <w:pPr>
              <w:pStyle w:val="6"/>
            </w:pPr>
          </w:p>
        </w:tc>
        <w:tc>
          <w:tcPr>
            <w:tcW w:w="904" w:type="dxa"/>
            <w:tcBorders>
              <w:top w:val="single" w:color="000000" w:sz="4" w:space="0"/>
              <w:left w:val="single" w:color="000000" w:sz="4" w:space="0"/>
              <w:bottom w:val="single" w:color="000000" w:sz="4" w:space="0"/>
              <w:right w:val="single" w:color="000000" w:sz="4" w:space="0"/>
            </w:tcBorders>
            <w:vAlign w:val="center"/>
          </w:tcPr>
          <w:p>
            <w:pPr>
              <w:pStyle w:val="6"/>
              <w:rPr>
                <w:spacing w:val="-10"/>
              </w:rPr>
            </w:pPr>
          </w:p>
        </w:tc>
      </w:tr>
      <w:tr>
        <w:tblPrEx>
          <w:tblCellMar>
            <w:top w:w="0" w:type="dxa"/>
            <w:left w:w="108" w:type="dxa"/>
            <w:bottom w:w="0" w:type="dxa"/>
            <w:right w:w="108" w:type="dxa"/>
          </w:tblCellMar>
        </w:tblPrEx>
        <w:trPr>
          <w:cantSplit/>
          <w:trHeight w:val="646" w:hRule="atLeast"/>
        </w:trPr>
        <w:tc>
          <w:tcPr>
            <w:tcW w:w="9274" w:type="dxa"/>
            <w:gridSpan w:val="9"/>
            <w:tcBorders>
              <w:top w:val="single" w:color="000000" w:sz="4" w:space="0"/>
              <w:left w:val="single" w:color="000000" w:sz="4" w:space="0"/>
              <w:bottom w:val="single" w:color="000000" w:sz="4" w:space="0"/>
              <w:right w:val="single" w:color="000000" w:sz="4" w:space="0"/>
            </w:tcBorders>
            <w:vAlign w:val="center"/>
          </w:tcPr>
          <w:p>
            <w:pPr>
              <w:pStyle w:val="6"/>
              <w:rPr>
                <w:spacing w:val="-10"/>
              </w:rPr>
            </w:pPr>
            <w:r>
              <w:rPr>
                <w:rFonts w:hint="eastAsia"/>
                <w:spacing w:val="-10"/>
              </w:rPr>
              <w:t>总报价（人民币大写）：                                       （￥                       元）</w:t>
            </w:r>
          </w:p>
        </w:tc>
      </w:tr>
      <w:tr>
        <w:tblPrEx>
          <w:tblCellMar>
            <w:top w:w="0" w:type="dxa"/>
            <w:left w:w="108" w:type="dxa"/>
            <w:bottom w:w="0" w:type="dxa"/>
            <w:right w:w="108" w:type="dxa"/>
          </w:tblCellMar>
        </w:tblPrEx>
        <w:trPr>
          <w:cantSplit/>
          <w:trHeight w:val="646" w:hRule="atLeast"/>
        </w:trPr>
        <w:tc>
          <w:tcPr>
            <w:tcW w:w="9274" w:type="dxa"/>
            <w:gridSpan w:val="9"/>
            <w:tcBorders>
              <w:top w:val="single" w:color="000000" w:sz="4" w:space="0"/>
              <w:left w:val="single" w:color="000000" w:sz="4" w:space="0"/>
              <w:bottom w:val="single" w:color="000000" w:sz="4" w:space="0"/>
              <w:right w:val="single" w:color="000000" w:sz="4" w:space="0"/>
            </w:tcBorders>
            <w:vAlign w:val="center"/>
          </w:tcPr>
          <w:p>
            <w:pPr>
              <w:pStyle w:val="6"/>
              <w:rPr>
                <w:spacing w:val="-10"/>
              </w:rPr>
            </w:pPr>
            <w:r>
              <w:rPr>
                <w:rFonts w:hint="eastAsia"/>
                <w:spacing w:val="-10"/>
              </w:rPr>
              <w:t>交付使用时间：</w:t>
            </w:r>
          </w:p>
        </w:tc>
      </w:tr>
      <w:tr>
        <w:tblPrEx>
          <w:tblCellMar>
            <w:top w:w="0" w:type="dxa"/>
            <w:left w:w="108" w:type="dxa"/>
            <w:bottom w:w="0" w:type="dxa"/>
            <w:right w:w="108" w:type="dxa"/>
          </w:tblCellMar>
        </w:tblPrEx>
        <w:trPr>
          <w:cantSplit/>
          <w:trHeight w:val="665" w:hRule="atLeast"/>
        </w:trPr>
        <w:tc>
          <w:tcPr>
            <w:tcW w:w="9274" w:type="dxa"/>
            <w:gridSpan w:val="9"/>
            <w:tcBorders>
              <w:top w:val="single" w:color="000000" w:sz="4" w:space="0"/>
              <w:left w:val="single" w:color="000000" w:sz="4" w:space="0"/>
              <w:bottom w:val="single" w:color="000000" w:sz="4" w:space="0"/>
              <w:right w:val="single" w:color="000000" w:sz="4" w:space="0"/>
            </w:tcBorders>
            <w:vAlign w:val="center"/>
          </w:tcPr>
          <w:p>
            <w:pPr>
              <w:pStyle w:val="6"/>
              <w:rPr>
                <w:spacing w:val="-10"/>
              </w:rPr>
            </w:pPr>
            <w:r>
              <w:rPr>
                <w:rFonts w:hint="eastAsia"/>
                <w:spacing w:val="-10"/>
              </w:rPr>
              <w:t>交付使用地点：</w:t>
            </w:r>
          </w:p>
        </w:tc>
      </w:tr>
    </w:tbl>
    <w:p>
      <w:pPr>
        <w:spacing w:line="500" w:lineRule="exact"/>
        <w:rPr>
          <w:rFonts w:ascii="宋体" w:hAnsi="宋体"/>
        </w:rPr>
      </w:pPr>
      <w:r>
        <w:rPr>
          <w:rFonts w:hint="eastAsia" w:ascii="宋体" w:hAnsi="宋体"/>
        </w:rPr>
        <w:t>注：1、所有价格均用人民币表示，单位为元，精确到个数位。</w:t>
      </w:r>
    </w:p>
    <w:p>
      <w:pPr>
        <w:spacing w:line="500" w:lineRule="exact"/>
        <w:ind w:firstLine="412"/>
        <w:rPr>
          <w:rFonts w:ascii="宋体" w:hAnsi="宋体"/>
        </w:rPr>
      </w:pPr>
      <w:r>
        <w:rPr>
          <w:rFonts w:hint="eastAsia" w:ascii="宋体" w:hAnsi="宋体"/>
          <w:bCs/>
        </w:rPr>
        <w:t>2、报价指货物、服务、随配附件、备品备件、工具、货物运抵指定交货地点、安装、调试的各种费用和售后服务、税金及其它所有成本、费用的总和</w:t>
      </w:r>
      <w:r>
        <w:rPr>
          <w:rFonts w:hint="eastAsia" w:ascii="宋体" w:hAnsi="宋体"/>
        </w:rPr>
        <w:t>。</w:t>
      </w:r>
    </w:p>
    <w:p>
      <w:pPr>
        <w:spacing w:before="50" w:after="50" w:line="360" w:lineRule="exact"/>
        <w:ind w:firstLine="420"/>
        <w:jc w:val="left"/>
        <w:rPr>
          <w:rFonts w:ascii="宋体" w:hAnsi="宋体"/>
        </w:rPr>
      </w:pPr>
      <w:r>
        <w:rPr>
          <w:rFonts w:hint="eastAsia" w:ascii="宋体" w:hAnsi="宋体"/>
        </w:rPr>
        <w:t>3、凡需用专用辅材、耗材的专用设备类采购项目，应按采购文件规定的辅材、耗材量或按耗材的常规试用量提供报价。</w:t>
      </w:r>
    </w:p>
    <w:p>
      <w:pPr>
        <w:spacing w:before="50" w:after="50" w:line="360" w:lineRule="exact"/>
        <w:ind w:firstLine="420"/>
        <w:jc w:val="left"/>
        <w:rPr>
          <w:rFonts w:ascii="宋体" w:hAnsi="宋体"/>
        </w:rPr>
      </w:pPr>
      <w:r>
        <w:rPr>
          <w:rFonts w:hint="eastAsia" w:ascii="宋体" w:hAnsi="宋体"/>
        </w:rPr>
        <w:t>4、报价表中的“货物名称”、“数量”、“单位”、“单价”、“单项合价”列必须填写；设备类项目“品牌、型号规格、生产厂家”列必须填写（定制产品和服务除外）。</w:t>
      </w:r>
    </w:p>
    <w:p>
      <w:pPr>
        <w:spacing w:line="500" w:lineRule="exact"/>
        <w:ind w:firstLine="420" w:firstLineChars="200"/>
        <w:rPr>
          <w:rFonts w:ascii="宋体" w:hAnsi="宋体"/>
        </w:rPr>
      </w:pPr>
      <w:r>
        <w:rPr>
          <w:rFonts w:hint="eastAsia" w:ascii="宋体" w:hAnsi="宋体"/>
        </w:rPr>
        <w:t>5、各分项报价不得高于分项单价控制价。</w:t>
      </w:r>
    </w:p>
    <w:p>
      <w:pPr>
        <w:spacing w:line="500" w:lineRule="exact"/>
        <w:ind w:firstLine="420" w:firstLineChars="200"/>
        <w:rPr>
          <w:rFonts w:ascii="宋体" w:hAnsi="宋体"/>
        </w:rPr>
      </w:pPr>
      <w:r>
        <w:rPr>
          <w:rFonts w:hint="eastAsia" w:ascii="宋体" w:hAnsi="宋体"/>
        </w:rPr>
        <w:t>法定代表人或委托代理人（签字）:</w:t>
      </w:r>
    </w:p>
    <w:p>
      <w:pPr>
        <w:pStyle w:val="6"/>
        <w:spacing w:line="500" w:lineRule="exact"/>
        <w:ind w:firstLine="420"/>
        <w:rPr>
          <w:u w:val="single"/>
        </w:rPr>
      </w:pPr>
      <w:r>
        <w:rPr>
          <w:rFonts w:hint="eastAsia"/>
        </w:rPr>
        <w:t>供应商名称（盖章）：</w:t>
      </w:r>
      <w:r>
        <w:rPr>
          <w:rFonts w:hint="eastAsia"/>
          <w:u w:val="single"/>
        </w:rPr>
        <w:t xml:space="preserve">       </w:t>
      </w:r>
    </w:p>
    <w:p>
      <w:pPr>
        <w:spacing w:line="500" w:lineRule="exact"/>
        <w:ind w:firstLine="420"/>
        <w:rPr>
          <w:rFonts w:ascii="宋体" w:hAnsi="宋体"/>
          <w:szCs w:val="24"/>
        </w:rPr>
      </w:pPr>
      <w:r>
        <w:rPr>
          <w:rFonts w:hint="eastAsia" w:ascii="宋体" w:hAnsi="宋体"/>
        </w:rPr>
        <w:t>报价时间：</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ODhjODAwYTEwNTlmMTViNDYzNDgwMzFiYzJkMjUifQ=="/>
  </w:docVars>
  <w:rsids>
    <w:rsidRoot w:val="00172A27"/>
    <w:rsid w:val="00073AF3"/>
    <w:rsid w:val="00172A27"/>
    <w:rsid w:val="002E0580"/>
    <w:rsid w:val="002E4D02"/>
    <w:rsid w:val="00323A11"/>
    <w:rsid w:val="003C44D8"/>
    <w:rsid w:val="0049213F"/>
    <w:rsid w:val="005E149D"/>
    <w:rsid w:val="006437EB"/>
    <w:rsid w:val="007223FF"/>
    <w:rsid w:val="00784D41"/>
    <w:rsid w:val="00963541"/>
    <w:rsid w:val="009C6DFF"/>
    <w:rsid w:val="00A07B94"/>
    <w:rsid w:val="00AD6793"/>
    <w:rsid w:val="00AE2148"/>
    <w:rsid w:val="00D75B89"/>
    <w:rsid w:val="00D83119"/>
    <w:rsid w:val="00E03A7A"/>
    <w:rsid w:val="00E263B8"/>
    <w:rsid w:val="00E4094D"/>
    <w:rsid w:val="00F6577A"/>
    <w:rsid w:val="025B6F72"/>
    <w:rsid w:val="033248DF"/>
    <w:rsid w:val="0356597C"/>
    <w:rsid w:val="07427FE8"/>
    <w:rsid w:val="085E63DC"/>
    <w:rsid w:val="0A096BD7"/>
    <w:rsid w:val="0A250011"/>
    <w:rsid w:val="0A5D5F30"/>
    <w:rsid w:val="0B192512"/>
    <w:rsid w:val="0BD005D0"/>
    <w:rsid w:val="0E002722"/>
    <w:rsid w:val="0EAE0E4B"/>
    <w:rsid w:val="0F434789"/>
    <w:rsid w:val="0F6C355D"/>
    <w:rsid w:val="0FF22FB9"/>
    <w:rsid w:val="131E40C5"/>
    <w:rsid w:val="15560B56"/>
    <w:rsid w:val="15900A0D"/>
    <w:rsid w:val="16182198"/>
    <w:rsid w:val="167A3BEB"/>
    <w:rsid w:val="177708E5"/>
    <w:rsid w:val="17EE1766"/>
    <w:rsid w:val="19605858"/>
    <w:rsid w:val="1DE745FD"/>
    <w:rsid w:val="1E7C2FE8"/>
    <w:rsid w:val="1EA77665"/>
    <w:rsid w:val="1F1864FE"/>
    <w:rsid w:val="1F4002EA"/>
    <w:rsid w:val="1F5D01EE"/>
    <w:rsid w:val="20D63F6F"/>
    <w:rsid w:val="20DF0472"/>
    <w:rsid w:val="230B0B8F"/>
    <w:rsid w:val="23487B36"/>
    <w:rsid w:val="23C65656"/>
    <w:rsid w:val="24DD36AB"/>
    <w:rsid w:val="26D20EC4"/>
    <w:rsid w:val="27AA0B3A"/>
    <w:rsid w:val="27EC61D1"/>
    <w:rsid w:val="291F7E96"/>
    <w:rsid w:val="2A3A412E"/>
    <w:rsid w:val="2BD77F61"/>
    <w:rsid w:val="2CAD2CD1"/>
    <w:rsid w:val="2F4D7918"/>
    <w:rsid w:val="2F881E8A"/>
    <w:rsid w:val="2FA43123"/>
    <w:rsid w:val="30966EEB"/>
    <w:rsid w:val="31AA0FF7"/>
    <w:rsid w:val="31E05C5E"/>
    <w:rsid w:val="3255714C"/>
    <w:rsid w:val="333A1B09"/>
    <w:rsid w:val="33D068BE"/>
    <w:rsid w:val="35C74C21"/>
    <w:rsid w:val="37B75DA9"/>
    <w:rsid w:val="3879360A"/>
    <w:rsid w:val="389B5BEA"/>
    <w:rsid w:val="38C43B0D"/>
    <w:rsid w:val="38E82DD8"/>
    <w:rsid w:val="39365415"/>
    <w:rsid w:val="3B6A151A"/>
    <w:rsid w:val="3BE50162"/>
    <w:rsid w:val="3DBA793E"/>
    <w:rsid w:val="3F6466DD"/>
    <w:rsid w:val="3FEF6682"/>
    <w:rsid w:val="40221658"/>
    <w:rsid w:val="415512BB"/>
    <w:rsid w:val="429800EB"/>
    <w:rsid w:val="42B23D5F"/>
    <w:rsid w:val="439117EB"/>
    <w:rsid w:val="44953B25"/>
    <w:rsid w:val="458D0192"/>
    <w:rsid w:val="45A5284F"/>
    <w:rsid w:val="45A71421"/>
    <w:rsid w:val="46271758"/>
    <w:rsid w:val="470B0CE7"/>
    <w:rsid w:val="47F25CE4"/>
    <w:rsid w:val="4CAB515E"/>
    <w:rsid w:val="4D534B13"/>
    <w:rsid w:val="4DA268F4"/>
    <w:rsid w:val="4DEF40B9"/>
    <w:rsid w:val="4E0677CA"/>
    <w:rsid w:val="4ED21F96"/>
    <w:rsid w:val="4F605256"/>
    <w:rsid w:val="50275302"/>
    <w:rsid w:val="503009B9"/>
    <w:rsid w:val="505450D7"/>
    <w:rsid w:val="52D34FB0"/>
    <w:rsid w:val="547E1CAE"/>
    <w:rsid w:val="54EB2B1F"/>
    <w:rsid w:val="55282F9E"/>
    <w:rsid w:val="553B58E4"/>
    <w:rsid w:val="55AE1598"/>
    <w:rsid w:val="56B258E8"/>
    <w:rsid w:val="58374EF4"/>
    <w:rsid w:val="585F06F7"/>
    <w:rsid w:val="58D17476"/>
    <w:rsid w:val="597007C3"/>
    <w:rsid w:val="5AC435AB"/>
    <w:rsid w:val="5B2C34B9"/>
    <w:rsid w:val="5C286171"/>
    <w:rsid w:val="5E961B57"/>
    <w:rsid w:val="5F863B7E"/>
    <w:rsid w:val="60787860"/>
    <w:rsid w:val="60D144B6"/>
    <w:rsid w:val="62CA6D0B"/>
    <w:rsid w:val="64631BF9"/>
    <w:rsid w:val="6501461E"/>
    <w:rsid w:val="67547C7D"/>
    <w:rsid w:val="689B5334"/>
    <w:rsid w:val="68A933B4"/>
    <w:rsid w:val="68FB1277"/>
    <w:rsid w:val="699028D4"/>
    <w:rsid w:val="6C8E14A6"/>
    <w:rsid w:val="6D247E0A"/>
    <w:rsid w:val="6E5A7B9C"/>
    <w:rsid w:val="700763BF"/>
    <w:rsid w:val="733A6988"/>
    <w:rsid w:val="73A338C6"/>
    <w:rsid w:val="75ED6880"/>
    <w:rsid w:val="76BB697E"/>
    <w:rsid w:val="77415569"/>
    <w:rsid w:val="77FA2304"/>
    <w:rsid w:val="783021C9"/>
    <w:rsid w:val="784B67EB"/>
    <w:rsid w:val="7D4255FB"/>
    <w:rsid w:val="7D445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3"/>
    <w:basedOn w:val="1"/>
    <w:next w:val="1"/>
    <w:qFormat/>
    <w:uiPriority w:val="99"/>
    <w:pPr>
      <w:keepNext/>
      <w:keepLines/>
      <w:spacing w:before="260" w:after="260" w:line="413" w:lineRule="auto"/>
      <w:outlineLvl w:val="2"/>
    </w:pPr>
    <w:rPr>
      <w:b/>
      <w:bCs/>
      <w:sz w:val="32"/>
      <w:szCs w:val="32"/>
    </w:rPr>
  </w:style>
  <w:style w:type="paragraph" w:styleId="3">
    <w:name w:val="heading 4"/>
    <w:basedOn w:val="1"/>
    <w:next w:val="1"/>
    <w:unhideWhenUsed/>
    <w:qFormat/>
    <w:uiPriority w:val="9"/>
    <w:pPr>
      <w:keepNext/>
      <w:keepLines/>
      <w:spacing w:before="280" w:after="290" w:line="376" w:lineRule="auto"/>
      <w:outlineLvl w:val="3"/>
    </w:pPr>
    <w:rPr>
      <w:rFonts w:ascii="Cambria" w:hAnsi="Cambria"/>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qFormat/>
    <w:uiPriority w:val="0"/>
  </w:style>
  <w:style w:type="paragraph" w:styleId="6">
    <w:name w:val="Plain Text"/>
    <w:basedOn w:val="1"/>
    <w:next w:val="3"/>
    <w:qFormat/>
    <w:uiPriority w:val="0"/>
    <w:rPr>
      <w:rFonts w:ascii="宋体" w:hAnsi="Courier New"/>
      <w:szCs w:val="20"/>
    </w:rPr>
  </w:style>
  <w:style w:type="paragraph" w:styleId="7">
    <w:name w:val="footer"/>
    <w:basedOn w:val="1"/>
    <w:link w:val="14"/>
    <w:qFormat/>
    <w:uiPriority w:val="99"/>
    <w:pPr>
      <w:tabs>
        <w:tab w:val="center" w:pos="4153"/>
        <w:tab w:val="right" w:pos="8306"/>
      </w:tabs>
      <w:snapToGrid w:val="0"/>
      <w:jc w:val="left"/>
    </w:pPr>
    <w:rPr>
      <w:sz w:val="18"/>
      <w:szCs w:val="18"/>
    </w:rPr>
  </w:style>
  <w:style w:type="paragraph" w:styleId="8">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table" w:styleId="11">
    <w:name w:val="Table Grid"/>
    <w:basedOn w:val="10"/>
    <w:unhideWhenUsed/>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8"/>
    <w:qFormat/>
    <w:uiPriority w:val="0"/>
    <w:rPr>
      <w:kern w:val="2"/>
      <w:sz w:val="18"/>
      <w:szCs w:val="18"/>
    </w:rPr>
  </w:style>
  <w:style w:type="character" w:customStyle="1" w:styleId="14">
    <w:name w:val="页脚 字符"/>
    <w:basedOn w:val="12"/>
    <w:link w:val="7"/>
    <w:qFormat/>
    <w:uiPriority w:val="99"/>
    <w:rPr>
      <w:kern w:val="2"/>
      <w:sz w:val="18"/>
      <w:szCs w:val="18"/>
    </w:rPr>
  </w:style>
  <w:style w:type="paragraph" w:customStyle="1" w:styleId="15">
    <w:name w:val="正文正"/>
    <w:basedOn w:val="1"/>
    <w:qFormat/>
    <w:uiPriority w:val="0"/>
    <w:pPr>
      <w:spacing w:line="560" w:lineRule="exact"/>
      <w:ind w:firstLine="561"/>
    </w:pPr>
    <w:rPr>
      <w:rFonts w:eastAsia="仿宋_GB2312"/>
      <w:sz w:val="28"/>
      <w:szCs w:val="24"/>
    </w:rPr>
  </w:style>
  <w:style w:type="paragraph" w:styleId="16">
    <w:name w:val="List Paragraph"/>
    <w:basedOn w:val="1"/>
    <w:qFormat/>
    <w:uiPriority w:val="34"/>
    <w:pPr>
      <w:ind w:firstLine="420" w:firstLineChars="200"/>
    </w:pPr>
    <w:rPr>
      <w:rFonts w:asciiTheme="minorHAnsi" w:hAnsiTheme="minorHAnsi" w:eastAsiaTheme="minorEastAsia" w:cstheme="minorBidi"/>
    </w:rPr>
  </w:style>
  <w:style w:type="paragraph" w:customStyle="1" w:styleId="17">
    <w:name w:val="正文 New New New New"/>
    <w:qFormat/>
    <w:uiPriority w:val="99"/>
    <w:pPr>
      <w:widowControl w:val="0"/>
      <w:jc w:val="both"/>
    </w:pPr>
    <w:rPr>
      <w:rFonts w:ascii="Times New Roman" w:hAnsi="Times New Roman" w:eastAsia="宋体" w:cs="Times New Roman"/>
      <w:sz w:val="21"/>
      <w:szCs w:val="24"/>
      <w:lang w:val="en-US" w:eastAsia="zh-CN" w:bidi="ar-SA"/>
    </w:rPr>
  </w:style>
  <w:style w:type="character" w:customStyle="1" w:styleId="18">
    <w:name w:val="font21"/>
    <w:basedOn w:val="12"/>
    <w:qFormat/>
    <w:uiPriority w:val="0"/>
    <w:rPr>
      <w:rFonts w:ascii="Arial" w:hAnsi="Arial" w:cs="Arial"/>
      <w:color w:val="000000"/>
      <w:sz w:val="18"/>
      <w:szCs w:val="18"/>
      <w:u w:val="none"/>
    </w:rPr>
  </w:style>
  <w:style w:type="character" w:customStyle="1" w:styleId="19">
    <w:name w:val="font11"/>
    <w:basedOn w:val="12"/>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NULL" TargetMode="Externa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62</Pages>
  <Words>47534</Words>
  <Characters>61018</Characters>
  <Lines>40</Lines>
  <Paragraphs>11</Paragraphs>
  <TotalTime>23</TotalTime>
  <ScaleCrop>false</ScaleCrop>
  <LinksUpToDate>false</LinksUpToDate>
  <CharactersWithSpaces>61766</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2021-11-11T01:18:00Z</dcterms:created>
  <dc:creator>hhyl</dc:creator>
  <cp:lastModifiedBy>覃丽</cp:lastModifiedBy>
  <dcterms:modified xsi:type="dcterms:W3CDTF">2024-09-29T02:25:26Z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A5734D99CE9644E68411D6A435B29E0C_13</vt:lpwstr>
  </property>
</Properties>
</file>