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007A4">
      <w:pPr>
        <w:jc w:val="center"/>
        <w:rPr>
          <w:b/>
          <w:bCs/>
          <w:sz w:val="28"/>
          <w:szCs w:val="28"/>
        </w:rPr>
      </w:pPr>
      <w:r>
        <w:rPr>
          <w:rFonts w:hint="eastAsia"/>
          <w:b/>
          <w:bCs/>
          <w:sz w:val="28"/>
          <w:szCs w:val="28"/>
        </w:rPr>
        <w:t>学生宿舍楼铁架床采购规格及技术参数</w:t>
      </w:r>
    </w:p>
    <w:tbl>
      <w:tblPr>
        <w:tblStyle w:val="12"/>
        <w:tblW w:w="14170" w:type="dxa"/>
        <w:jc w:val="center"/>
        <w:tblLayout w:type="fixed"/>
        <w:tblCellMar>
          <w:top w:w="0" w:type="dxa"/>
          <w:left w:w="108" w:type="dxa"/>
          <w:bottom w:w="0" w:type="dxa"/>
          <w:right w:w="108" w:type="dxa"/>
        </w:tblCellMar>
      </w:tblPr>
      <w:tblGrid>
        <w:gridCol w:w="483"/>
        <w:gridCol w:w="1134"/>
        <w:gridCol w:w="8504"/>
        <w:gridCol w:w="2867"/>
        <w:gridCol w:w="1182"/>
      </w:tblGrid>
      <w:tr w14:paraId="021A0779">
        <w:tblPrEx>
          <w:tblCellMar>
            <w:top w:w="0" w:type="dxa"/>
            <w:left w:w="108" w:type="dxa"/>
            <w:bottom w:w="0" w:type="dxa"/>
            <w:right w:w="108" w:type="dxa"/>
          </w:tblCellMar>
        </w:tblPrEx>
        <w:trPr>
          <w:trHeight w:val="477" w:hRule="atLeast"/>
          <w:jc w:val="center"/>
        </w:trPr>
        <w:tc>
          <w:tcPr>
            <w:tcW w:w="48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2D5270">
            <w:pPr>
              <w:autoSpaceDE w:val="0"/>
              <w:autoSpaceDN w:val="0"/>
              <w:adjustRightInd w:val="0"/>
              <w:spacing w:line="440" w:lineRule="atLeast"/>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序号</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1D7EF8">
            <w:pPr>
              <w:autoSpaceDE w:val="0"/>
              <w:autoSpaceDN w:val="0"/>
              <w:adjustRightInd w:val="0"/>
              <w:spacing w:line="440" w:lineRule="atLeast"/>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物品名称</w:t>
            </w:r>
          </w:p>
        </w:tc>
        <w:tc>
          <w:tcPr>
            <w:tcW w:w="85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E72839">
            <w:pPr>
              <w:numPr>
                <w:ilvl w:val="0"/>
                <w:numId w:val="0"/>
              </w:numPr>
              <w:autoSpaceDE w:val="0"/>
              <w:autoSpaceDN w:val="0"/>
              <w:adjustRightInd w:val="0"/>
              <w:spacing w:line="440" w:lineRule="atLeast"/>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规格及技术参数</w:t>
            </w:r>
          </w:p>
        </w:tc>
        <w:tc>
          <w:tcPr>
            <w:tcW w:w="28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74BF19">
            <w:pPr>
              <w:autoSpaceDE w:val="0"/>
              <w:autoSpaceDN w:val="0"/>
              <w:adjustRightInd w:val="0"/>
              <w:spacing w:line="440" w:lineRule="atLeast"/>
              <w:ind w:left="420" w:hanging="420"/>
              <w:jc w:val="center"/>
              <w:rPr>
                <w:highlight w:val="none"/>
              </w:rPr>
            </w:pPr>
            <w:r>
              <w:rPr>
                <w:rFonts w:hint="eastAsia"/>
                <w:highlight w:val="none"/>
              </w:rPr>
              <w:t>产品图片</w:t>
            </w:r>
          </w:p>
        </w:tc>
        <w:tc>
          <w:tcPr>
            <w:tcW w:w="11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12A595">
            <w:pPr>
              <w:autoSpaceDE w:val="0"/>
              <w:autoSpaceDN w:val="0"/>
              <w:adjustRightInd w:val="0"/>
              <w:spacing w:line="440" w:lineRule="atLeast"/>
              <w:ind w:left="420" w:hanging="420"/>
              <w:jc w:val="center"/>
              <w:rPr>
                <w:rFonts w:hint="default" w:eastAsia="宋体"/>
                <w:highlight w:val="none"/>
                <w:lang w:val="en-US" w:eastAsia="zh-CN"/>
              </w:rPr>
            </w:pPr>
            <w:r>
              <w:rPr>
                <w:rFonts w:hint="eastAsia"/>
                <w:highlight w:val="none"/>
                <w:lang w:val="en-US" w:eastAsia="zh-CN"/>
              </w:rPr>
              <w:t>推荐品牌</w:t>
            </w:r>
          </w:p>
        </w:tc>
      </w:tr>
      <w:tr w14:paraId="225959BA">
        <w:tblPrEx>
          <w:tblCellMar>
            <w:top w:w="0" w:type="dxa"/>
            <w:left w:w="108" w:type="dxa"/>
            <w:bottom w:w="0" w:type="dxa"/>
            <w:right w:w="108" w:type="dxa"/>
          </w:tblCellMar>
        </w:tblPrEx>
        <w:trPr>
          <w:trHeight w:val="477" w:hRule="atLeast"/>
          <w:jc w:val="center"/>
        </w:trPr>
        <w:tc>
          <w:tcPr>
            <w:tcW w:w="48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7E949F">
            <w:pPr>
              <w:autoSpaceDE w:val="0"/>
              <w:autoSpaceDN w:val="0"/>
              <w:adjustRightInd w:val="0"/>
              <w:spacing w:line="440" w:lineRule="atLeast"/>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839846">
            <w:pPr>
              <w:autoSpaceDE w:val="0"/>
              <w:autoSpaceDN w:val="0"/>
              <w:adjustRightInd w:val="0"/>
              <w:spacing w:line="440" w:lineRule="atLeas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rPr>
              <w:t>铁架床</w:t>
            </w:r>
          </w:p>
        </w:tc>
        <w:tc>
          <w:tcPr>
            <w:tcW w:w="850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138B44">
            <w:pPr>
              <w:autoSpaceDE w:val="0"/>
              <w:autoSpaceDN w:val="0"/>
              <w:adjustRightInd w:val="0"/>
              <w:spacing w:line="440" w:lineRule="atLeas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铁架床技术参数：</w:t>
            </w:r>
          </w:p>
          <w:p w14:paraId="0726D7F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bCs/>
                <w:color w:val="auto"/>
                <w:sz w:val="22"/>
                <w:szCs w:val="22"/>
              </w:rPr>
            </w:pPr>
            <w:r>
              <w:rPr>
                <w:rFonts w:hint="eastAsia" w:ascii="宋体" w:hAnsi="宋体" w:cs="宋体"/>
                <w:kern w:val="0"/>
                <w:sz w:val="24"/>
                <w:szCs w:val="24"/>
                <w:lang w:val="en-US" w:eastAsia="zh-CN"/>
              </w:rPr>
              <w:t>上下铺双人床，</w:t>
            </w:r>
            <w:r>
              <w:rPr>
                <w:rFonts w:hint="eastAsia" w:ascii="宋体" w:hAnsi="宋体" w:eastAsia="宋体" w:cs="宋体"/>
                <w:b/>
                <w:bCs/>
                <w:color w:val="auto"/>
                <w:kern w:val="0"/>
                <w:sz w:val="22"/>
                <w:szCs w:val="22"/>
              </w:rPr>
              <w:t>规格：2000Wmm×900Dmm×1850Hmm</w:t>
            </w:r>
          </w:p>
          <w:p w14:paraId="63F1931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2"/>
                <w:szCs w:val="22"/>
                <w:highlight w:val="none"/>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立柱：</w:t>
            </w:r>
            <w:r>
              <w:rPr>
                <w:rFonts w:hint="eastAsia" w:ascii="宋体" w:hAnsi="宋体" w:eastAsia="宋体" w:cs="宋体"/>
                <w:color w:val="auto"/>
                <w:sz w:val="22"/>
                <w:szCs w:val="22"/>
                <w:lang w:eastAsia="zh-CN"/>
              </w:rPr>
              <w:t>采用</w:t>
            </w:r>
            <w:r>
              <w:rPr>
                <w:rFonts w:hint="eastAsia" w:ascii="宋体" w:hAnsi="宋体" w:cs="宋体"/>
                <w:color w:val="auto"/>
                <w:sz w:val="22"/>
                <w:szCs w:val="22"/>
                <w:lang w:val="en-US" w:eastAsia="zh-CN"/>
              </w:rPr>
              <w:t>79</w:t>
            </w:r>
            <w:r>
              <w:rPr>
                <w:rFonts w:hint="eastAsia" w:ascii="宋体" w:hAnsi="宋体" w:eastAsia="宋体" w:cs="宋体"/>
                <w:color w:val="auto"/>
                <w:sz w:val="22"/>
                <w:szCs w:val="22"/>
                <w:lang w:eastAsia="zh-CN"/>
              </w:rPr>
              <w:t>*</w:t>
            </w:r>
            <w:r>
              <w:rPr>
                <w:rFonts w:hint="eastAsia" w:ascii="宋体" w:hAnsi="宋体" w:cs="宋体"/>
                <w:color w:val="auto"/>
                <w:sz w:val="22"/>
                <w:szCs w:val="22"/>
                <w:lang w:val="en-US" w:eastAsia="zh-CN"/>
              </w:rPr>
              <w:t>7</w:t>
            </w:r>
            <w:r>
              <w:rPr>
                <w:rFonts w:hint="eastAsia" w:ascii="宋体" w:hAnsi="宋体" w:eastAsia="宋体" w:cs="宋体"/>
                <w:color w:val="auto"/>
                <w:sz w:val="22"/>
                <w:szCs w:val="22"/>
                <w:lang w:eastAsia="zh-CN"/>
              </w:rPr>
              <w:t>9*1.2mm厚的开口管材，外部半圆防撞设计的基础上增加加强筋，</w:t>
            </w:r>
            <w:r>
              <w:rPr>
                <w:rFonts w:hint="eastAsia" w:ascii="宋体" w:hAnsi="宋体" w:eastAsia="宋体" w:cs="宋体"/>
                <w:sz w:val="22"/>
                <w:szCs w:val="22"/>
                <w:lang w:eastAsia="zh-CN"/>
              </w:rPr>
              <w:t>消除了学生的安全隐患的同时，增强了立柱的抗扭性</w:t>
            </w:r>
            <w:r>
              <w:rPr>
                <w:rFonts w:hint="eastAsia" w:ascii="宋体" w:hAnsi="宋体" w:cs="宋体"/>
                <w:sz w:val="22"/>
                <w:szCs w:val="22"/>
                <w:lang w:eastAsia="zh-CN"/>
              </w:rPr>
              <w:t>和承重力</w:t>
            </w:r>
            <w:r>
              <w:rPr>
                <w:rFonts w:hint="eastAsia" w:ascii="宋体" w:hAnsi="宋体" w:eastAsia="宋体" w:cs="宋体"/>
                <w:sz w:val="22"/>
                <w:szCs w:val="22"/>
                <w:lang w:eastAsia="zh-CN"/>
              </w:rPr>
              <w:t>，间接提升了床的稳定性和安全性。开口管方便双面喷涂，防止内部生锈</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表面经优质环氧聚酯塑粉静电喷塑处理，具有耐腐蚀、防水抗老化等性能。</w:t>
            </w:r>
            <w:r>
              <w:rPr>
                <w:rFonts w:hint="eastAsia" w:ascii="宋体" w:hAnsi="宋体" w:eastAsia="宋体" w:cs="宋体"/>
                <w:sz w:val="22"/>
                <w:szCs w:val="22"/>
                <w:highlight w:val="none"/>
                <w:lang w:val="en-US" w:eastAsia="zh-CN"/>
              </w:rPr>
              <w:t>立柱的金属喷漆（塑）涂层（硬度、冲击强度、耐腐蚀、附着力）、力学性能（拉伸试验）、化学成分（C;Si;Mn;P;S)、壁厚、</w:t>
            </w:r>
            <w:r>
              <w:rPr>
                <w:rFonts w:hint="eastAsia" w:ascii="宋体" w:hAnsi="宋体" w:cs="宋体"/>
                <w:sz w:val="22"/>
                <w:szCs w:val="22"/>
                <w:highlight w:val="none"/>
                <w:lang w:val="en-US" w:eastAsia="zh-CN"/>
              </w:rPr>
              <w:t>扭转、</w:t>
            </w:r>
            <w:r>
              <w:rPr>
                <w:rFonts w:hint="eastAsia" w:ascii="宋体" w:hAnsi="宋体" w:eastAsia="宋体" w:cs="宋体"/>
                <w:sz w:val="22"/>
                <w:szCs w:val="22"/>
                <w:highlight w:val="none"/>
                <w:lang w:val="en-US" w:eastAsia="zh-CN"/>
              </w:rPr>
              <w:t>冲击KV2（焦耳）等性能指标符合GB/T 3325-2017《金属家具通用技术条件》、GB/T3094-2012《冷拔异型钢管》GB/T4336-2016和第1号修改单《碳素钢和中低合金钢火花源原子发射光谱分析方法(常规法)》、GB/T3177-2009《产品几何技术规范(GPS)光滑工件尺寸的检验》、GB/T239.1-2012《金属材料线材第1部分:单向扭转试验方法》标准要求（报价时需提供</w:t>
            </w:r>
            <w:r>
              <w:rPr>
                <w:rFonts w:hint="eastAsia" w:ascii="宋体" w:hAnsi="宋体" w:eastAsia="宋体" w:cs="宋体"/>
                <w:sz w:val="22"/>
                <w:szCs w:val="22"/>
                <w:highlight w:val="none"/>
              </w:rPr>
              <w:t>有资质的第三方检验机构出具的检测报告扫描件</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立柱顶部为塑料内塞，立柱底部为外套塑料防潮脚套，防潮脚套高度不小于1</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0mm；塑料件采用ABS工程塑料体注塑成型，食用级别PP材料，起防滑及密封作用（不允许采用3D打印塑料），完全不含重金属，与立柱连接处光滑、平顺、手感好、无毛刺。材管</w:t>
            </w:r>
          </w:p>
          <w:p w14:paraId="5AC6297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2"/>
                <w:szCs w:val="22"/>
              </w:rPr>
            </w:pPr>
            <w:r>
              <w:rPr>
                <w:rFonts w:hint="eastAsia" w:ascii="宋体" w:hAnsi="宋体" w:cs="宋体"/>
                <w:sz w:val="22"/>
                <w:szCs w:val="22"/>
                <w:lang w:val="en-US" w:eastAsia="zh-CN"/>
              </w:rPr>
              <w:t>2、上下</w:t>
            </w:r>
            <w:r>
              <w:rPr>
                <w:rFonts w:hint="eastAsia" w:ascii="宋体" w:hAnsi="宋体" w:eastAsia="宋体" w:cs="宋体"/>
                <w:sz w:val="22"/>
                <w:szCs w:val="22"/>
                <w:lang w:eastAsia="zh-CN"/>
              </w:rPr>
              <w:t>前后</w:t>
            </w:r>
            <w:r>
              <w:rPr>
                <w:rFonts w:hint="eastAsia" w:ascii="宋体" w:hAnsi="宋体" w:eastAsia="宋体" w:cs="宋体"/>
                <w:sz w:val="22"/>
                <w:szCs w:val="22"/>
              </w:rPr>
              <w:t>床母</w:t>
            </w:r>
            <w:r>
              <w:rPr>
                <w:rFonts w:hint="eastAsia" w:ascii="宋体" w:hAnsi="宋体" w:eastAsia="宋体" w:cs="宋体"/>
                <w:sz w:val="22"/>
                <w:szCs w:val="22"/>
                <w:lang w:eastAsia="zh-CN"/>
              </w:rPr>
              <w:t>：</w:t>
            </w:r>
            <w:r>
              <w:rPr>
                <w:rFonts w:hint="eastAsia" w:ascii="宋体" w:hAnsi="宋体" w:eastAsia="宋体" w:cs="宋体"/>
                <w:color w:val="auto"/>
                <w:sz w:val="22"/>
                <w:szCs w:val="22"/>
                <w:lang w:eastAsia="zh-CN"/>
              </w:rPr>
              <w:t>采用</w:t>
            </w:r>
            <w:r>
              <w:rPr>
                <w:rFonts w:hint="eastAsia" w:ascii="宋体" w:hAnsi="宋体" w:eastAsia="宋体" w:cs="宋体"/>
                <w:color w:val="auto"/>
                <w:sz w:val="22"/>
                <w:szCs w:val="22"/>
              </w:rPr>
              <w:t>42mm×</w:t>
            </w:r>
            <w:r>
              <w:rPr>
                <w:rFonts w:hint="eastAsia" w:ascii="宋体" w:hAnsi="宋体" w:eastAsia="宋体" w:cs="宋体"/>
                <w:color w:val="auto"/>
                <w:sz w:val="22"/>
                <w:szCs w:val="22"/>
                <w:lang w:val="en-US" w:eastAsia="zh-CN"/>
              </w:rPr>
              <w:t>73</w:t>
            </w:r>
            <w:r>
              <w:rPr>
                <w:rFonts w:hint="eastAsia" w:ascii="宋体" w:hAnsi="宋体" w:eastAsia="宋体" w:cs="宋体"/>
                <w:color w:val="auto"/>
                <w:sz w:val="22"/>
                <w:szCs w:val="22"/>
              </w:rPr>
              <w:t>mm×1.2mm，</w:t>
            </w:r>
            <w:r>
              <w:rPr>
                <w:rFonts w:hint="eastAsia" w:ascii="宋体" w:hAnsi="宋体" w:eastAsia="宋体" w:cs="宋体"/>
                <w:sz w:val="22"/>
                <w:szCs w:val="22"/>
                <w:lang w:val="en-US" w:eastAsia="zh-CN"/>
              </w:rPr>
              <w:t>高频焊接内外镀锌闭口型材管，有不少于四条加强筋，表面经优质环保氧聚酯塑粉静电喷塑处理。床母的金属件外观性能（管材；焊接件；喷涂层）、金属喷漆（塑）涂层（硬度；冲击强度；耐腐蚀；附着力）、金属件表面涂层理化性能（耐湿热）、拉伸试验（屈服强度；抗拉强度；伸长率）、化学成分（C;Si;Mn;P;S)；有害物质限量等性能指标符合GB/T 3325-2017《金属家具通用技术条件》、OB/T2741-2013《学生公寓多功能家具》、GB/T 228.1-2021《金属材料拉伸试验第1部分:室温试验方法》、GB/T4336-2016和第1号修改单《碳素钢和中低合金钢火花源原子发射光谱分析方法(常规法)》标准要求</w:t>
            </w:r>
            <w:r>
              <w:rPr>
                <w:rFonts w:hint="eastAsia" w:ascii="宋体" w:hAnsi="宋体" w:eastAsia="宋体" w:cs="宋体"/>
                <w:b/>
                <w:bCs/>
                <w:sz w:val="22"/>
                <w:szCs w:val="22"/>
                <w:lang w:val="en-US" w:eastAsia="zh-CN"/>
              </w:rPr>
              <w:t>（投标需提供</w:t>
            </w:r>
            <w:r>
              <w:rPr>
                <w:rFonts w:hint="eastAsia" w:ascii="宋体" w:hAnsi="宋体" w:eastAsia="宋体" w:cs="宋体"/>
                <w:b/>
                <w:bCs/>
                <w:sz w:val="22"/>
                <w:szCs w:val="22"/>
              </w:rPr>
              <w:t>有资质的第三方检验机构出具的检测报告扫描件</w:t>
            </w:r>
            <w:r>
              <w:rPr>
                <w:rFonts w:hint="eastAsia" w:ascii="宋体" w:hAnsi="宋体" w:eastAsia="宋体" w:cs="宋体"/>
                <w:b/>
                <w:bCs/>
                <w:sz w:val="22"/>
                <w:szCs w:val="22"/>
                <w:lang w:val="en-US" w:eastAsia="zh-CN"/>
              </w:rPr>
              <w:t>）。</w:t>
            </w:r>
            <w:r>
              <w:rPr>
                <w:rFonts w:hint="eastAsia" w:ascii="宋体" w:hAnsi="宋体" w:eastAsia="宋体" w:cs="宋体"/>
                <w:sz w:val="22"/>
                <w:szCs w:val="22"/>
              </w:rPr>
              <w:t>顶部内侧设计有</w:t>
            </w:r>
            <w:r>
              <w:rPr>
                <w:rFonts w:hint="eastAsia" w:ascii="宋体" w:hAnsi="宋体" w:eastAsia="宋体" w:cs="宋体"/>
                <w:sz w:val="22"/>
                <w:szCs w:val="22"/>
                <w:lang w:val="en-US" w:eastAsia="zh-CN"/>
              </w:rPr>
              <w:t>18mm</w:t>
            </w:r>
            <w:r>
              <w:rPr>
                <w:rFonts w:hint="eastAsia" w:ascii="宋体" w:hAnsi="宋体" w:eastAsia="宋体" w:cs="宋体"/>
                <w:sz w:val="22"/>
                <w:szCs w:val="22"/>
              </w:rPr>
              <w:t>×12mm凸台，便于支撑床板，下部半</w:t>
            </w:r>
            <w:r>
              <w:rPr>
                <w:rFonts w:hint="eastAsia" w:ascii="宋体" w:hAnsi="宋体" w:eastAsia="宋体" w:cs="宋体"/>
                <w:sz w:val="22"/>
                <w:szCs w:val="22"/>
                <w:lang w:eastAsia="zh-CN"/>
              </w:rPr>
              <w:t>圆</w:t>
            </w:r>
            <w:r>
              <w:rPr>
                <w:rFonts w:hint="eastAsia" w:ascii="宋体" w:hAnsi="宋体" w:eastAsia="宋体" w:cs="宋体"/>
                <w:sz w:val="22"/>
                <w:szCs w:val="22"/>
              </w:rPr>
              <w:t>型设计，整体稳固美观。</w:t>
            </w:r>
          </w:p>
          <w:p w14:paraId="0A2AFC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立柱</w:t>
            </w:r>
            <w:r>
              <w:rPr>
                <w:rFonts w:hint="eastAsia" w:ascii="宋体" w:hAnsi="宋体" w:eastAsia="宋体" w:cs="宋体"/>
                <w:sz w:val="22"/>
                <w:szCs w:val="22"/>
                <w:lang w:eastAsia="zh-CN"/>
              </w:rPr>
              <w:t>上</w:t>
            </w:r>
            <w:r>
              <w:rPr>
                <w:rFonts w:hint="eastAsia" w:ascii="宋体" w:hAnsi="宋体" w:cs="宋体"/>
                <w:sz w:val="22"/>
                <w:szCs w:val="22"/>
                <w:lang w:val="en-US" w:eastAsia="zh-CN"/>
              </w:rPr>
              <w:t>下</w:t>
            </w:r>
            <w:r>
              <w:rPr>
                <w:rFonts w:hint="eastAsia" w:ascii="宋体" w:hAnsi="宋体" w:eastAsia="宋体" w:cs="宋体"/>
                <w:sz w:val="22"/>
                <w:szCs w:val="22"/>
              </w:rPr>
              <w:t>横管</w:t>
            </w:r>
            <w:r>
              <w:rPr>
                <w:rFonts w:hint="eastAsia" w:ascii="宋体" w:hAnsi="宋体" w:eastAsia="宋体" w:cs="宋体"/>
                <w:sz w:val="22"/>
                <w:szCs w:val="22"/>
                <w:lang w:eastAsia="zh-CN"/>
              </w:rPr>
              <w:t>：</w:t>
            </w:r>
            <w:r>
              <w:rPr>
                <w:rFonts w:hint="eastAsia" w:ascii="宋体" w:hAnsi="宋体" w:eastAsia="宋体" w:cs="宋体"/>
                <w:sz w:val="22"/>
                <w:szCs w:val="22"/>
              </w:rPr>
              <w:t>采用</w:t>
            </w:r>
            <w:r>
              <w:rPr>
                <w:rFonts w:hint="eastAsia" w:ascii="宋体" w:hAnsi="宋体" w:eastAsia="宋体" w:cs="宋体"/>
                <w:sz w:val="22"/>
                <w:szCs w:val="22"/>
                <w:lang w:val="en-US" w:eastAsia="zh-CN"/>
              </w:rPr>
              <w:t>25</w:t>
            </w:r>
            <w:r>
              <w:rPr>
                <w:rFonts w:hint="eastAsia" w:ascii="宋体" w:hAnsi="宋体" w:eastAsia="宋体" w:cs="宋体"/>
                <w:sz w:val="22"/>
                <w:szCs w:val="22"/>
              </w:rPr>
              <w:t>mm×</w:t>
            </w:r>
            <w:r>
              <w:rPr>
                <w:rFonts w:hint="eastAsia" w:ascii="宋体" w:hAnsi="宋体" w:eastAsia="宋体" w:cs="宋体"/>
                <w:sz w:val="22"/>
                <w:szCs w:val="22"/>
                <w:lang w:val="en-US" w:eastAsia="zh-CN"/>
              </w:rPr>
              <w:t>25</w:t>
            </w:r>
            <w:r>
              <w:rPr>
                <w:rFonts w:hint="eastAsia" w:ascii="宋体" w:hAnsi="宋体" w:eastAsia="宋体" w:cs="宋体"/>
                <w:sz w:val="22"/>
                <w:szCs w:val="22"/>
              </w:rPr>
              <w:t>mm×1.</w:t>
            </w:r>
            <w:r>
              <w:rPr>
                <w:rFonts w:hint="eastAsia" w:ascii="宋体" w:hAnsi="宋体" w:cs="宋体"/>
                <w:sz w:val="22"/>
                <w:szCs w:val="22"/>
                <w:lang w:val="en-US" w:eastAsia="zh-CN"/>
              </w:rPr>
              <w:t>0</w:t>
            </w:r>
            <w:r>
              <w:rPr>
                <w:rFonts w:hint="eastAsia" w:ascii="宋体" w:hAnsi="宋体" w:eastAsia="宋体" w:cs="宋体"/>
                <w:sz w:val="22"/>
                <w:szCs w:val="22"/>
              </w:rPr>
              <w:t>mm</w:t>
            </w:r>
            <w:r>
              <w:rPr>
                <w:rFonts w:hint="eastAsia" w:ascii="宋体" w:hAnsi="宋体" w:eastAsia="宋体" w:cs="宋体"/>
                <w:sz w:val="22"/>
                <w:szCs w:val="22"/>
                <w:lang w:eastAsia="zh-CN"/>
              </w:rPr>
              <w:t>方</w:t>
            </w:r>
            <w:r>
              <w:rPr>
                <w:rFonts w:hint="eastAsia" w:ascii="宋体" w:hAnsi="宋体" w:eastAsia="宋体" w:cs="宋体"/>
                <w:sz w:val="22"/>
                <w:szCs w:val="22"/>
              </w:rPr>
              <w:t>管；下横管</w:t>
            </w:r>
            <w:r>
              <w:rPr>
                <w:rFonts w:hint="eastAsia" w:ascii="宋体" w:hAnsi="宋体" w:cs="宋体"/>
                <w:sz w:val="22"/>
                <w:szCs w:val="22"/>
                <w:lang w:val="en-US" w:eastAsia="zh-CN"/>
              </w:rPr>
              <w:t>管材</w:t>
            </w:r>
            <w:r>
              <w:rPr>
                <w:rFonts w:hint="eastAsia" w:ascii="宋体" w:hAnsi="宋体" w:eastAsia="宋体" w:cs="宋体"/>
                <w:sz w:val="22"/>
                <w:szCs w:val="22"/>
              </w:rPr>
              <w:t>采用</w:t>
            </w:r>
            <w:r>
              <w:rPr>
                <w:rFonts w:hint="eastAsia" w:ascii="宋体" w:hAnsi="宋体" w:cs="宋体"/>
                <w:sz w:val="22"/>
                <w:szCs w:val="22"/>
                <w:lang w:val="en-US" w:eastAsia="zh-CN"/>
              </w:rPr>
              <w:t>25</w:t>
            </w:r>
            <w:r>
              <w:rPr>
                <w:rFonts w:hint="eastAsia" w:ascii="宋体" w:hAnsi="宋体" w:eastAsia="宋体" w:cs="宋体"/>
                <w:sz w:val="22"/>
                <w:szCs w:val="22"/>
              </w:rPr>
              <w:t>mm×</w:t>
            </w:r>
            <w:r>
              <w:rPr>
                <w:rFonts w:hint="eastAsia" w:ascii="宋体" w:hAnsi="宋体" w:cs="宋体"/>
                <w:sz w:val="22"/>
                <w:szCs w:val="22"/>
                <w:lang w:val="en-US" w:eastAsia="zh-CN"/>
              </w:rPr>
              <w:t>50</w:t>
            </w:r>
            <w:r>
              <w:rPr>
                <w:rFonts w:hint="eastAsia" w:ascii="宋体" w:hAnsi="宋体" w:eastAsia="宋体" w:cs="宋体"/>
                <w:sz w:val="22"/>
                <w:szCs w:val="22"/>
              </w:rPr>
              <w:t>mm×1.</w:t>
            </w:r>
            <w:r>
              <w:rPr>
                <w:rFonts w:hint="eastAsia" w:ascii="宋体" w:hAnsi="宋体" w:cs="宋体"/>
                <w:sz w:val="22"/>
                <w:szCs w:val="22"/>
                <w:lang w:val="en-US" w:eastAsia="zh-CN"/>
              </w:rPr>
              <w:t>0</w:t>
            </w:r>
            <w:r>
              <w:rPr>
                <w:rFonts w:hint="eastAsia" w:ascii="宋体" w:hAnsi="宋体" w:eastAsia="宋体" w:cs="宋体"/>
                <w:sz w:val="22"/>
                <w:szCs w:val="22"/>
              </w:rPr>
              <w:t>mm</w:t>
            </w:r>
            <w:r>
              <w:rPr>
                <w:rFonts w:hint="eastAsia" w:ascii="宋体" w:hAnsi="宋体" w:cs="宋体"/>
                <w:sz w:val="22"/>
                <w:szCs w:val="22"/>
                <w:lang w:eastAsia="zh-CN"/>
              </w:rPr>
              <w:t>，</w:t>
            </w:r>
            <w:r>
              <w:rPr>
                <w:rFonts w:hint="eastAsia" w:ascii="宋体" w:hAnsi="宋体" w:eastAsia="宋体" w:cs="宋体"/>
                <w:sz w:val="22"/>
                <w:szCs w:val="22"/>
              </w:rPr>
              <w:t>立柱边档竖管采用￠19mm×1.2mm圆管。竖管数量不少于3根</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管材采用优质带钢，经轧压线辊压成型，高频焊接无拼接，表面经优质环氧聚酯塑粉静电喷塑处理。</w:t>
            </w:r>
          </w:p>
          <w:p w14:paraId="666D99FC">
            <w:pPr>
              <w:pStyle w:val="17"/>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床护栏：长1200mm×高300mm，采用φ19mm，厚度1.2mm的圆管弯制而成，竖管不少于4根</w:t>
            </w:r>
            <w:r>
              <w:rPr>
                <w:rFonts w:hint="eastAsia" w:ascii="宋体" w:hAnsi="宋体" w:eastAsia="宋体" w:cs="宋体"/>
                <w:sz w:val="22"/>
                <w:szCs w:val="22"/>
                <w:lang w:eastAsia="zh-CN"/>
              </w:rPr>
              <w:t>，</w:t>
            </w:r>
            <w:r>
              <w:rPr>
                <w:rFonts w:hint="eastAsia" w:ascii="宋体" w:hAnsi="宋体" w:eastAsia="宋体" w:cs="宋体"/>
                <w:sz w:val="22"/>
                <w:szCs w:val="22"/>
              </w:rPr>
              <w:t>护栏高度（床母至护栏顶边）不低于300mm。</w:t>
            </w:r>
          </w:p>
          <w:p w14:paraId="09E5C8E3">
            <w:pPr>
              <w:pStyle w:val="17"/>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床梯：边管采用的是25mm×</w:t>
            </w:r>
            <w:r>
              <w:rPr>
                <w:rFonts w:hint="eastAsia" w:ascii="宋体" w:hAnsi="宋体" w:eastAsia="宋体" w:cs="宋体"/>
                <w:kern w:val="0"/>
                <w:sz w:val="22"/>
                <w:szCs w:val="22"/>
                <w:lang w:val="en-US" w:eastAsia="zh-CN"/>
              </w:rPr>
              <w:t>25</w:t>
            </w:r>
            <w:r>
              <w:rPr>
                <w:rFonts w:hint="eastAsia" w:ascii="宋体" w:hAnsi="宋体" w:eastAsia="宋体" w:cs="宋体"/>
                <w:kern w:val="0"/>
                <w:sz w:val="22"/>
                <w:szCs w:val="22"/>
              </w:rPr>
              <w:t>mm×1.2mm</w:t>
            </w:r>
            <w:r>
              <w:rPr>
                <w:rFonts w:hint="eastAsia" w:ascii="宋体" w:hAnsi="宋体" w:eastAsia="宋体" w:cs="宋体"/>
                <w:kern w:val="0"/>
                <w:sz w:val="22"/>
                <w:szCs w:val="22"/>
                <w:lang w:eastAsia="zh-CN"/>
              </w:rPr>
              <w:t>优质方</w:t>
            </w:r>
            <w:r>
              <w:rPr>
                <w:rFonts w:hint="eastAsia" w:ascii="宋体" w:hAnsi="宋体" w:eastAsia="宋体" w:cs="宋体"/>
                <w:kern w:val="0"/>
                <w:sz w:val="22"/>
                <w:szCs w:val="22"/>
              </w:rPr>
              <w:t>管</w:t>
            </w:r>
            <w:r>
              <w:rPr>
                <w:rFonts w:hint="eastAsia" w:ascii="宋体" w:hAnsi="宋体" w:eastAsia="宋体" w:cs="宋体"/>
                <w:kern w:val="0"/>
                <w:sz w:val="22"/>
                <w:szCs w:val="22"/>
                <w:lang w:eastAsia="zh-CN"/>
              </w:rPr>
              <w:t>，踏板采用≧</w:t>
            </w:r>
            <w:r>
              <w:rPr>
                <w:rFonts w:hint="eastAsia" w:ascii="宋体" w:hAnsi="宋体" w:eastAsia="宋体" w:cs="宋体"/>
                <w:kern w:val="0"/>
                <w:sz w:val="22"/>
                <w:szCs w:val="22"/>
                <w:lang w:val="en-US" w:eastAsia="zh-CN"/>
              </w:rPr>
              <w:t>1.2厚钢板一次冲压成型。</w:t>
            </w:r>
            <w:r>
              <w:rPr>
                <w:rFonts w:hint="eastAsia" w:ascii="宋体" w:hAnsi="宋体" w:eastAsia="宋体" w:cs="宋体"/>
                <w:kern w:val="0"/>
                <w:sz w:val="22"/>
                <w:szCs w:val="22"/>
              </w:rPr>
              <w:t>脚梯总宽度为 300mm，三步脚踏横担；爬梯的安装要求与地面垂直</w:t>
            </w:r>
            <w:r>
              <w:rPr>
                <w:rFonts w:hint="eastAsia" w:ascii="宋体" w:hAnsi="宋体" w:eastAsia="宋体" w:cs="宋体"/>
                <w:kern w:val="0"/>
                <w:sz w:val="22"/>
                <w:szCs w:val="22"/>
                <w:lang w:eastAsia="zh-CN"/>
              </w:rPr>
              <w:t>。</w:t>
            </w:r>
          </w:p>
          <w:p w14:paraId="5B559A01">
            <w:pPr>
              <w:pStyle w:val="17"/>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6、</w:t>
            </w:r>
            <w:r>
              <w:rPr>
                <w:rFonts w:hint="eastAsia" w:ascii="宋体" w:hAnsi="宋体" w:eastAsia="宋体" w:cs="宋体"/>
                <w:kern w:val="0"/>
                <w:sz w:val="22"/>
                <w:szCs w:val="22"/>
              </w:rPr>
              <w:t>蚊帐架：采用Φ16mm，壁厚 0.8mm 圆形</w:t>
            </w:r>
            <w:r>
              <w:rPr>
                <w:rFonts w:hint="eastAsia" w:ascii="宋体" w:hAnsi="宋体" w:eastAsia="宋体" w:cs="宋体"/>
                <w:kern w:val="0"/>
                <w:sz w:val="22"/>
                <w:szCs w:val="22"/>
                <w:lang w:val="en-US" w:eastAsia="zh-CN"/>
              </w:rPr>
              <w:t>钢管，高度1000mm；</w:t>
            </w:r>
          </w:p>
          <w:p w14:paraId="053B584C">
            <w:pPr>
              <w:pStyle w:val="17"/>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7、床板支撑件：采用≥30×20mm，厚度≥1.0mm高频焊接闭口型管，床板支撑件不少于5根，床板支撑件与床厅采用内插连接，防止床厅变形、床换脱落，支撑件两头装有静音装置，防止床支撑与床厅接触点受力异响。</w:t>
            </w:r>
          </w:p>
          <w:p w14:paraId="7B181420">
            <w:pPr>
              <w:pStyle w:val="17"/>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8、床立柱与床厅连接（件）及连接方式：采用“H”型卡扣式连接（无螺丝连接），采用≥2.0mm厚优质钢板经冲压一次成型，连接扣点采用不少于3个位置纵向垂直连接，越受力越紧固。</w:t>
            </w:r>
          </w:p>
          <w:p w14:paraId="74F028F0">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b/>
                <w:bCs/>
                <w:sz w:val="22"/>
                <w:szCs w:val="22"/>
              </w:rPr>
            </w:pPr>
            <w:r>
              <w:rPr>
                <w:rFonts w:hint="eastAsia" w:ascii="宋体" w:hAnsi="宋体" w:cs="宋体"/>
                <w:kern w:val="0"/>
                <w:sz w:val="22"/>
                <w:szCs w:val="22"/>
                <w:highlight w:val="none"/>
                <w:lang w:val="en-US" w:eastAsia="zh-CN"/>
              </w:rPr>
              <w:t>9、</w:t>
            </w:r>
            <w:r>
              <w:rPr>
                <w:rFonts w:hint="eastAsia" w:ascii="宋体" w:hAnsi="宋体" w:cs="宋体"/>
                <w:kern w:val="0"/>
                <w:sz w:val="22"/>
                <w:szCs w:val="22"/>
                <w:highlight w:val="none"/>
              </w:rPr>
              <w:t>床板：采用1</w:t>
            </w: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rPr>
              <w:t>mm厚杉木板，板数不超过7块，经干燥防腐、</w:t>
            </w:r>
            <w:r>
              <w:rPr>
                <w:rFonts w:hint="eastAsia" w:ascii="宋体" w:hAnsi="宋体" w:eastAsia="宋体" w:cs="宋体"/>
                <w:kern w:val="0"/>
                <w:sz w:val="22"/>
                <w:szCs w:val="22"/>
                <w:highlight w:val="none"/>
              </w:rPr>
              <w:t>防蛀处理，板底加固4根20×30mm杉木条为支撑点，制作牢固可靠，双面平整。</w:t>
            </w:r>
            <w:r>
              <w:rPr>
                <w:rFonts w:hint="eastAsia" w:ascii="宋体" w:hAnsi="宋体" w:eastAsia="宋体" w:cs="宋体"/>
                <w:color w:val="auto"/>
                <w:sz w:val="22"/>
                <w:szCs w:val="22"/>
                <w:highlight w:val="none"/>
                <w:lang w:val="en-US" w:eastAsia="zh-CN"/>
              </w:rPr>
              <w:t>床板的木制件外观；木工要求；甲醛释放量；可接触的实木部件中五氯苯酚（PCP）等性能指标符合GB/T 3324-2017《木家具通用技术条件》、GB18580-2017《室内装饰装修材料人造板及其制品中甲醛释放限量》、GB/T 35607-2017《绿色产品评价家具》标准要求</w:t>
            </w:r>
            <w:r>
              <w:rPr>
                <w:rFonts w:hint="eastAsia" w:ascii="宋体" w:hAnsi="宋体" w:eastAsia="宋体" w:cs="宋体"/>
                <w:b/>
                <w:bCs/>
                <w:color w:val="auto"/>
                <w:sz w:val="22"/>
                <w:szCs w:val="22"/>
                <w:highlight w:val="none"/>
                <w:lang w:val="en-US" w:eastAsia="zh-CN"/>
              </w:rPr>
              <w:t>（报价时需提供有资质的第三方检验机构出具的检测报告扫描件）。</w:t>
            </w:r>
          </w:p>
          <w:p w14:paraId="210D0C7E">
            <w:pPr>
              <w:keepNext w:val="0"/>
              <w:keepLines w:val="0"/>
              <w:pageBreakBefore w:val="0"/>
              <w:numPr>
                <w:ilvl w:val="0"/>
                <w:numId w:val="0"/>
              </w:numPr>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2"/>
                <w:szCs w:val="22"/>
                <w:lang w:val="en-US" w:eastAsia="zh-CN"/>
              </w:rPr>
            </w:pPr>
            <w:bookmarkStart w:id="0" w:name="OLE_LINK3"/>
            <w:r>
              <w:rPr>
                <w:rFonts w:hint="eastAsia" w:ascii="宋体" w:hAnsi="宋体" w:cs="宋体"/>
                <w:sz w:val="22"/>
                <w:szCs w:val="22"/>
                <w:lang w:val="en-US" w:eastAsia="zh-CN"/>
              </w:rPr>
              <w:t>10、</w:t>
            </w:r>
            <w:r>
              <w:rPr>
                <w:rFonts w:hint="eastAsia" w:ascii="宋体" w:hAnsi="宋体" w:eastAsia="宋体" w:cs="宋体"/>
                <w:sz w:val="22"/>
                <w:szCs w:val="22"/>
              </w:rPr>
              <w:t>钢件表面处理：床体焊接采用二氧化碳气体保护焊，焊痕打磨光滑平整；表面经过严格的除油-水洗- 除锈-水洗-表调-陶化-环氧</w:t>
            </w:r>
            <w:r>
              <w:rPr>
                <w:rFonts w:hint="eastAsia" w:ascii="宋体" w:hAnsi="宋体" w:eastAsia="宋体" w:cs="宋体"/>
                <w:sz w:val="22"/>
                <w:szCs w:val="22"/>
                <w:lang w:eastAsia="zh-CN"/>
              </w:rPr>
              <w:t>；表面采用环保塑粉静电喷涂经高温固化，</w:t>
            </w:r>
            <w:r>
              <w:rPr>
                <w:rFonts w:hint="eastAsia" w:ascii="宋体" w:hAnsi="宋体" w:eastAsia="宋体" w:cs="宋体"/>
                <w:sz w:val="22"/>
                <w:szCs w:val="22"/>
                <w:lang w:val="en-US" w:eastAsia="zh-CN"/>
              </w:rPr>
              <w:t>塑粉的外观；筛余物；密度；涂膜外观；附着力-干附着力；铅笔硬度(内聚破坏中擦伤)；耐冲击性（正向冲击）；杯突试验；弯曲试验；光泽；耐磨性；耐酸性；耐碱性；耐沸水性；耐盐雾性-中性盐雾；耐湿性；胶化时间；粒径分布；流动性等性能指标符合HG/T2006-2022《热固性和热塑性粉末涂料》的要求</w:t>
            </w:r>
            <w:bookmarkEnd w:id="0"/>
          </w:p>
          <w:p w14:paraId="20F52476">
            <w:pPr>
              <w:numPr>
                <w:ilvl w:val="0"/>
                <w:numId w:val="0"/>
              </w:numPr>
              <w:autoSpaceDE w:val="0"/>
              <w:autoSpaceDN w:val="0"/>
              <w:adjustRightInd w:val="0"/>
              <w:spacing w:line="440" w:lineRule="atLeast"/>
              <w:jc w:val="left"/>
              <w:rPr>
                <w:rFonts w:hint="eastAsia" w:ascii="宋体" w:hAnsi="宋体" w:eastAsia="宋体" w:cs="宋体"/>
                <w:sz w:val="24"/>
                <w:szCs w:val="24"/>
                <w:highlight w:val="none"/>
                <w:lang w:val="zh-CN" w:eastAsia="zh-CN"/>
              </w:rPr>
            </w:pPr>
            <w:r>
              <w:rPr>
                <w:rFonts w:hint="eastAsia" w:ascii="宋体" w:hAnsi="宋体" w:cs="宋体"/>
                <w:kern w:val="0"/>
                <w:sz w:val="22"/>
                <w:szCs w:val="22"/>
                <w:highlight w:val="none"/>
                <w:lang w:val="en-US" w:eastAsia="zh-CN"/>
              </w:rPr>
              <w:t>11、</w:t>
            </w:r>
            <w:r>
              <w:rPr>
                <w:rFonts w:hint="eastAsia" w:ascii="宋体" w:hAnsi="宋体" w:cs="宋体"/>
                <w:kern w:val="0"/>
                <w:sz w:val="22"/>
                <w:szCs w:val="22"/>
                <w:highlight w:val="none"/>
                <w:lang w:eastAsia="zh-CN"/>
              </w:rPr>
              <w:t>整体性能要求：</w:t>
            </w:r>
            <w:r>
              <w:rPr>
                <w:rFonts w:hint="eastAsia" w:ascii="宋体" w:hAnsi="宋体" w:cs="宋体"/>
                <w:kern w:val="0"/>
                <w:sz w:val="22"/>
                <w:szCs w:val="22"/>
                <w:highlight w:val="none"/>
              </w:rPr>
              <w:t>铁架床</w:t>
            </w:r>
            <w:r>
              <w:rPr>
                <w:rFonts w:hint="eastAsia" w:ascii="宋体" w:hAnsi="宋体" w:cs="宋体"/>
                <w:kern w:val="0"/>
                <w:sz w:val="22"/>
                <w:szCs w:val="22"/>
                <w:highlight w:val="none"/>
                <w:lang w:eastAsia="zh-CN"/>
              </w:rPr>
              <w:t>的形状和位置公差；金属件外观性能要求；木制件外观性能要求；软包件外观性能要求；塑料件外观性能要求；配件；安全性能-结构安全；理化性能-金属喷漆（塑）涂层；理化性能-金属电镀层；理化性能-木制件表面贴面层；理化性能-木质件；理化性能-塑料件；理化性能-人造板件；力学性能-桌类强度和耐久性；力学性能-单层床强度和耐久性；力学性能-柜类强度和耐久性；力学性能-桌类稳定性；力学性能-柜类稳定性；主要尺寸及其偏差；理化性能；力学性能；安装；产品有害物质；邻苯二甲酸酯；重金属；多环芳烃；多溴联苯（PBB）；多溴二苯醚（PBDE）符合GB/T 3325-2017《金属家具通用技术条件》、QB/T 2741-2013《学生公寓多功能家具》、GB/T 35607-2017《绿色产品评价 家具》、GB 28481-2012《塑料家具中有害物质限量》标准要求</w:t>
            </w:r>
            <w:r>
              <w:rPr>
                <w:rFonts w:hint="eastAsia" w:ascii="宋体" w:hAnsi="宋体" w:eastAsia="宋体" w:cs="宋体"/>
                <w:b/>
                <w:bCs/>
                <w:color w:val="auto"/>
                <w:sz w:val="22"/>
                <w:szCs w:val="22"/>
                <w:highlight w:val="none"/>
                <w:lang w:val="en-US" w:eastAsia="zh-CN"/>
              </w:rPr>
              <w:t>（报价时需提供有资质的第三方检验机构出具的检测报告扫描件）</w:t>
            </w:r>
            <w:r>
              <w:rPr>
                <w:rFonts w:hint="eastAsia" w:ascii="宋体" w:hAnsi="宋体" w:eastAsia="宋体" w:cs="宋体"/>
                <w:color w:val="auto"/>
                <w:sz w:val="22"/>
                <w:szCs w:val="22"/>
                <w:highlight w:val="none"/>
                <w:lang w:val="en-US" w:eastAsia="zh-CN"/>
              </w:rPr>
              <w:t>。</w:t>
            </w:r>
          </w:p>
        </w:tc>
        <w:tc>
          <w:tcPr>
            <w:tcW w:w="28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6453F1">
            <w:pPr>
              <w:autoSpaceDE w:val="0"/>
              <w:autoSpaceDN w:val="0"/>
              <w:adjustRightInd w:val="0"/>
              <w:spacing w:line="440" w:lineRule="atLeast"/>
              <w:ind w:left="420" w:hanging="420"/>
              <w:jc w:val="center"/>
              <w:rPr>
                <w:highlight w:val="none"/>
              </w:rPr>
            </w:pPr>
            <w:r>
              <w:rPr>
                <w:highlight w:val="none"/>
              </w:rPr>
              <w:drawing>
                <wp:inline distT="0" distB="0" distL="114300" distR="114300">
                  <wp:extent cx="1601470" cy="1921510"/>
                  <wp:effectExtent l="0" t="0" r="1778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01470" cy="1921510"/>
                          </a:xfrm>
                          <a:prstGeom prst="rect">
                            <a:avLst/>
                          </a:prstGeom>
                          <a:noFill/>
                          <a:ln>
                            <a:noFill/>
                          </a:ln>
                        </pic:spPr>
                      </pic:pic>
                    </a:graphicData>
                  </a:graphic>
                </wp:inline>
              </w:drawing>
            </w:r>
          </w:p>
          <w:p w14:paraId="148D4BEC">
            <w:pPr>
              <w:numPr>
                <w:ilvl w:val="0"/>
                <w:numId w:val="0"/>
              </w:numPr>
              <w:autoSpaceDE w:val="0"/>
              <w:autoSpaceDN w:val="0"/>
              <w:adjustRightInd w:val="0"/>
              <w:spacing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立柱</w:t>
            </w:r>
            <w:r>
              <w:rPr>
                <w:rFonts w:hint="eastAsia" w:ascii="宋体" w:hAnsi="宋体" w:eastAsia="宋体" w:cs="宋体"/>
                <w:sz w:val="24"/>
                <w:szCs w:val="24"/>
                <w:highlight w:val="none"/>
              </w:rPr>
              <w:t>管材截面参考图如下图：</w:t>
            </w:r>
          </w:p>
          <w:p w14:paraId="146B7819">
            <w:pPr>
              <w:pStyle w:val="2"/>
              <w:rPr>
                <w:highlight w:val="none"/>
              </w:rPr>
            </w:pPr>
            <w:r>
              <w:rPr>
                <w:sz w:val="22"/>
                <w:szCs w:val="22"/>
              </w:rPr>
              <w:drawing>
                <wp:anchor distT="0" distB="0" distL="114300" distR="114300" simplePos="0" relativeHeight="251659264" behindDoc="0" locked="0" layoutInCell="1" allowOverlap="1">
                  <wp:simplePos x="0" y="0"/>
                  <wp:positionH relativeFrom="column">
                    <wp:posOffset>120015</wp:posOffset>
                  </wp:positionH>
                  <wp:positionV relativeFrom="paragraph">
                    <wp:posOffset>41275</wp:posOffset>
                  </wp:positionV>
                  <wp:extent cx="1076325" cy="1021715"/>
                  <wp:effectExtent l="0" t="0" r="9525" b="698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1076325" cy="1021715"/>
                          </a:xfrm>
                          <a:prstGeom prst="rect">
                            <a:avLst/>
                          </a:prstGeom>
                          <a:noFill/>
                          <a:ln w="9525">
                            <a:noFill/>
                          </a:ln>
                        </pic:spPr>
                      </pic:pic>
                    </a:graphicData>
                  </a:graphic>
                </wp:anchor>
              </w:drawing>
            </w:r>
          </w:p>
          <w:p w14:paraId="20ABD3F2">
            <w:pPr>
              <w:rPr>
                <w:highlight w:val="none"/>
              </w:rPr>
            </w:pPr>
          </w:p>
          <w:p w14:paraId="3F370632">
            <w:pPr>
              <w:pStyle w:val="2"/>
              <w:rPr>
                <w:highlight w:val="none"/>
              </w:rPr>
            </w:pPr>
          </w:p>
          <w:p w14:paraId="6A78548F">
            <w:pPr>
              <w:rPr>
                <w:highlight w:val="none"/>
              </w:rPr>
            </w:pPr>
          </w:p>
          <w:p w14:paraId="22D1BF77">
            <w:pPr>
              <w:pStyle w:val="2"/>
              <w:rPr>
                <w:highlight w:val="none"/>
              </w:rPr>
            </w:pPr>
          </w:p>
          <w:p w14:paraId="0F3911C1">
            <w:pPr>
              <w:rPr>
                <w:highlight w:val="none"/>
              </w:rPr>
            </w:pPr>
          </w:p>
          <w:p w14:paraId="6CA1BD0E">
            <w:pPr>
              <w:pStyle w:val="2"/>
              <w:rPr>
                <w:highlight w:val="none"/>
              </w:rPr>
            </w:pPr>
          </w:p>
          <w:p w14:paraId="629A2A57">
            <w:pPr>
              <w:rPr>
                <w:highlight w:val="none"/>
              </w:rPr>
            </w:pPr>
          </w:p>
          <w:p w14:paraId="5F8895F3">
            <w:pPr>
              <w:numPr>
                <w:ilvl w:val="0"/>
                <w:numId w:val="0"/>
              </w:numPr>
              <w:autoSpaceDE w:val="0"/>
              <w:autoSpaceDN w:val="0"/>
              <w:adjustRightInd w:val="0"/>
              <w:spacing w:line="4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床母</w:t>
            </w:r>
            <w:r>
              <w:rPr>
                <w:rFonts w:hint="eastAsia" w:ascii="宋体" w:hAnsi="宋体" w:cs="宋体"/>
                <w:sz w:val="24"/>
                <w:szCs w:val="24"/>
                <w:highlight w:val="none"/>
                <w:lang w:val="en-US" w:eastAsia="zh-CN"/>
              </w:rPr>
              <w:t>管材</w:t>
            </w:r>
            <w:r>
              <w:rPr>
                <w:rFonts w:hint="eastAsia" w:ascii="宋体" w:hAnsi="宋体" w:eastAsia="宋体" w:cs="宋体"/>
                <w:sz w:val="24"/>
                <w:szCs w:val="24"/>
                <w:highlight w:val="none"/>
              </w:rPr>
              <w:t>截面参考图如下：</w:t>
            </w:r>
          </w:p>
          <w:p w14:paraId="7A7773B3">
            <w:pPr>
              <w:pStyle w:val="2"/>
              <w:rPr>
                <w:rFonts w:hint="eastAsia"/>
                <w:highlight w:val="none"/>
                <w:lang w:val="zh-CN"/>
              </w:rPr>
            </w:pPr>
            <w:r>
              <w:rPr>
                <w:rFonts w:hint="eastAsia" w:ascii="宋体" w:hAnsi="宋体" w:eastAsia="宋体" w:cs="宋体"/>
                <w:sz w:val="22"/>
                <w:szCs w:val="22"/>
              </w:rPr>
              <w:drawing>
                <wp:anchor distT="0" distB="0" distL="114300" distR="114300" simplePos="0" relativeHeight="251660288" behindDoc="0" locked="0" layoutInCell="1" allowOverlap="1">
                  <wp:simplePos x="0" y="0"/>
                  <wp:positionH relativeFrom="column">
                    <wp:posOffset>62230</wp:posOffset>
                  </wp:positionH>
                  <wp:positionV relativeFrom="paragraph">
                    <wp:posOffset>73025</wp:posOffset>
                  </wp:positionV>
                  <wp:extent cx="1450975" cy="1611630"/>
                  <wp:effectExtent l="0" t="0" r="15875" b="7620"/>
                  <wp:wrapNone/>
                  <wp:docPr id="6568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7" name="图片 55"/>
                          <pic:cNvPicPr>
                            <a:picLocks noChangeAspect="1"/>
                          </pic:cNvPicPr>
                        </pic:nvPicPr>
                        <pic:blipFill>
                          <a:blip r:embed="rId6"/>
                          <a:srcRect t="2179"/>
                          <a:stretch>
                            <a:fillRect/>
                          </a:stretch>
                        </pic:blipFill>
                        <pic:spPr>
                          <a:xfrm>
                            <a:off x="0" y="0"/>
                            <a:ext cx="1450975" cy="1611630"/>
                          </a:xfrm>
                          <a:prstGeom prst="rect">
                            <a:avLst/>
                          </a:prstGeom>
                          <a:noFill/>
                          <a:ln w="9525">
                            <a:noFill/>
                          </a:ln>
                        </pic:spPr>
                      </pic:pic>
                    </a:graphicData>
                  </a:graphic>
                </wp:anchor>
              </w:drawing>
            </w:r>
          </w:p>
        </w:tc>
        <w:tc>
          <w:tcPr>
            <w:tcW w:w="118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C5420A">
            <w:pPr>
              <w:pStyle w:val="2"/>
              <w:jc w:val="center"/>
              <w:rPr>
                <w:rFonts w:hint="eastAsia" w:ascii="宋体" w:hAnsi="宋体" w:eastAsia="宋体" w:cs="宋体"/>
                <w:sz w:val="24"/>
                <w:szCs w:val="24"/>
                <w:highlight w:val="none"/>
              </w:rPr>
            </w:pPr>
            <w:r>
              <w:rPr>
                <w:rFonts w:hint="eastAsia" w:ascii="宋体" w:hAnsi="宋体" w:cs="宋体"/>
                <w:b/>
                <w:bCs/>
                <w:color w:val="auto"/>
                <w:sz w:val="24"/>
                <w:szCs w:val="24"/>
                <w:highlight w:val="none"/>
                <w:lang w:val="en-US" w:eastAsia="zh-CN"/>
              </w:rPr>
              <w:t>美科、永亨、幼仪家具、聚成</w:t>
            </w:r>
          </w:p>
        </w:tc>
      </w:tr>
      <w:tr w14:paraId="124473B8">
        <w:tblPrEx>
          <w:tblCellMar>
            <w:top w:w="0" w:type="dxa"/>
            <w:left w:w="108" w:type="dxa"/>
            <w:bottom w:w="0" w:type="dxa"/>
            <w:right w:w="108" w:type="dxa"/>
          </w:tblCellMar>
        </w:tblPrEx>
        <w:trPr>
          <w:trHeight w:val="477" w:hRule="atLeast"/>
          <w:jc w:val="center"/>
        </w:trPr>
        <w:tc>
          <w:tcPr>
            <w:tcW w:w="14170" w:type="dxa"/>
            <w:gridSpan w:val="5"/>
            <w:tcBorders>
              <w:top w:val="single" w:color="000000" w:sz="2" w:space="0"/>
              <w:left w:val="single" w:color="000000" w:sz="2" w:space="0"/>
              <w:bottom w:val="single" w:color="auto" w:sz="4" w:space="0"/>
              <w:right w:val="single" w:color="000000" w:sz="2" w:space="0"/>
            </w:tcBorders>
            <w:shd w:val="clear" w:color="000000" w:fill="FFFFFF"/>
            <w:noWrap w:val="0"/>
            <w:vAlign w:val="center"/>
          </w:tcPr>
          <w:p w14:paraId="1E506EFA">
            <w:pPr>
              <w:pStyle w:val="2"/>
              <w:jc w:val="center"/>
              <w:rPr>
                <w:rFonts w:hint="eastAsia" w:ascii="宋体" w:hAnsi="宋体" w:eastAsia="宋体" w:cs="宋体"/>
                <w:sz w:val="24"/>
                <w:szCs w:val="24"/>
                <w:highlight w:val="none"/>
              </w:rPr>
            </w:pPr>
            <w:r>
              <w:rPr>
                <w:rFonts w:hint="eastAsia" w:ascii="宋体" w:hAnsi="宋体" w:eastAsia="宋体" w:cs="宋体"/>
                <w:b/>
                <w:bCs/>
                <w:szCs w:val="21"/>
                <w:highlight w:val="none"/>
              </w:rPr>
              <w:t>商务要求</w:t>
            </w:r>
          </w:p>
        </w:tc>
      </w:tr>
      <w:tr w14:paraId="11F6FA41">
        <w:tblPrEx>
          <w:tblCellMar>
            <w:top w:w="0" w:type="dxa"/>
            <w:left w:w="108" w:type="dxa"/>
            <w:bottom w:w="0" w:type="dxa"/>
            <w:right w:w="108" w:type="dxa"/>
          </w:tblCellMar>
        </w:tblPrEx>
        <w:trPr>
          <w:trHeight w:val="477"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DA51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质保期</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CBE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质保期过后提供终身维护。</w:t>
            </w:r>
          </w:p>
        </w:tc>
      </w:tr>
      <w:tr w14:paraId="7F567199">
        <w:tblPrEx>
          <w:tblCellMar>
            <w:top w:w="0" w:type="dxa"/>
            <w:left w:w="108" w:type="dxa"/>
            <w:bottom w:w="0" w:type="dxa"/>
            <w:right w:w="108" w:type="dxa"/>
          </w:tblCellMar>
        </w:tblPrEx>
        <w:trPr>
          <w:trHeight w:val="477"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F5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售后服务要求</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9F4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免费送货上门，根据采购人的实际需求安装到位。</w:t>
            </w:r>
          </w:p>
          <w:p w14:paraId="534B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所提供的货物产品必须是未使用过的全新产品；送达采购人指定地点的货物若产品质量存在缺陷，3个月内免费更换新产品。</w:t>
            </w:r>
          </w:p>
          <w:p w14:paraId="0C986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免费安装调试和培训：到货后，供货商需在</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个工作日内进行安装调试</w:t>
            </w:r>
            <w:r>
              <w:rPr>
                <w:rFonts w:hint="eastAsia" w:ascii="宋体" w:hAnsi="宋体" w:cs="宋体"/>
                <w:sz w:val="24"/>
                <w:szCs w:val="24"/>
                <w:highlight w:val="none"/>
                <w:lang w:val="en-US" w:eastAsia="zh-CN"/>
              </w:rPr>
              <w:t>完毕</w:t>
            </w:r>
            <w:r>
              <w:rPr>
                <w:rFonts w:hint="eastAsia" w:ascii="宋体" w:hAnsi="宋体" w:eastAsia="宋体" w:cs="宋体"/>
                <w:sz w:val="24"/>
                <w:szCs w:val="24"/>
                <w:highlight w:val="none"/>
              </w:rPr>
              <w:t>；提供用户管理人员的现场操作使用及基本维护的免费培训。</w:t>
            </w:r>
          </w:p>
          <w:p w14:paraId="329A1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接故障通知在2小时内需要作出响应，12小时内到达现场，1天内解决问题。</w:t>
            </w:r>
          </w:p>
          <w:p w14:paraId="7352D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项目供货及安装过程中产生的残留物或垃圾，需由供货商自行清理至校外。</w:t>
            </w:r>
          </w:p>
        </w:tc>
      </w:tr>
      <w:tr w14:paraId="658C34AD">
        <w:tblPrEx>
          <w:tblCellMar>
            <w:top w:w="0" w:type="dxa"/>
            <w:left w:w="108" w:type="dxa"/>
            <w:bottom w:w="0" w:type="dxa"/>
            <w:right w:w="108" w:type="dxa"/>
          </w:tblCellMar>
        </w:tblPrEx>
        <w:trPr>
          <w:trHeight w:val="1189"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531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▲交货时间及地点</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E48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在签订合同后14天（自然日）内</w:t>
            </w:r>
            <w:r>
              <w:rPr>
                <w:rFonts w:hint="eastAsia" w:ascii="宋体" w:hAnsi="宋体" w:cs="宋体"/>
                <w:b/>
                <w:bCs/>
                <w:color w:val="auto"/>
                <w:sz w:val="24"/>
                <w:szCs w:val="24"/>
                <w:highlight w:val="none"/>
                <w:lang w:val="en-US" w:eastAsia="zh-CN"/>
              </w:rPr>
              <w:t>全部供货上门并安装调试完毕</w:t>
            </w:r>
            <w:r>
              <w:rPr>
                <w:rFonts w:hint="eastAsia" w:ascii="宋体" w:hAnsi="宋体" w:eastAsia="宋体" w:cs="宋体"/>
                <w:b/>
                <w:bCs/>
                <w:color w:val="auto"/>
                <w:sz w:val="24"/>
                <w:szCs w:val="24"/>
                <w:highlight w:val="none"/>
              </w:rPr>
              <w:t>，无法满足要求以废标处理，</w:t>
            </w:r>
            <w:r>
              <w:rPr>
                <w:rFonts w:hint="eastAsia" w:ascii="宋体" w:hAnsi="宋体" w:cs="宋体"/>
                <w:b/>
                <w:bCs/>
                <w:color w:val="auto"/>
                <w:sz w:val="24"/>
                <w:szCs w:val="24"/>
                <w:highlight w:val="none"/>
                <w:lang w:val="en-US" w:eastAsia="zh-CN"/>
              </w:rPr>
              <w:t>如不能按期交货的</w:t>
            </w:r>
            <w:r>
              <w:rPr>
                <w:rFonts w:hint="eastAsia" w:ascii="宋体" w:hAnsi="宋体" w:eastAsia="宋体" w:cs="宋体"/>
                <w:b/>
                <w:bCs/>
                <w:color w:val="auto"/>
                <w:sz w:val="24"/>
                <w:szCs w:val="24"/>
                <w:highlight w:val="none"/>
              </w:rPr>
              <w:t>采购人可作为废标处理</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如恶意竞标视为扰乱我单位工作秩序和政采云公平询价环境，我单位将上报相关部门处理，记入政府采购黑名单并承担全部赔偿责任。</w:t>
            </w:r>
          </w:p>
          <w:p w14:paraId="19543D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采购人指定地点</w:t>
            </w:r>
          </w:p>
        </w:tc>
      </w:tr>
      <w:tr w14:paraId="3B2366DF">
        <w:tblPrEx>
          <w:tblCellMar>
            <w:top w:w="0" w:type="dxa"/>
            <w:left w:w="108" w:type="dxa"/>
            <w:bottom w:w="0" w:type="dxa"/>
            <w:right w:w="108" w:type="dxa"/>
          </w:tblCellMar>
        </w:tblPrEx>
        <w:trPr>
          <w:trHeight w:val="914"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E5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付款方式及时间</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36C3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合同签订后，货物送至采购人指定地点并安装调试完毕并验收合格后，成交供应商开具发票给采购人，采购人收到发票后在</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个工作日</w:t>
            </w:r>
            <w:r>
              <w:rPr>
                <w:rFonts w:hint="eastAsia" w:ascii="宋体" w:hAnsi="宋体" w:eastAsia="宋体" w:cs="宋体"/>
                <w:b/>
                <w:bCs/>
                <w:color w:val="auto"/>
                <w:sz w:val="24"/>
                <w:szCs w:val="24"/>
                <w:highlight w:val="none"/>
                <w:lang w:val="en-US" w:eastAsia="zh-CN"/>
              </w:rPr>
              <w:t>一次性</w:t>
            </w:r>
            <w:r>
              <w:rPr>
                <w:rFonts w:hint="eastAsia" w:ascii="宋体" w:hAnsi="宋体" w:eastAsia="宋体" w:cs="宋体"/>
                <w:b/>
                <w:bCs/>
                <w:color w:val="auto"/>
                <w:sz w:val="24"/>
                <w:szCs w:val="24"/>
                <w:highlight w:val="none"/>
              </w:rPr>
              <w:t>内支付合同款给成交供应商。</w:t>
            </w:r>
          </w:p>
        </w:tc>
      </w:tr>
      <w:tr w14:paraId="569410CF">
        <w:tblPrEx>
          <w:tblCellMar>
            <w:top w:w="0" w:type="dxa"/>
            <w:left w:w="108" w:type="dxa"/>
            <w:bottom w:w="0" w:type="dxa"/>
            <w:right w:w="108" w:type="dxa"/>
          </w:tblCellMar>
        </w:tblPrEx>
        <w:trPr>
          <w:trHeight w:val="477"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3DD9AA">
            <w:pPr>
              <w:bidi w:val="0"/>
              <w:rPr>
                <w:rFonts w:hint="eastAsia" w:ascii="宋体" w:hAnsi="宋体" w:eastAsia="宋体" w:cs="宋体"/>
                <w:sz w:val="24"/>
                <w:szCs w:val="24"/>
                <w:highlight w:val="none"/>
              </w:rPr>
            </w:pPr>
            <w:r>
              <w:rPr>
                <w:rFonts w:hint="eastAsia" w:ascii="宋体" w:hAnsi="宋体" w:eastAsia="宋体" w:cs="宋体"/>
                <w:sz w:val="24"/>
                <w:szCs w:val="24"/>
                <w:lang w:val="en-US" w:eastAsia="zh-CN"/>
              </w:rPr>
              <w:t>▲供货能力</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75098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本项目采购需求中的所有内容为实质性要求，供应商必须实质性满足。</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时技术</w:t>
            </w:r>
            <w:r>
              <w:rPr>
                <w:rFonts w:hint="eastAsia" w:ascii="宋体" w:hAnsi="宋体" w:eastAsia="宋体" w:cs="宋体"/>
                <w:b w:val="0"/>
                <w:bCs w:val="0"/>
                <w:color w:val="auto"/>
                <w:sz w:val="24"/>
                <w:szCs w:val="24"/>
                <w:highlight w:val="none"/>
                <w:lang w:val="en-US" w:eastAsia="zh-CN"/>
              </w:rPr>
              <w:t>参数</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val="en-US" w:eastAsia="zh-CN"/>
              </w:rPr>
              <w:t>要求提供的</w:t>
            </w:r>
            <w:r>
              <w:rPr>
                <w:rFonts w:hint="eastAsia" w:ascii="宋体" w:hAnsi="宋体" w:cs="宋体"/>
                <w:b w:val="0"/>
                <w:bCs w:val="0"/>
                <w:color w:val="auto"/>
                <w:sz w:val="24"/>
                <w:szCs w:val="24"/>
                <w:highlight w:val="none"/>
                <w:lang w:val="en-US" w:eastAsia="zh-CN"/>
              </w:rPr>
              <w:t>检测报告</w:t>
            </w:r>
            <w:r>
              <w:rPr>
                <w:rFonts w:hint="eastAsia" w:ascii="宋体" w:hAnsi="宋体" w:eastAsia="宋体" w:cs="宋体"/>
                <w:b w:val="0"/>
                <w:bCs w:val="0"/>
                <w:color w:val="auto"/>
                <w:sz w:val="24"/>
                <w:szCs w:val="24"/>
                <w:highlight w:val="none"/>
                <w:lang w:eastAsia="zh-CN"/>
              </w:rPr>
              <w:t>（立柱、床母、床板、铁架床）</w:t>
            </w:r>
            <w:r>
              <w:rPr>
                <w:rFonts w:hint="eastAsia" w:ascii="宋体" w:hAnsi="宋体" w:eastAsia="宋体" w:cs="宋体"/>
                <w:b w:val="0"/>
                <w:bCs w:val="0"/>
                <w:color w:val="auto"/>
                <w:sz w:val="24"/>
                <w:szCs w:val="24"/>
                <w:highlight w:val="none"/>
              </w:rPr>
              <w:t>需提供</w:t>
            </w:r>
            <w:r>
              <w:rPr>
                <w:rFonts w:hint="eastAsia" w:ascii="宋体" w:hAnsi="宋体" w:cs="宋体"/>
                <w:b w:val="0"/>
                <w:bCs w:val="0"/>
                <w:color w:val="auto"/>
                <w:sz w:val="24"/>
                <w:szCs w:val="24"/>
                <w:highlight w:val="none"/>
                <w:lang w:val="en-US" w:eastAsia="zh-CN"/>
              </w:rPr>
              <w:t>2022年以来</w:t>
            </w:r>
            <w:r>
              <w:rPr>
                <w:rFonts w:hint="eastAsia" w:ascii="宋体" w:hAnsi="宋体" w:eastAsia="宋体" w:cs="宋体"/>
                <w:b w:val="0"/>
                <w:bCs w:val="0"/>
                <w:color w:val="auto"/>
                <w:sz w:val="24"/>
                <w:szCs w:val="24"/>
                <w:highlight w:val="none"/>
              </w:rPr>
              <w:t>第三方检验机构出具的按相关国家标准检测的合格检测报告复印件，并随报价文件一起上传，否则报价无效，对不能满足参数要求虚假响应，或者无法正常交货影响业主办公使用的，采购人可作为废标处理，并按规定对投标公司予以投诉处理。</w:t>
            </w:r>
          </w:p>
          <w:p w14:paraId="2670A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b w:val="0"/>
                <w:bCs w:val="0"/>
                <w:color w:val="auto"/>
                <w:sz w:val="24"/>
                <w:szCs w:val="24"/>
                <w:highlight w:val="none"/>
              </w:rPr>
              <w:t>成交结果确认后3天内签订合同时需提交符合招标参数要求检测报告供采购方逐一核查，否则做无效成交处理未满足要求将视为虚假应标，以废标处理。报价单位必须认真审核招标文件所有要求，如明知不满足招标文件要求进行恶意竞争的，将根据《政采云平台电子卖场权益维护及纠纷处理规则》的规定报财政部门处理</w:t>
            </w:r>
            <w:r>
              <w:rPr>
                <w:rFonts w:hint="eastAsia" w:ascii="宋体" w:hAnsi="宋体"/>
                <w:color w:val="auto"/>
                <w:sz w:val="24"/>
                <w:szCs w:val="24"/>
                <w:highlight w:val="none"/>
              </w:rPr>
              <w:t>。</w:t>
            </w:r>
          </w:p>
        </w:tc>
      </w:tr>
      <w:tr w14:paraId="3AEFBADF">
        <w:tblPrEx>
          <w:tblCellMar>
            <w:top w:w="0" w:type="dxa"/>
            <w:left w:w="108" w:type="dxa"/>
            <w:bottom w:w="0" w:type="dxa"/>
            <w:right w:w="108" w:type="dxa"/>
          </w:tblCellMar>
        </w:tblPrEx>
        <w:trPr>
          <w:trHeight w:val="477"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F899B2">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▲其他要求</w:t>
            </w:r>
          </w:p>
        </w:tc>
        <w:tc>
          <w:tcPr>
            <w:tcW w:w="125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57D4B">
            <w:pPr>
              <w:spacing w:line="360" w:lineRule="auto"/>
              <w:ind w:firstLine="420" w:firstLineChars="0"/>
              <w:rPr>
                <w:rFonts w:hint="eastAsia"/>
                <w:sz w:val="24"/>
                <w:szCs w:val="24"/>
                <w:highlight w:val="none"/>
                <w:lang w:val="en-US" w:eastAsia="zh-CN"/>
              </w:rPr>
            </w:pPr>
            <w:r>
              <w:rPr>
                <w:rFonts w:hint="eastAsia" w:ascii="宋体" w:hAnsi="宋体" w:eastAsia="宋体" w:cs="宋体"/>
                <w:b w:val="0"/>
                <w:bCs w:val="0"/>
                <w:color w:val="auto"/>
                <w:sz w:val="24"/>
                <w:szCs w:val="24"/>
                <w:highlight w:val="none"/>
              </w:rPr>
              <w:t>本项目</w:t>
            </w:r>
            <w:r>
              <w:rPr>
                <w:rFonts w:hint="eastAsia" w:ascii="宋体" w:hAnsi="宋体" w:cs="宋体"/>
                <w:b w:val="0"/>
                <w:bCs w:val="0"/>
                <w:color w:val="auto"/>
                <w:sz w:val="24"/>
                <w:szCs w:val="24"/>
                <w:highlight w:val="none"/>
                <w:lang w:val="en-US" w:eastAsia="zh-CN"/>
              </w:rPr>
              <w:t>推荐</w:t>
            </w:r>
            <w:r>
              <w:rPr>
                <w:rFonts w:hint="eastAsia" w:ascii="宋体" w:hAnsi="宋体" w:eastAsia="宋体" w:cs="宋体"/>
                <w:b w:val="0"/>
                <w:bCs w:val="0"/>
                <w:color w:val="auto"/>
                <w:sz w:val="24"/>
                <w:szCs w:val="24"/>
                <w:highlight w:val="none"/>
              </w:rPr>
              <w:t>品牌为</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美科、永亨、幼仪家具、聚成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品牌的产品</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供应商应仅就推荐品牌报价，</w:t>
            </w:r>
            <w:r>
              <w:rPr>
                <w:rFonts w:hint="eastAsia" w:ascii="宋体" w:hAnsi="宋体" w:eastAsia="宋体" w:cs="宋体"/>
                <w:b w:val="0"/>
                <w:bCs w:val="0"/>
                <w:color w:val="auto"/>
                <w:sz w:val="24"/>
                <w:szCs w:val="24"/>
                <w:highlight w:val="none"/>
              </w:rPr>
              <w:t>为确保采购人的合法权</w:t>
            </w:r>
            <w:r>
              <w:rPr>
                <w:rFonts w:hint="eastAsia" w:ascii="宋体" w:hAnsi="宋体" w:eastAsia="宋体" w:cs="宋体"/>
                <w:b w:val="0"/>
                <w:bCs w:val="0"/>
                <w:color w:val="000000" w:themeColor="text1"/>
                <w:sz w:val="24"/>
                <w:szCs w:val="24"/>
                <w:highlight w:val="none"/>
                <w14:textFill>
                  <w14:solidFill>
                    <w14:schemeClr w14:val="tx1"/>
                  </w14:solidFill>
                </w14:textFill>
              </w:rPr>
              <w:t>益，报价时必须</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上传</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b w:val="0"/>
                <w:bCs w:val="0"/>
                <w:color w:val="000000" w:themeColor="text1"/>
                <w:sz w:val="24"/>
                <w:szCs w:val="24"/>
                <w:highlight w:val="none"/>
                <w14:textFill>
                  <w14:solidFill>
                    <w14:schemeClr w14:val="tx1"/>
                  </w14:solidFill>
                </w14:textFill>
              </w:rPr>
              <w:t>品牌</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的生产厂家</w:t>
            </w:r>
            <w:r>
              <w:rPr>
                <w:rFonts w:hint="eastAsia" w:ascii="宋体" w:hAnsi="宋体" w:eastAsia="宋体" w:cs="宋体"/>
                <w:b w:val="0"/>
                <w:bCs w:val="0"/>
                <w:color w:val="000000" w:themeColor="text1"/>
                <w:sz w:val="24"/>
                <w:szCs w:val="24"/>
                <w:highlight w:val="none"/>
                <w14:textFill>
                  <w14:solidFill>
                    <w14:schemeClr w14:val="tx1"/>
                  </w14:solidFill>
                </w14:textFill>
              </w:rPr>
              <w:t>授权书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及商标注册证书</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否则报价将</w:t>
            </w:r>
            <w:bookmarkStart w:id="1" w:name="_GoBack"/>
            <w:bookmarkEnd w:id="1"/>
            <w:r>
              <w:rPr>
                <w:rFonts w:hint="eastAsia" w:ascii="宋体" w:hAnsi="宋体" w:eastAsia="宋体" w:cs="宋体"/>
                <w:b w:val="0"/>
                <w:bCs w:val="0"/>
                <w:color w:val="000000" w:themeColor="text1"/>
                <w:sz w:val="24"/>
                <w:szCs w:val="24"/>
                <w:highlight w:val="none"/>
                <w14:textFill>
                  <w14:solidFill>
                    <w14:schemeClr w14:val="tx1"/>
                  </w14:solidFill>
                </w14:textFill>
              </w:rPr>
              <w:t>无效。成</w:t>
            </w:r>
            <w:r>
              <w:rPr>
                <w:rFonts w:hint="eastAsia" w:ascii="宋体" w:hAnsi="宋体" w:eastAsia="宋体" w:cs="宋体"/>
                <w:b w:val="0"/>
                <w:bCs w:val="0"/>
                <w:color w:val="auto"/>
                <w:sz w:val="24"/>
                <w:szCs w:val="24"/>
                <w:highlight w:val="none"/>
              </w:rPr>
              <w:t>交供应商必须按项目中要求品牌型号及参数来供货;产品必须能够满足招标产品参数要求，对不能满足参数要求做虚假响应，或者无法正常交货影响采购人使用的采购人可作为废标处理，</w:t>
            </w:r>
            <w:r>
              <w:rPr>
                <w:rFonts w:ascii="Arial" w:hAnsi="Arial" w:eastAsia="Arial" w:cs="Arial"/>
                <w:b w:val="0"/>
                <w:bCs w:val="0"/>
                <w:i w:val="0"/>
                <w:iCs w:val="0"/>
                <w:caps w:val="0"/>
                <w:color w:val="auto"/>
                <w:spacing w:val="0"/>
                <w:sz w:val="24"/>
                <w:szCs w:val="24"/>
                <w:highlight w:val="none"/>
                <w:shd w:val="clear" w:fill="FFFFFF"/>
              </w:rPr>
              <w:t>如恶意竞标视为扰乱我单位工作秩序和政采云公平询价环境，我单位将上报相关部门处理，记入政府采购黑名单并承担全部赔偿责任</w:t>
            </w:r>
            <w:r>
              <w:rPr>
                <w:rFonts w:hint="eastAsia" w:ascii="宋体" w:hAnsi="宋体" w:eastAsia="宋体" w:cs="宋体"/>
                <w:b w:val="0"/>
                <w:bCs w:val="0"/>
                <w:color w:val="auto"/>
                <w:sz w:val="24"/>
                <w:szCs w:val="24"/>
                <w:highlight w:val="none"/>
              </w:rPr>
              <w:t>。</w:t>
            </w:r>
          </w:p>
        </w:tc>
      </w:tr>
    </w:tbl>
    <w:p w14:paraId="536B552F">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E05CA"/>
    <w:rsid w:val="012C6ED2"/>
    <w:rsid w:val="038D2FC8"/>
    <w:rsid w:val="084B6920"/>
    <w:rsid w:val="0B4F5E2D"/>
    <w:rsid w:val="0D062DFD"/>
    <w:rsid w:val="13965805"/>
    <w:rsid w:val="18CB49CA"/>
    <w:rsid w:val="1B74043A"/>
    <w:rsid w:val="1CBA68CB"/>
    <w:rsid w:val="1E6A5438"/>
    <w:rsid w:val="223D2C87"/>
    <w:rsid w:val="237A44CD"/>
    <w:rsid w:val="23BF1764"/>
    <w:rsid w:val="241430A6"/>
    <w:rsid w:val="298B08BD"/>
    <w:rsid w:val="346E574E"/>
    <w:rsid w:val="44D46E2A"/>
    <w:rsid w:val="44E36037"/>
    <w:rsid w:val="46354FE5"/>
    <w:rsid w:val="4B022465"/>
    <w:rsid w:val="4DC4238C"/>
    <w:rsid w:val="4EF410AB"/>
    <w:rsid w:val="4FF54084"/>
    <w:rsid w:val="533B6B4E"/>
    <w:rsid w:val="53990DA0"/>
    <w:rsid w:val="554D1C4A"/>
    <w:rsid w:val="5A267E5F"/>
    <w:rsid w:val="5A784DBF"/>
    <w:rsid w:val="5AE00239"/>
    <w:rsid w:val="5FD660A7"/>
    <w:rsid w:val="6B8E05CA"/>
    <w:rsid w:val="6BB45B92"/>
    <w:rsid w:val="74676F1B"/>
    <w:rsid w:val="79F93444"/>
    <w:rsid w:val="7C602EC0"/>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240" w:lineRule="auto"/>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宋体"/>
      <w:b/>
      <w:sz w:val="32"/>
    </w:rPr>
  </w:style>
  <w:style w:type="paragraph" w:styleId="5">
    <w:name w:val="heading 3"/>
    <w:basedOn w:val="1"/>
    <w:next w:val="1"/>
    <w:link w:val="15"/>
    <w:semiHidden/>
    <w:unhideWhenUsed/>
    <w:qFormat/>
    <w:uiPriority w:val="0"/>
    <w:pPr>
      <w:keepNext/>
      <w:keepLines/>
      <w:spacing w:line="240" w:lineRule="auto"/>
      <w:outlineLvl w:val="2"/>
    </w:pPr>
    <w:rPr>
      <w:rFonts w:ascii="Calibri" w:hAnsi="Calibri" w:eastAsia="宋体" w:cs="Times New Roman"/>
      <w:b/>
      <w:bCs/>
      <w:sz w:val="32"/>
      <w:szCs w:val="32"/>
    </w:rPr>
  </w:style>
  <w:style w:type="paragraph" w:styleId="6">
    <w:name w:val="heading 4"/>
    <w:basedOn w:val="1"/>
    <w:next w:val="1"/>
    <w:semiHidden/>
    <w:unhideWhenUsed/>
    <w:qFormat/>
    <w:uiPriority w:val="0"/>
    <w:pPr>
      <w:tabs>
        <w:tab w:val="left" w:pos="2155"/>
      </w:tabs>
      <w:adjustRightInd w:val="0"/>
      <w:spacing w:line="360" w:lineRule="auto"/>
      <w:ind w:left="2155" w:hanging="1078"/>
      <w:textAlignment w:val="baseline"/>
      <w:outlineLvl w:val="3"/>
    </w:pPr>
    <w:rPr>
      <w:rFonts w:ascii="Arial" w:hAnsi="Arial" w:eastAsia="宋体" w:cs="Times New Roman"/>
      <w:sz w:val="28"/>
      <w:szCs w:val="20"/>
    </w:rPr>
  </w:style>
  <w:style w:type="paragraph" w:styleId="7">
    <w:name w:val="heading 5"/>
    <w:basedOn w:val="1"/>
    <w:next w:val="1"/>
    <w:semiHidden/>
    <w:unhideWhenUsed/>
    <w:qFormat/>
    <w:uiPriority w:val="0"/>
    <w:pPr>
      <w:keepNext/>
      <w:keepLines/>
      <w:spacing w:beforeLines="0" w:beforeAutospacing="0" w:afterLines="0" w:afterAutospacing="0" w:line="240" w:lineRule="auto"/>
      <w:outlineLvl w:val="4"/>
    </w:pPr>
    <w:rPr>
      <w:rFonts w:ascii="Times New Roman" w:hAnsi="Times New Roman" w:eastAsia="宋体" w:cs="Times New Roman"/>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ascii="Times New Roman" w:hAnsi="Times New Roman" w:eastAsia="宋体"/>
      <w:b/>
      <w:sz w:val="24"/>
    </w:rPr>
  </w:style>
  <w:style w:type="paragraph" w:styleId="8">
    <w:name w:val="Body Text"/>
    <w:basedOn w:val="1"/>
    <w:qFormat/>
    <w:uiPriority w:val="0"/>
    <w:pPr>
      <w:spacing w:after="120" w:afterLines="0" w:afterAutospacing="0"/>
    </w:pPr>
  </w:style>
  <w:style w:type="paragraph" w:styleId="9">
    <w:name w:val="Body Text Indent 3"/>
    <w:basedOn w:val="1"/>
    <w:qFormat/>
    <w:uiPriority w:val="99"/>
    <w:pPr>
      <w:spacing w:after="120"/>
      <w:ind w:left="420" w:leftChars="200"/>
    </w:pPr>
    <w:rPr>
      <w:sz w:val="16"/>
      <w:szCs w:val="16"/>
    </w:rPr>
  </w:style>
  <w:style w:type="paragraph" w:styleId="10">
    <w:name w:val="toc 2"/>
    <w:basedOn w:val="1"/>
    <w:next w:val="1"/>
    <w:qFormat/>
    <w:uiPriority w:val="0"/>
    <w:pPr>
      <w:ind w:left="420" w:leftChars="200"/>
    </w:pPr>
    <w:rPr>
      <w:rFonts w:asciiTheme="minorAscii" w:hAnsiTheme="minorAscii" w:eastAsiaTheme="minorEastAsia" w:cstheme="minorBidi"/>
      <w:b/>
      <w:sz w:val="24"/>
      <w:szCs w:val="22"/>
      <w14:ligatures w14:val="standardContextual"/>
    </w:rPr>
  </w:style>
  <w:style w:type="paragraph" w:styleId="11">
    <w:name w:val="Body Text First Indent"/>
    <w:basedOn w:val="1"/>
    <w:qFormat/>
    <w:uiPriority w:val="0"/>
    <w:pPr>
      <w:spacing w:after="0" w:line="380" w:lineRule="exact"/>
      <w:ind w:firstLine="420" w:firstLineChars="100"/>
    </w:pPr>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link w:val="5"/>
    <w:qFormat/>
    <w:uiPriority w:val="0"/>
    <w:rPr>
      <w:rFonts w:ascii="Calibri" w:hAnsi="Calibri" w:eastAsia="宋体" w:cs="Times New Roman"/>
      <w:b/>
      <w:bCs/>
      <w:kern w:val="2"/>
      <w:sz w:val="32"/>
      <w:szCs w:val="32"/>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正文-公1"/>
    <w:basedOn w:val="1"/>
    <w:qFormat/>
    <w:uiPriority w:val="0"/>
    <w:pPr>
      <w:ind w:firstLine="200" w:firstLineChars="200"/>
    </w:pPr>
    <w:rPr>
      <w:rFonts w:ascii="Calibri" w:hAnsi="Calibri" w:eastAsia="等线" w:cs="Arial"/>
    </w:rPr>
  </w:style>
  <w:style w:type="paragraph" w:customStyle="1" w:styleId="18">
    <w:name w:val="Table Paragraph"/>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3176</Words>
  <Characters>3570</Characters>
  <Lines>0</Lines>
  <Paragraphs>0</Paragraphs>
  <TotalTime>3</TotalTime>
  <ScaleCrop>false</ScaleCrop>
  <LinksUpToDate>false</LinksUpToDate>
  <CharactersWithSpaces>3584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2025-05-10T03:29:00Z</dcterms:created>
  <dc:creator>A教学家具-覃月玲13557688668</dc:creator>
  <cp:lastModifiedBy>秋枫</cp:lastModifiedBy>
  <dcterms:modified xsi:type="dcterms:W3CDTF">2025-06-06T11:01:29Z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BC61CEA4CC9A40D3B33D13415772ECC3_13</vt:lpwstr>
  </property>
  <property fmtid="{D5CDD505-2E9C-101B-9397-08002B2CF9AE}" pid="4" name="KSOTemplateDocerSaveRecord">
    <vt:lpwstr>eyJoZGlkIjoiMjY4MmI5NGU4YTlhMTliNTAyYjBlOTE4NGZlMWEzMDQiLCJ1c2VySWQiOiI3NzU1MTczMzUifQ==</vt:lpwstr>
  </property>
</Properties>
</file>