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2DE1B">
      <w:pPr>
        <w:pStyle w:val="23"/>
        <w:spacing w:afterLines="100"/>
        <w:jc w:val="center"/>
        <w:rPr>
          <w:rFonts w:ascii="楷体_GB2312" w:eastAsia="楷体_GB2312" w:cs="Times New Roman"/>
          <w:b/>
          <w:bCs/>
          <w:sz w:val="72"/>
          <w:szCs w:val="72"/>
        </w:rPr>
      </w:pPr>
    </w:p>
    <w:p w14:paraId="3527F5D3">
      <w:pPr>
        <w:pStyle w:val="23"/>
        <w:spacing w:afterLines="100"/>
        <w:jc w:val="center"/>
        <w:rPr>
          <w:rFonts w:ascii="楷体_GB2312" w:eastAsia="楷体_GB2312" w:cs="Times New Roman"/>
          <w:b/>
          <w:bCs/>
          <w:sz w:val="72"/>
          <w:szCs w:val="72"/>
        </w:rPr>
      </w:pPr>
      <w:r>
        <w:rPr>
          <w:rFonts w:hint="eastAsia" w:ascii="楷体_GB2312" w:eastAsia="楷体_GB2312" w:cs="Times New Roman"/>
          <w:b/>
          <w:bCs/>
          <w:sz w:val="72"/>
          <w:szCs w:val="72"/>
        </w:rPr>
        <w:t>梧州</w:t>
      </w:r>
      <w:r>
        <w:rPr>
          <w:rFonts w:ascii="楷体_GB2312" w:eastAsia="楷体_GB2312" w:cs="Times New Roman"/>
          <w:b/>
          <w:bCs/>
          <w:sz w:val="72"/>
          <w:szCs w:val="72"/>
        </w:rPr>
        <w:t>学院</w:t>
      </w:r>
    </w:p>
    <w:p w14:paraId="3B7DDB06">
      <w:pPr>
        <w:pStyle w:val="23"/>
        <w:spacing w:afterLines="100"/>
        <w:jc w:val="center"/>
        <w:rPr>
          <w:rFonts w:ascii="楷体_GB2312" w:eastAsia="楷体_GB2312" w:cs="Times New Roman"/>
          <w:b/>
          <w:bCs/>
          <w:sz w:val="72"/>
          <w:szCs w:val="72"/>
        </w:rPr>
      </w:pPr>
    </w:p>
    <w:p w14:paraId="593C62AE">
      <w:pPr>
        <w:pStyle w:val="23"/>
        <w:spacing w:afterLines="100"/>
        <w:jc w:val="center"/>
        <w:rPr>
          <w:rFonts w:hAnsi="宋体"/>
          <w:sz w:val="36"/>
          <w:szCs w:val="36"/>
        </w:rPr>
      </w:pPr>
      <w:r>
        <w:rPr>
          <w:rFonts w:hint="eastAsia" w:ascii="楷体_GB2312" w:eastAsia="楷体_GB2312" w:cs="Times New Roman"/>
          <w:b/>
          <w:bCs/>
          <w:sz w:val="72"/>
          <w:szCs w:val="72"/>
        </w:rPr>
        <w:t>在线询价文件</w:t>
      </w:r>
    </w:p>
    <w:p w14:paraId="546A62BB">
      <w:pPr>
        <w:pStyle w:val="23"/>
        <w:spacing w:afterLines="100"/>
        <w:ind w:firstLine="1800" w:firstLineChars="500"/>
        <w:jc w:val="left"/>
        <w:rPr>
          <w:rFonts w:hAnsi="宋体"/>
          <w:sz w:val="36"/>
          <w:szCs w:val="36"/>
        </w:rPr>
      </w:pPr>
    </w:p>
    <w:p w14:paraId="62C4D7DE">
      <w:pPr>
        <w:pStyle w:val="23"/>
        <w:spacing w:afterLines="100"/>
        <w:ind w:firstLine="1800" w:firstLineChars="500"/>
        <w:jc w:val="left"/>
        <w:rPr>
          <w:rFonts w:hAnsi="宋体"/>
          <w:sz w:val="36"/>
          <w:szCs w:val="36"/>
        </w:rPr>
      </w:pPr>
    </w:p>
    <w:p w14:paraId="5D550679">
      <w:pPr>
        <w:rPr>
          <w:rFonts w:ascii="方正小标宋简体" w:hAnsi="方正小标宋简体" w:eastAsia="方正小标宋简体" w:cs="方正小标宋简体"/>
          <w:sz w:val="32"/>
          <w:szCs w:val="32"/>
        </w:rPr>
      </w:pPr>
    </w:p>
    <w:p w14:paraId="04F1B74C">
      <w:pPr>
        <w:rPr>
          <w:rFonts w:ascii="方正小标宋简体" w:hAnsi="方正小标宋简体" w:eastAsia="方正小标宋简体" w:cs="方正小标宋简体"/>
          <w:sz w:val="32"/>
          <w:szCs w:val="32"/>
        </w:rPr>
      </w:pPr>
    </w:p>
    <w:p w14:paraId="6C150F90">
      <w:pPr>
        <w:rPr>
          <w:rFonts w:ascii="方正小标宋简体" w:hAnsi="方正小标宋简体" w:eastAsia="方正小标宋简体" w:cs="方正小标宋简体"/>
          <w:sz w:val="32"/>
          <w:szCs w:val="32"/>
        </w:rPr>
      </w:pPr>
    </w:p>
    <w:p w14:paraId="1A618620">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项目名称：梧州学院明理楼一楼中庭改造项目会议设备、</w:t>
      </w:r>
    </w:p>
    <w:p w14:paraId="77130538">
      <w:pPr>
        <w:ind w:firstLine="1600" w:firstLineChars="50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定制家具</w:t>
      </w:r>
    </w:p>
    <w:p w14:paraId="0E5D63E1">
      <w:pP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项目编号：GXUWZ-</w:t>
      </w:r>
      <w:r>
        <w:rPr>
          <w:rFonts w:hint="eastAsia" w:ascii="方正小标宋简体" w:hAnsi="方正小标宋简体" w:eastAsia="方正小标宋简体" w:cs="方正小标宋简体"/>
          <w:sz w:val="32"/>
          <w:szCs w:val="32"/>
          <w:lang w:val="en-US" w:eastAsia="zh-CN"/>
        </w:rPr>
        <w:t xml:space="preserve"> 2025JJK01</w:t>
      </w:r>
      <w:r>
        <w:rPr>
          <w:rFonts w:hint="eastAsia" w:ascii="方正小标宋简体" w:hAnsi="方正小标宋简体" w:eastAsia="方正小标宋简体" w:cs="方正小标宋简体"/>
          <w:sz w:val="32"/>
          <w:szCs w:val="32"/>
        </w:rPr>
        <w:t>号</w:t>
      </w:r>
    </w:p>
    <w:p w14:paraId="58431E3C">
      <w:pPr>
        <w:rPr>
          <w:rFonts w:ascii="方正小标宋简体" w:hAnsi="方正小标宋简体" w:eastAsia="方正小标宋简体" w:cs="方正小标宋简体"/>
          <w:sz w:val="32"/>
          <w:szCs w:val="32"/>
        </w:rPr>
      </w:pPr>
    </w:p>
    <w:p w14:paraId="1AA00209">
      <w:pPr>
        <w:jc w:val="center"/>
        <w:rPr>
          <w:rFonts w:ascii="方正小标宋简体" w:hAnsi="方正小标宋简体" w:eastAsia="方正小标宋简体" w:cs="方正小标宋简体"/>
          <w:sz w:val="32"/>
          <w:szCs w:val="32"/>
        </w:rPr>
      </w:pPr>
    </w:p>
    <w:p w14:paraId="1A0557F5">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梧州学院</w:t>
      </w:r>
      <w:r>
        <w:rPr>
          <w:rFonts w:hint="eastAsia" w:ascii="方正小标宋简体" w:hAnsi="方正小标宋简体" w:eastAsia="方正小标宋简体" w:cs="方正小标宋简体"/>
          <w:sz w:val="32"/>
          <w:szCs w:val="32"/>
          <w:lang w:val="en-US" w:eastAsia="zh-CN"/>
        </w:rPr>
        <w:t>后勤基建</w:t>
      </w:r>
      <w:bookmarkStart w:id="4" w:name="_GoBack"/>
      <w:bookmarkEnd w:id="4"/>
      <w:r>
        <w:rPr>
          <w:rFonts w:hint="eastAsia" w:ascii="方正小标宋简体" w:hAnsi="方正小标宋简体" w:eastAsia="方正小标宋简体" w:cs="方正小标宋简体"/>
          <w:sz w:val="32"/>
          <w:szCs w:val="32"/>
        </w:rPr>
        <w:t>处</w:t>
      </w:r>
    </w:p>
    <w:p w14:paraId="6A960855">
      <w:pPr>
        <w:jc w:val="cente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lang w:val="en-US" w:eastAsia="zh-CN"/>
        </w:rPr>
        <w:t>3</w:t>
      </w:r>
      <w:r>
        <w:rPr>
          <w:rFonts w:hint="eastAsia" w:ascii="方正小标宋简体" w:hAnsi="方正小标宋简体" w:eastAsia="方正小标宋简体" w:cs="方正小标宋简体"/>
          <w:sz w:val="32"/>
          <w:szCs w:val="32"/>
        </w:rPr>
        <w:t>月</w:t>
      </w:r>
      <w:r>
        <w:br w:type="page"/>
      </w:r>
    </w:p>
    <w:p w14:paraId="31A3184C">
      <w:pPr>
        <w:spacing w:line="360" w:lineRule="auto"/>
        <w:jc w:val="center"/>
        <w:rPr>
          <w:rFonts w:ascii="宋体" w:hAnsi="宋体"/>
          <w:b/>
          <w:bCs/>
          <w:sz w:val="44"/>
          <w:szCs w:val="44"/>
        </w:rPr>
      </w:pPr>
      <w:r>
        <w:rPr>
          <w:rFonts w:hint="eastAsia" w:ascii="宋体" w:hAnsi="宋体"/>
          <w:b/>
          <w:bCs/>
          <w:sz w:val="44"/>
          <w:szCs w:val="44"/>
        </w:rPr>
        <w:t>项目需求</w:t>
      </w:r>
    </w:p>
    <w:tbl>
      <w:tblPr>
        <w:tblStyle w:val="4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080"/>
        <w:gridCol w:w="690"/>
        <w:gridCol w:w="1124"/>
        <w:gridCol w:w="5814"/>
        <w:gridCol w:w="688"/>
      </w:tblGrid>
      <w:tr w14:paraId="19CC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851" w:type="dxa"/>
            <w:gridSpan w:val="6"/>
            <w:tcBorders>
              <w:top w:val="single" w:color="auto" w:sz="4" w:space="0"/>
              <w:left w:val="single" w:color="auto" w:sz="4" w:space="0"/>
              <w:bottom w:val="single" w:color="auto" w:sz="4" w:space="0"/>
              <w:right w:val="single" w:color="auto" w:sz="4" w:space="0"/>
            </w:tcBorders>
            <w:vAlign w:val="center"/>
          </w:tcPr>
          <w:p w14:paraId="651C0650">
            <w:pPr>
              <w:spacing w:line="360" w:lineRule="auto"/>
              <w:rPr>
                <w:rFonts w:ascii="宋体" w:hAnsi="宋体"/>
                <w:b/>
                <w:i/>
                <w:szCs w:val="21"/>
              </w:rPr>
            </w:pPr>
            <w:r>
              <w:rPr>
                <w:rFonts w:ascii="宋体" w:hAnsi="宋体"/>
                <w:b/>
                <w:iCs/>
                <w:szCs w:val="21"/>
              </w:rPr>
              <w:t>一、项目要求及技术需求</w:t>
            </w:r>
          </w:p>
        </w:tc>
      </w:tr>
      <w:tr w14:paraId="5E0D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tcBorders>
              <w:top w:val="single" w:color="auto" w:sz="4" w:space="0"/>
              <w:left w:val="single" w:color="auto" w:sz="4" w:space="0"/>
              <w:bottom w:val="single" w:color="auto" w:sz="4" w:space="0"/>
              <w:right w:val="single" w:color="auto" w:sz="4" w:space="0"/>
            </w:tcBorders>
            <w:vAlign w:val="center"/>
          </w:tcPr>
          <w:p w14:paraId="47894F16">
            <w:pPr>
              <w:jc w:val="center"/>
              <w:rPr>
                <w:rFonts w:ascii="宋体" w:hAnsi="宋体"/>
                <w:b/>
                <w:iCs/>
                <w:szCs w:val="21"/>
              </w:rPr>
            </w:pPr>
            <w:r>
              <w:rPr>
                <w:rFonts w:hint="eastAsia" w:ascii="宋体" w:hAnsi="宋体"/>
                <w:b/>
                <w:iCs/>
                <w:szCs w:val="21"/>
              </w:rPr>
              <w:t>项</w:t>
            </w:r>
          </w:p>
          <w:p w14:paraId="6FE9E4CA">
            <w:pPr>
              <w:jc w:val="center"/>
              <w:rPr>
                <w:rFonts w:ascii="宋体" w:hAnsi="宋体"/>
                <w:b/>
                <w:iCs/>
                <w:szCs w:val="21"/>
              </w:rPr>
            </w:pPr>
            <w:r>
              <w:rPr>
                <w:rFonts w:hint="eastAsia" w:ascii="宋体" w:hAnsi="宋体"/>
                <w:b/>
                <w:iCs/>
                <w:szCs w:val="21"/>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5E910961">
            <w:pPr>
              <w:jc w:val="center"/>
              <w:rPr>
                <w:rFonts w:ascii="宋体" w:hAnsi="宋体"/>
                <w:b/>
                <w:iCs/>
                <w:szCs w:val="21"/>
              </w:rPr>
            </w:pPr>
            <w:r>
              <w:rPr>
                <w:rFonts w:hint="eastAsia" w:ascii="宋体" w:hAnsi="宋体"/>
                <w:b/>
                <w:iCs/>
                <w:szCs w:val="21"/>
              </w:rPr>
              <w:t>采购</w:t>
            </w:r>
          </w:p>
          <w:p w14:paraId="4E316BC7">
            <w:pPr>
              <w:jc w:val="center"/>
              <w:rPr>
                <w:rFonts w:ascii="宋体" w:hAnsi="宋体"/>
                <w:b/>
                <w:iCs/>
                <w:szCs w:val="21"/>
              </w:rPr>
            </w:pPr>
            <w:r>
              <w:rPr>
                <w:rFonts w:hint="eastAsia" w:ascii="宋体" w:hAnsi="宋体"/>
                <w:b/>
                <w:iCs/>
                <w:szCs w:val="21"/>
              </w:rPr>
              <w:t>标的</w:t>
            </w:r>
          </w:p>
        </w:tc>
        <w:tc>
          <w:tcPr>
            <w:tcW w:w="690" w:type="dxa"/>
            <w:tcBorders>
              <w:top w:val="single" w:color="auto" w:sz="4" w:space="0"/>
              <w:left w:val="single" w:color="auto" w:sz="4" w:space="0"/>
              <w:bottom w:val="single" w:color="auto" w:sz="4" w:space="0"/>
              <w:right w:val="single" w:color="auto" w:sz="4" w:space="0"/>
            </w:tcBorders>
            <w:vAlign w:val="center"/>
          </w:tcPr>
          <w:p w14:paraId="299D3B1B">
            <w:pPr>
              <w:jc w:val="center"/>
              <w:rPr>
                <w:rFonts w:ascii="宋体" w:hAnsi="宋体"/>
                <w:b/>
                <w:iCs/>
                <w:szCs w:val="21"/>
              </w:rPr>
            </w:pPr>
            <w:r>
              <w:rPr>
                <w:rFonts w:hint="eastAsia" w:ascii="宋体" w:hAnsi="宋体"/>
                <w:b/>
                <w:iCs/>
                <w:szCs w:val="21"/>
              </w:rPr>
              <w:t>数量</w:t>
            </w:r>
          </w:p>
          <w:p w14:paraId="6E703EC8">
            <w:pPr>
              <w:jc w:val="center"/>
              <w:rPr>
                <w:rFonts w:ascii="宋体" w:hAnsi="宋体"/>
                <w:b/>
                <w:iCs/>
                <w:szCs w:val="21"/>
              </w:rPr>
            </w:pPr>
            <w:r>
              <w:rPr>
                <w:rFonts w:hint="eastAsia" w:ascii="宋体" w:hAnsi="宋体"/>
                <w:b/>
                <w:iCs/>
                <w:szCs w:val="21"/>
              </w:rPr>
              <w:t>单位</w:t>
            </w:r>
          </w:p>
        </w:tc>
        <w:tc>
          <w:tcPr>
            <w:tcW w:w="1124" w:type="dxa"/>
            <w:tcBorders>
              <w:top w:val="single" w:color="auto" w:sz="4" w:space="0"/>
              <w:left w:val="single" w:color="auto" w:sz="4" w:space="0"/>
              <w:bottom w:val="single" w:color="auto" w:sz="4" w:space="0"/>
              <w:right w:val="single" w:color="auto" w:sz="4" w:space="0"/>
            </w:tcBorders>
            <w:vAlign w:val="center"/>
          </w:tcPr>
          <w:p w14:paraId="00A3A7C9">
            <w:pPr>
              <w:jc w:val="center"/>
              <w:rPr>
                <w:rFonts w:ascii="宋体" w:hAnsi="宋体"/>
                <w:b/>
                <w:bCs/>
                <w:iCs/>
              </w:rPr>
            </w:pPr>
            <w:r>
              <w:rPr>
                <w:rFonts w:hint="eastAsia" w:ascii="宋体" w:hAnsi="宋体"/>
                <w:b/>
                <w:bCs/>
                <w:iCs/>
              </w:rPr>
              <w:t>推荐品牌及</w:t>
            </w:r>
            <w:r>
              <w:rPr>
                <w:rFonts w:ascii="宋体" w:hAnsi="宋体"/>
                <w:b/>
                <w:bCs/>
                <w:iCs/>
              </w:rPr>
              <w:t>型号</w:t>
            </w:r>
          </w:p>
        </w:tc>
        <w:tc>
          <w:tcPr>
            <w:tcW w:w="5814" w:type="dxa"/>
            <w:tcBorders>
              <w:top w:val="single" w:color="auto" w:sz="4" w:space="0"/>
              <w:left w:val="single" w:color="auto" w:sz="4" w:space="0"/>
              <w:bottom w:val="single" w:color="auto" w:sz="4" w:space="0"/>
              <w:right w:val="single" w:color="auto" w:sz="4" w:space="0"/>
            </w:tcBorders>
            <w:vAlign w:val="center"/>
          </w:tcPr>
          <w:p w14:paraId="21911F69">
            <w:r>
              <w:rPr>
                <w:rFonts w:hint="eastAsia"/>
              </w:rPr>
              <w:t>主要技术参数及性能（配置）要求</w:t>
            </w:r>
          </w:p>
        </w:tc>
        <w:tc>
          <w:tcPr>
            <w:tcW w:w="688" w:type="dxa"/>
            <w:tcBorders>
              <w:top w:val="single" w:color="auto" w:sz="4" w:space="0"/>
              <w:left w:val="single" w:color="auto" w:sz="4" w:space="0"/>
              <w:bottom w:val="single" w:color="auto" w:sz="4" w:space="0"/>
              <w:right w:val="single" w:color="auto" w:sz="4" w:space="0"/>
            </w:tcBorders>
            <w:vAlign w:val="center"/>
          </w:tcPr>
          <w:p w14:paraId="356CBC95">
            <w:pPr>
              <w:jc w:val="center"/>
              <w:rPr>
                <w:rFonts w:ascii="宋体" w:hAnsi="宋体"/>
                <w:b/>
                <w:bCs/>
                <w:iCs/>
              </w:rPr>
            </w:pPr>
            <w:r>
              <w:rPr>
                <w:rFonts w:hint="eastAsia" w:ascii="宋体" w:hAnsi="宋体"/>
                <w:b/>
                <w:bCs/>
                <w:iCs/>
              </w:rPr>
              <w:t>质保期要求</w:t>
            </w:r>
          </w:p>
        </w:tc>
      </w:tr>
      <w:tr w14:paraId="6172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1" w:hRule="atLeast"/>
          <w:jc w:val="center"/>
        </w:trPr>
        <w:tc>
          <w:tcPr>
            <w:tcW w:w="455" w:type="dxa"/>
            <w:tcBorders>
              <w:top w:val="single" w:color="auto" w:sz="4" w:space="0"/>
              <w:left w:val="single" w:color="auto" w:sz="4" w:space="0"/>
              <w:bottom w:val="single" w:color="auto" w:sz="4" w:space="0"/>
              <w:right w:val="single" w:color="auto" w:sz="4" w:space="0"/>
            </w:tcBorders>
            <w:vAlign w:val="center"/>
          </w:tcPr>
          <w:p w14:paraId="26C712DD">
            <w:pPr>
              <w:jc w:val="center"/>
              <w:rPr>
                <w:rFonts w:ascii="微软雅黑" w:hAnsi="微软雅黑" w:eastAsia="微软雅黑"/>
                <w:szCs w:val="21"/>
              </w:rPr>
            </w:pPr>
            <w:r>
              <w:rPr>
                <w:rFonts w:hint="eastAsia" w:ascii="微软雅黑" w:hAnsi="微软雅黑" w:eastAsia="微软雅黑"/>
                <w:szCs w:val="21"/>
              </w:rPr>
              <w:t>1</w:t>
            </w:r>
          </w:p>
        </w:tc>
        <w:tc>
          <w:tcPr>
            <w:tcW w:w="1080" w:type="dxa"/>
            <w:tcBorders>
              <w:top w:val="single" w:color="auto" w:sz="4" w:space="0"/>
              <w:left w:val="single" w:color="auto" w:sz="4" w:space="0"/>
              <w:bottom w:val="single" w:color="auto" w:sz="4" w:space="0"/>
              <w:right w:val="single" w:color="auto" w:sz="4" w:space="0"/>
            </w:tcBorders>
            <w:vAlign w:val="center"/>
          </w:tcPr>
          <w:p w14:paraId="5394A122">
            <w:pPr>
              <w:rPr>
                <w:rFonts w:ascii="宋体" w:hAnsi="宋体" w:cs="宋体"/>
                <w:sz w:val="24"/>
              </w:rPr>
            </w:pPr>
            <w:r>
              <w:rPr>
                <w:rFonts w:hint="eastAsia"/>
              </w:rPr>
              <w:t>LED显示屏</w:t>
            </w:r>
          </w:p>
        </w:tc>
        <w:tc>
          <w:tcPr>
            <w:tcW w:w="690" w:type="dxa"/>
            <w:tcBorders>
              <w:top w:val="single" w:color="auto" w:sz="4" w:space="0"/>
              <w:left w:val="single" w:color="auto" w:sz="4" w:space="0"/>
              <w:bottom w:val="single" w:color="auto" w:sz="4" w:space="0"/>
              <w:right w:val="single" w:color="auto" w:sz="4" w:space="0"/>
            </w:tcBorders>
            <w:vAlign w:val="center"/>
          </w:tcPr>
          <w:p w14:paraId="53BFD32D">
            <w:pPr>
              <w:jc w:val="center"/>
              <w:rPr>
                <w:rFonts w:ascii="宋体" w:hAnsi="宋体" w:cs="宋体"/>
                <w:sz w:val="24"/>
              </w:rPr>
            </w:pPr>
            <w:r>
              <w:rPr>
                <w:rFonts w:hint="eastAsia"/>
              </w:rPr>
              <w:t>10㎡</w:t>
            </w:r>
          </w:p>
        </w:tc>
        <w:tc>
          <w:tcPr>
            <w:tcW w:w="1124" w:type="dxa"/>
            <w:tcBorders>
              <w:top w:val="single" w:color="auto" w:sz="4" w:space="0"/>
              <w:left w:val="single" w:color="auto" w:sz="4" w:space="0"/>
              <w:bottom w:val="single" w:color="auto" w:sz="4" w:space="0"/>
              <w:right w:val="single" w:color="auto" w:sz="4" w:space="0"/>
            </w:tcBorders>
            <w:vAlign w:val="center"/>
          </w:tcPr>
          <w:p w14:paraId="23DDD869">
            <w:r>
              <w:rPr>
                <w:rFonts w:hint="eastAsia"/>
              </w:rPr>
              <w:t>强力巨彩室内Q2.5pro</w:t>
            </w:r>
          </w:p>
        </w:tc>
        <w:tc>
          <w:tcPr>
            <w:tcW w:w="5814" w:type="dxa"/>
            <w:tcBorders>
              <w:top w:val="single" w:color="auto" w:sz="4" w:space="0"/>
              <w:left w:val="single" w:color="auto" w:sz="4" w:space="0"/>
              <w:bottom w:val="single" w:color="auto" w:sz="4" w:space="0"/>
              <w:right w:val="single" w:color="auto" w:sz="4" w:space="0"/>
            </w:tcBorders>
            <w:vAlign w:val="center"/>
          </w:tcPr>
          <w:p w14:paraId="4B302FBC">
            <w:pPr>
              <w:rPr>
                <w:rFonts w:ascii="宋体" w:hAnsi="宋体" w:cs="宋体"/>
                <w:sz w:val="24"/>
              </w:rPr>
            </w:pPr>
            <w:r>
              <w:rPr>
                <w:rFonts w:hint="eastAsia"/>
              </w:rPr>
              <w:t>一、显示屏规格要求：净屏显示尺寸：4.8*2.08≈10㎡</w:t>
            </w:r>
            <w:r>
              <w:rPr>
                <w:rFonts w:hint="eastAsia"/>
              </w:rPr>
              <w:br w:type="textWrapping"/>
            </w:r>
            <w:r>
              <w:rPr>
                <w:rFonts w:hint="eastAsia"/>
              </w:rPr>
              <w:t>1★像素点间距：≤2.5mm</w:t>
            </w:r>
            <w:r>
              <w:rPr>
                <w:rFonts w:hint="eastAsia"/>
              </w:rPr>
              <w:br w:type="textWrapping"/>
            </w:r>
            <w:r>
              <w:rPr>
                <w:rFonts w:hint="eastAsia"/>
              </w:rPr>
              <w:t>2、单元板分辨率：</w:t>
            </w:r>
            <w:r>
              <w:rPr>
                <w:rFonts w:hint="eastAsia"/>
              </w:rPr>
              <w:br w:type="textWrapping"/>
            </w:r>
            <w:r>
              <w:rPr>
                <w:rFonts w:hint="eastAsia"/>
              </w:rPr>
              <w:t>≥8192 Dots</w:t>
            </w:r>
            <w:r>
              <w:rPr>
                <w:rFonts w:hint="eastAsia"/>
              </w:rPr>
              <w:br w:type="textWrapping"/>
            </w:r>
            <w:r>
              <w:rPr>
                <w:rFonts w:hint="eastAsia"/>
              </w:rPr>
              <w:t>3、★刷新率：≥4200Hz，支持通过配套控制软件调节刷新率设置选项</w:t>
            </w:r>
            <w:r>
              <w:rPr>
                <w:rFonts w:hint="eastAsia"/>
              </w:rPr>
              <w:br w:type="textWrapping"/>
            </w:r>
            <w:r>
              <w:rPr>
                <w:rFonts w:hint="eastAsia"/>
              </w:rPr>
              <w:t>4、像素构成：1R、1G、1B</w:t>
            </w:r>
            <w:r>
              <w:rPr>
                <w:rFonts w:hint="eastAsia"/>
              </w:rPr>
              <w:br w:type="textWrapping"/>
            </w:r>
            <w:r>
              <w:rPr>
                <w:rFonts w:hint="eastAsia"/>
              </w:rPr>
              <w:t>5、★封装方式：SMD表贴三合一，铜线封装，五面黑灯，表面不反光</w:t>
            </w:r>
            <w:r>
              <w:rPr>
                <w:rFonts w:hint="eastAsia"/>
              </w:rPr>
              <w:br w:type="textWrapping"/>
            </w:r>
            <w:r>
              <w:rPr>
                <w:rFonts w:hint="eastAsia"/>
              </w:rPr>
              <w:t>6、驱动方式：恒流驱动</w:t>
            </w:r>
            <w:r>
              <w:rPr>
                <w:rFonts w:hint="eastAsia"/>
              </w:rPr>
              <w:br w:type="textWrapping"/>
            </w:r>
            <w:r>
              <w:rPr>
                <w:rFonts w:hint="eastAsia"/>
              </w:rPr>
              <w:t>7、控制方式：同步控制系统</w:t>
            </w:r>
            <w:r>
              <w:rPr>
                <w:rFonts w:hint="eastAsia"/>
              </w:rPr>
              <w:br w:type="textWrapping"/>
            </w:r>
            <w:r>
              <w:rPr>
                <w:rFonts w:hint="eastAsia"/>
              </w:rPr>
              <w:t>8、维护方式：前后双向维护</w:t>
            </w:r>
            <w:r>
              <w:rPr>
                <w:rFonts w:hint="eastAsia"/>
              </w:rPr>
              <w:br w:type="textWrapping"/>
            </w:r>
            <w:r>
              <w:rPr>
                <w:rFonts w:hint="eastAsia"/>
              </w:rPr>
              <w:t>9、整屏平整度≤0.04mm</w:t>
            </w:r>
            <w:r>
              <w:rPr>
                <w:rFonts w:hint="eastAsia"/>
              </w:rPr>
              <w:br w:type="textWrapping"/>
            </w:r>
            <w:r>
              <w:rPr>
                <w:rFonts w:hint="eastAsia"/>
              </w:rPr>
              <w:t>10、白平衡亮度：0-820cd/㎡可调；亮度调节：0-100%亮度可调，256级手动/自动调节，屏幕亮度具有随环境照度的变化任意调整功能；亮度均匀性≥99%</w:t>
            </w:r>
            <w:r>
              <w:rPr>
                <w:rFonts w:hint="eastAsia"/>
              </w:rPr>
              <w:br w:type="textWrapping"/>
            </w:r>
            <w:r>
              <w:rPr>
                <w:rFonts w:hint="eastAsia"/>
              </w:rPr>
              <w:t>11、色温800K-20000K可调；白平衡状态下色温在6500K±5%；色温为6500K时，100%75%50%25%档电平白场调节色温误差≤100K</w:t>
            </w:r>
            <w:r>
              <w:rPr>
                <w:rFonts w:hint="eastAsia"/>
              </w:rPr>
              <w:br w:type="textWrapping"/>
            </w:r>
            <w:r>
              <w:rPr>
                <w:rFonts w:hint="eastAsia"/>
              </w:rPr>
              <w:t>12、水平视角≥175°；垂直视角≥175°</w:t>
            </w:r>
            <w:r>
              <w:rPr>
                <w:rFonts w:hint="eastAsia"/>
              </w:rPr>
              <w:br w:type="textWrapping"/>
            </w:r>
            <w:r>
              <w:rPr>
                <w:rFonts w:hint="eastAsia"/>
              </w:rPr>
              <w:t>13、★对比度≥10000：1</w:t>
            </w:r>
            <w:r>
              <w:rPr>
                <w:rFonts w:hint="eastAsia"/>
              </w:rPr>
              <w:br w:type="textWrapping"/>
            </w:r>
            <w:r>
              <w:rPr>
                <w:rFonts w:hint="eastAsia"/>
              </w:rPr>
              <w:t>14、灰度等级≥16bit，红绿蓝各256级，可达65536级；采用EPWM 灰阶控制技术提升低灰视觉效果，100%亮度时，16bit灰度；70%亮度，16bit灰度；50%亮度，16bit灰度；20%亮度，14bit灰度，显示画面无单列或单行像素失控现象；支持0-100%亮度时，8-16bits灰度自定义设置</w:t>
            </w:r>
            <w:r>
              <w:rPr>
                <w:rFonts w:hint="eastAsia"/>
              </w:rPr>
              <w:br w:type="textWrapping"/>
            </w:r>
            <w:r>
              <w:rPr>
                <w:rFonts w:hint="eastAsia"/>
              </w:rPr>
              <w:t>15、峰值功耗≤250W/m²；平均功耗≤100W/m²</w:t>
            </w:r>
            <w:r>
              <w:rPr>
                <w:rFonts w:hint="eastAsia"/>
              </w:rPr>
              <w:br w:type="textWrapping"/>
            </w:r>
            <w:r>
              <w:rPr>
                <w:rFonts w:hint="eastAsia"/>
              </w:rPr>
              <w:t>16、供电电源：在4.2*（1±10%）VDC～4.5*（1±10%）VDC范围内能正常工作</w:t>
            </w:r>
            <w:r>
              <w:rPr>
                <w:rFonts w:hint="eastAsia"/>
              </w:rPr>
              <w:br w:type="textWrapping"/>
            </w:r>
            <w:r>
              <w:rPr>
                <w:rFonts w:hint="eastAsia"/>
              </w:rPr>
              <w:t>17、输入电压：支持宽压输入 在96-264VAC，支持窄压输入在200-240VAC，在该范围内能正常工作</w:t>
            </w:r>
            <w:r>
              <w:rPr>
                <w:rFonts w:hint="eastAsia"/>
              </w:rPr>
              <w:br w:type="textWrapping"/>
            </w:r>
            <w:r>
              <w:rPr>
                <w:rFonts w:hint="eastAsia"/>
              </w:rPr>
              <w:t>18、★防护性能：具有防静电、防电磁干扰、防腐蚀、防霉菌、防虫、防潮、抗震动、抗雷击等功能；具有电源过压、过流、断电保护、分布上电措施、防护等级达到IP60</w:t>
            </w:r>
            <w:r>
              <w:rPr>
                <w:rFonts w:hint="eastAsia"/>
              </w:rPr>
              <w:br w:type="textWrapping"/>
            </w:r>
            <w:r>
              <w:rPr>
                <w:rFonts w:hint="eastAsia"/>
              </w:rPr>
              <w:t>19、★为不影响屏体周边人员的健康，要求投标人所投LED显示屏在正常工作中，显示屏1m范围内，前后左右4个位置噪音不大于1.4dB；所投LED显示屏观看舒适度需符合：“人眼视觉舒适度(VICO)1级，基本无疲劳感。</w:t>
            </w:r>
            <w:r>
              <w:rPr>
                <w:rFonts w:hint="eastAsia"/>
              </w:rPr>
              <w:br w:type="textWrapping"/>
            </w:r>
            <w:r>
              <w:rPr>
                <w:rFonts w:hint="eastAsia"/>
              </w:rPr>
              <w:t>20、★所投LED显示屏的灯管耐焊耐热：灯珠引脚无氧化,焊接正常,灯珠胶体正常,点亮正常；灯管抗静电(ESD)测试：HBM模式:ESD&gt;2000V,灯珠点亮无异常；灯管红墨水试验：纯红墨水常温浸泡24h,无渗透,灯管气密性良好。</w:t>
            </w:r>
            <w:r>
              <w:rPr>
                <w:rFonts w:hint="eastAsia"/>
              </w:rPr>
              <w:br w:type="textWrapping"/>
            </w:r>
            <w:r>
              <w:rPr>
                <w:rFonts w:hint="eastAsia"/>
              </w:rPr>
              <w:t>21、要求投标人所投LED显示屏支持DVI、VGA、SDI输入、支持HDMI视频输入、支持视频PAL/NTSC制式自适应、支持复合视频信号、支持USB输入、支持IP输入、支持CVBS/DP/HDBASE输入、支持光纤/网络等接口输入。</w:t>
            </w:r>
            <w:r>
              <w:rPr>
                <w:rFonts w:hint="eastAsia"/>
              </w:rPr>
              <w:br w:type="textWrapping"/>
            </w:r>
            <w:r>
              <w:rPr>
                <w:rFonts w:hint="eastAsia"/>
              </w:rPr>
              <w:t>22、★防电击等级依据GB4943.1标准，使用基本绝缘作为基本安全防护，同时使用保护连接和保护接地作为附加安全防护，达到防电击保护I类设备</w:t>
            </w:r>
            <w:r>
              <w:rPr>
                <w:rFonts w:hint="eastAsia"/>
              </w:rPr>
              <w:br w:type="textWrapping"/>
            </w:r>
            <w:r>
              <w:rPr>
                <w:rFonts w:hint="eastAsia"/>
              </w:rPr>
              <w:t>23、产品采用高端芯片，可智能调节正常工作与睡眠状态下的节能效果（动态节能，智能息屏），开启智能节电功能比没有开启，节能55%以上。</w:t>
            </w:r>
            <w:r>
              <w:rPr>
                <w:rFonts w:hint="eastAsia"/>
              </w:rPr>
              <w:br w:type="textWrapping"/>
            </w:r>
            <w:r>
              <w:rPr>
                <w:rFonts w:hint="eastAsia"/>
              </w:rPr>
              <w:t>24、长时间没有使用屏体，屏体自动切入除湿模式，通过预热灯珠，蒸发掉灯珠内部湿气，使屏体从10%到100%亮度逐步显示，达到保护LED灯</w:t>
            </w:r>
            <w:r>
              <w:rPr>
                <w:rFonts w:hint="eastAsia"/>
              </w:rPr>
              <w:br w:type="textWrapping"/>
            </w:r>
            <w:r>
              <w:rPr>
                <w:rFonts w:hint="eastAsia"/>
              </w:rPr>
              <w:t>25、具有SELV电路，在SELV电路中任何两个导体之间或任何一个这样的导体和地之间的电压的限值为：正常工作条件下，不超过42.4V交流峰值或60V直流值单一故障条件下，在200ms后不超过42.4V（30V有效值）交流峰值或60V直流值，并且在200ms内其极限值不超过71V（50V有效值）交流峰值或120V直流值</w:t>
            </w:r>
            <w:r>
              <w:rPr>
                <w:rFonts w:hint="eastAsia"/>
              </w:rPr>
              <w:br w:type="textWrapping"/>
            </w:r>
            <w:r>
              <w:rPr>
                <w:rFonts w:hint="eastAsia"/>
              </w:rPr>
              <w:t>26、LED显示屏保护地端子应有标记。进行标记耐久性试验后，标记牢固、清晰可辨。LED显示屏在熔断器和开关电源处应有警告标示。进行标记耐久性试验后，标记应牢固、清晰可辨。</w:t>
            </w:r>
            <w:r>
              <w:rPr>
                <w:rFonts w:hint="eastAsia"/>
              </w:rPr>
              <w:br w:type="textWrapping"/>
            </w:r>
            <w:r>
              <w:rPr>
                <w:rFonts w:hint="eastAsia"/>
              </w:rPr>
              <w:t>27、★支持手机、平板可视化控制LED大屏，切换播放内容，定制播放计划等；支持手机添加LOGO、时间、日期、文字标语、滚动字幕、图片、视频窗口；支持分屏操作。支持任意比例拼接素材和多图层叠加；支持无线遥控、手机遥控，一键切换视频；支持与智能播控软件一键IP连接。</w:t>
            </w:r>
            <w:r>
              <w:rPr>
                <w:rFonts w:hint="eastAsia"/>
              </w:rPr>
              <w:br w:type="textWrapping"/>
            </w:r>
            <w:r>
              <w:rPr>
                <w:rFonts w:hint="eastAsia"/>
              </w:rPr>
              <w:t>28、显示屏所使用的材料及元器件均符合《SJ/T11363-2016电子信息产品中有毒有害物质的限定要求》符合环保要求的相关声明，根据《GB/T27050.1-2006合格评定供方的符合性声明第1部分：通用要求》 和《GB/T27050.2-2006合格评定供方的符合性声明第2部分：支持性文件》</w:t>
            </w:r>
            <w:r>
              <w:rPr>
                <w:rFonts w:hint="eastAsia"/>
              </w:rPr>
              <w:br w:type="textWrapping"/>
            </w:r>
            <w:r>
              <w:rPr>
                <w:rFonts w:hint="eastAsia"/>
              </w:rPr>
              <w:t>29、支持鬼影消除、首行暗亮消除、低灰偏色补偿、低灰均匀性、低灰横条纹消除、慢速开启、十字架消除、去坏点、毛毛虫消除、余辉消除、亮度缓慢变亮功能</w:t>
            </w:r>
            <w:r>
              <w:rPr>
                <w:rFonts w:hint="eastAsia"/>
              </w:rPr>
              <w:br w:type="textWrapping"/>
            </w:r>
            <w:r>
              <w:rPr>
                <w:rFonts w:hint="eastAsia"/>
              </w:rPr>
              <w:t>30、★为保证产品使用安全，静电电压衰减期（±1000-±100V）≤2S；摩擦起电电压|V|≤100V</w:t>
            </w:r>
            <w:r>
              <w:rPr>
                <w:rFonts w:hint="eastAsia"/>
              </w:rPr>
              <w:br w:type="textWrapping"/>
            </w:r>
            <w:r>
              <w:rPr>
                <w:rFonts w:hint="eastAsia"/>
              </w:rPr>
              <w:t>31、为保证产品信息传输稳定性，辐射干扰和传导干扰，均需符合GB/T9254-2021 ClassB限值要求</w:t>
            </w:r>
            <w:r>
              <w:rPr>
                <w:rFonts w:hint="eastAsia"/>
              </w:rPr>
              <w:br w:type="textWrapping"/>
            </w:r>
            <w:r>
              <w:rPr>
                <w:rFonts w:hint="eastAsia"/>
              </w:rPr>
              <w:t>注：以上1-31技术参数提交文件时需提供由第三方权威检测机构出具带有“CNAS”、“CMA”、“ilac-MRA”标志的检测报告（加盖制造商公章）。</w:t>
            </w:r>
            <w:r>
              <w:rPr>
                <w:rFonts w:hint="eastAsia"/>
              </w:rPr>
              <w:br w:type="textWrapping"/>
            </w:r>
            <w:r>
              <w:rPr>
                <w:rFonts w:hint="eastAsia"/>
              </w:rPr>
              <w:t>32、★LED显示屏须提供本产品的3C认证证书复印件或扫描件附在响应文件中，不提供按无效标处理。</w:t>
            </w:r>
            <w:r>
              <w:rPr>
                <w:rFonts w:hint="eastAsia"/>
              </w:rPr>
              <w:br w:type="textWrapping"/>
            </w:r>
            <w:r>
              <w:rPr>
                <w:rFonts w:hint="eastAsia"/>
              </w:rPr>
              <w:t>33、★为保证所提供产品来源正规，需承诺中标后在签订合同时提供加盖制造商公章的授权、质保承诺书等（承诺格式自拟）</w:t>
            </w:r>
            <w:r>
              <w:rPr>
                <w:rFonts w:hint="eastAsia"/>
              </w:rPr>
              <w:br w:type="textWrapping"/>
            </w:r>
            <w:r>
              <w:rPr>
                <w:rFonts w:hint="eastAsia"/>
              </w:rPr>
              <w:t>34、★为了防止LED光源对人眼的伤害，LED电子显示屏产品通过TUV莱茵低蓝光认证，无视网膜蓝光危害。提供 TÜV低蓝光认证，提供证书复印件或扫描件。</w:t>
            </w:r>
            <w:r>
              <w:rPr>
                <w:rFonts w:hint="eastAsia"/>
              </w:rPr>
              <w:br w:type="textWrapping"/>
            </w:r>
            <w:r>
              <w:rPr>
                <w:rFonts w:hint="eastAsia"/>
              </w:rPr>
              <w:t>35、★为保证产品的绿色环保性能，对人体不产生危害，LED显示屏的设计生产活动中，所有电子元器件、组装件、相关物料和过程通过国际电工委员会质量评定体系（IECQ）标准要求，提供相关证明材料。</w:t>
            </w:r>
            <w:r>
              <w:rPr>
                <w:rFonts w:hint="eastAsia"/>
              </w:rPr>
              <w:br w:type="textWrapping"/>
            </w:r>
            <w:r>
              <w:rPr>
                <w:rFonts w:hint="eastAsia"/>
              </w:rPr>
              <w:t>36、★为保证消除产品中的铅、汞、镉、六价铬、多溴联苯和多溴二苯醚，利于人体健康及环境保护（提供同时具有CNAS/ilac-MRA/CMA标识的权威第三方检测机构出具的ROHS检测报告复印件或扫描件证明）</w:t>
            </w:r>
            <w:r>
              <w:rPr>
                <w:rFonts w:hint="eastAsia"/>
              </w:rPr>
              <w:br w:type="textWrapping"/>
            </w:r>
            <w:r>
              <w:rPr>
                <w:rFonts w:hint="eastAsia"/>
              </w:rPr>
              <w:t>二、显示屏控制系统规格要求：</w:t>
            </w:r>
            <w:r>
              <w:rPr>
                <w:rFonts w:hint="eastAsia"/>
              </w:rPr>
              <w:br w:type="textWrapping"/>
            </w:r>
            <w:r>
              <w:rPr>
                <w:rFonts w:hint="eastAsia"/>
              </w:rPr>
              <w:t>1.具有5类视频输入接口，2×HDMI1.4，1×DVI，1×VGA，1×CVBS；1路u盘输入</w:t>
            </w:r>
            <w:r>
              <w:rPr>
                <w:rFonts w:hint="eastAsia"/>
              </w:rPr>
              <w:br w:type="textWrapping"/>
            </w:r>
            <w:r>
              <w:rPr>
                <w:rFonts w:hint="eastAsia"/>
              </w:rPr>
              <w:t>2.最大带载260万像素，最宽可达3840点，或最高可达2000点</w:t>
            </w:r>
            <w:r>
              <w:rPr>
                <w:rFonts w:hint="eastAsia"/>
              </w:rPr>
              <w:br w:type="textWrapping"/>
            </w:r>
            <w:r>
              <w:rPr>
                <w:rFonts w:hint="eastAsia"/>
              </w:rPr>
              <w:t>3.最大输入分辨率1920×1080@60Hz，支持分辨率任意设置</w:t>
            </w:r>
            <w:r>
              <w:rPr>
                <w:rFonts w:hint="eastAsia"/>
              </w:rPr>
              <w:br w:type="textWrapping"/>
            </w:r>
            <w:r>
              <w:rPr>
                <w:rFonts w:hint="eastAsia"/>
              </w:rPr>
              <w:t>4.支持4路千兆网口输出，支持单机或双机冗余备份</w:t>
            </w:r>
            <w:r>
              <w:rPr>
                <w:rFonts w:hint="eastAsia"/>
              </w:rPr>
              <w:br w:type="textWrapping"/>
            </w:r>
            <w:r>
              <w:rPr>
                <w:rFonts w:hint="eastAsia"/>
              </w:rPr>
              <w:t>5.1路独立音频输入，1路独立音频输出，支持HDMI、U-DISK音频解析输出</w:t>
            </w:r>
            <w:r>
              <w:rPr>
                <w:rFonts w:hint="eastAsia"/>
              </w:rPr>
              <w:br w:type="textWrapping"/>
            </w:r>
            <w:r>
              <w:rPr>
                <w:rFonts w:hint="eastAsia"/>
              </w:rPr>
              <w:t>6.支持对视频信号任意切换，裁剪，缩放</w:t>
            </w:r>
            <w:r>
              <w:rPr>
                <w:rFonts w:hint="eastAsia"/>
              </w:rPr>
              <w:br w:type="textWrapping"/>
            </w:r>
            <w:r>
              <w:rPr>
                <w:rFonts w:hint="eastAsia"/>
              </w:rPr>
              <w:t>7.支持画面偏移</w:t>
            </w:r>
            <w:r>
              <w:rPr>
                <w:rFonts w:hint="eastAsia"/>
              </w:rPr>
              <w:br w:type="textWrapping"/>
            </w:r>
            <w:r>
              <w:rPr>
                <w:rFonts w:hint="eastAsia"/>
              </w:rPr>
              <w:t>8.支持画面调整：对比度、饱和度、色度、亮度补偿，锐度调整</w:t>
            </w:r>
            <w:r>
              <w:rPr>
                <w:rFonts w:hint="eastAsia"/>
              </w:rPr>
              <w:br w:type="textWrapping"/>
            </w:r>
            <w:r>
              <w:rPr>
                <w:rFonts w:hint="eastAsia"/>
              </w:rPr>
              <w:t>9.支持有限转完全功能</w:t>
            </w:r>
            <w:r>
              <w:rPr>
                <w:rFonts w:hint="eastAsia"/>
              </w:rPr>
              <w:br w:type="textWrapping"/>
            </w:r>
            <w:r>
              <w:rPr>
                <w:rFonts w:hint="eastAsia"/>
              </w:rPr>
              <w:t>10.支持发送/回读校正系数，高级修缝</w:t>
            </w:r>
            <w:r>
              <w:rPr>
                <w:rFonts w:hint="eastAsia"/>
              </w:rPr>
              <w:br w:type="textWrapping"/>
            </w:r>
            <w:r>
              <w:rPr>
                <w:rFonts w:hint="eastAsia"/>
              </w:rPr>
              <w:t>11.支持HDCP1.4高带宽数字内容保护技术</w:t>
            </w:r>
            <w:r>
              <w:rPr>
                <w:rFonts w:hint="eastAsia"/>
              </w:rPr>
              <w:br w:type="textWrapping"/>
            </w:r>
            <w:r>
              <w:rPr>
                <w:rFonts w:hint="eastAsia"/>
              </w:rPr>
              <w:t>12.支持精确颜色管理，可调节显示屏色域，需对应型号接收卡支持</w:t>
            </w:r>
            <w:r>
              <w:rPr>
                <w:rFonts w:hint="eastAsia"/>
              </w:rPr>
              <w:br w:type="textWrapping"/>
            </w:r>
            <w:r>
              <w:rPr>
                <w:rFonts w:hint="eastAsia"/>
              </w:rPr>
              <w:t>13.支持亮度和色温调节，支持精确色温</w:t>
            </w:r>
            <w:r>
              <w:rPr>
                <w:rFonts w:hint="eastAsia"/>
              </w:rPr>
              <w:br w:type="textWrapping"/>
            </w:r>
            <w:r>
              <w:rPr>
                <w:rFonts w:hint="eastAsia"/>
              </w:rPr>
              <w:t>14.支持低亮高灰，可有效保持低亮度下灰阶的完整显示</w:t>
            </w:r>
            <w:r>
              <w:rPr>
                <w:rFonts w:hint="eastAsia"/>
              </w:rPr>
              <w:br w:type="textWrapping"/>
            </w:r>
            <w:r>
              <w:rPr>
                <w:rFonts w:hint="eastAsia"/>
              </w:rPr>
              <w:t>15.支持16个场景保存和调用</w:t>
            </w:r>
            <w:r>
              <w:rPr>
                <w:rFonts w:hint="eastAsia"/>
              </w:rPr>
              <w:br w:type="textWrapping"/>
            </w:r>
            <w:r>
              <w:rPr>
                <w:rFonts w:hint="eastAsia"/>
              </w:rPr>
              <w:t>16.支持U盘播放</w:t>
            </w:r>
            <w:r>
              <w:rPr>
                <w:rFonts w:hint="eastAsia"/>
              </w:rPr>
              <w:br w:type="textWrapping"/>
            </w:r>
            <w:r>
              <w:rPr>
                <w:rFonts w:hint="eastAsia"/>
              </w:rPr>
              <w:t>17.支持OSD(屏幕菜单调节:一般是按菜单键后屏幕弹出的显示器各项调节项目信息的矩形菜单，可调节屏幕灰度，色温，恢复出厂设置……)</w:t>
            </w:r>
            <w:r>
              <w:rPr>
                <w:rFonts w:hint="eastAsia"/>
              </w:rPr>
              <w:br w:type="textWrapping"/>
            </w:r>
            <w:r>
              <w:rPr>
                <w:rFonts w:hint="eastAsia"/>
              </w:rPr>
              <w:t>18.USB接口控制</w:t>
            </w:r>
            <w:r>
              <w:rPr>
                <w:rFonts w:hint="eastAsia"/>
              </w:rPr>
              <w:br w:type="textWrapping"/>
            </w:r>
            <w:r>
              <w:rPr>
                <w:rFonts w:hint="eastAsia"/>
              </w:rPr>
              <w:t>19.RS232协议控制</w:t>
            </w:r>
            <w:r>
              <w:rPr>
                <w:rFonts w:hint="eastAsia"/>
              </w:rPr>
              <w:br w:type="textWrapping"/>
            </w:r>
            <w:r>
              <w:rPr>
                <w:rFonts w:hint="eastAsia"/>
              </w:rPr>
              <w:t>20.红外遥控器控制（选配）                                                                                                                                                                                              21.★支持不同控制器之间备份，及同一控制器内不同网口之间的备份，需提供具有CMA、CNAS、ilac-MRA认证标识的第三方厂家检测报告，并加盖公章；</w:t>
            </w:r>
            <w:r>
              <w:rPr>
                <w:rFonts w:hint="eastAsia"/>
              </w:rPr>
              <w:br w:type="textWrapping"/>
            </w:r>
            <w:r>
              <w:rPr>
                <w:rFonts w:hint="eastAsia"/>
              </w:rPr>
              <w:t>22.★不正当操作导致控制器内部设置错乱，可一键恢复出厂标准设置，需提供具有CMA、CNAS、ilac-MRA认证标识的第三方厂家检测报告，并加盖公章；</w:t>
            </w:r>
            <w:r>
              <w:rPr>
                <w:rFonts w:hint="eastAsia"/>
              </w:rPr>
              <w:br w:type="textWrapping"/>
            </w:r>
            <w:r>
              <w:rPr>
                <w:rFonts w:hint="eastAsia"/>
              </w:rPr>
              <w:t>23.★设备带有RTC芯片，支持视频控制器和接收卡端的加密管理，通过加密相关的协议实现授权日期内的形常显示，非授权日期无法正常显示。需提供具有CMA、CNAS、ilac-MRA认证标识的第三方厂家检测报告，并加盖公章；</w:t>
            </w:r>
          </w:p>
        </w:tc>
        <w:tc>
          <w:tcPr>
            <w:tcW w:w="688" w:type="dxa"/>
            <w:tcBorders>
              <w:top w:val="single" w:color="auto" w:sz="4" w:space="0"/>
              <w:left w:val="single" w:color="auto" w:sz="4" w:space="0"/>
              <w:bottom w:val="single" w:color="auto" w:sz="4" w:space="0"/>
              <w:right w:val="single" w:color="auto" w:sz="4" w:space="0"/>
            </w:tcBorders>
            <w:vAlign w:val="center"/>
          </w:tcPr>
          <w:p w14:paraId="6E9DF4C9">
            <w:pPr>
              <w:jc w:val="center"/>
              <w:rPr>
                <w:rFonts w:ascii="微软雅黑" w:hAnsi="微软雅黑" w:eastAsia="微软雅黑"/>
                <w:szCs w:val="21"/>
              </w:rPr>
            </w:pPr>
            <w:r>
              <w:rPr>
                <w:rFonts w:hint="eastAsia" w:ascii="微软雅黑" w:hAnsi="微软雅黑" w:eastAsia="微软雅黑"/>
                <w:szCs w:val="21"/>
              </w:rPr>
              <w:t>1年</w:t>
            </w:r>
          </w:p>
        </w:tc>
      </w:tr>
      <w:tr w14:paraId="2D73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jc w:val="center"/>
        </w:trPr>
        <w:tc>
          <w:tcPr>
            <w:tcW w:w="455" w:type="dxa"/>
            <w:tcBorders>
              <w:top w:val="single" w:color="auto" w:sz="4" w:space="0"/>
              <w:left w:val="single" w:color="auto" w:sz="4" w:space="0"/>
              <w:bottom w:val="single" w:color="auto" w:sz="4" w:space="0"/>
              <w:right w:val="single" w:color="auto" w:sz="4" w:space="0"/>
            </w:tcBorders>
            <w:vAlign w:val="center"/>
          </w:tcPr>
          <w:p w14:paraId="6714F6D8">
            <w:pPr>
              <w:jc w:val="center"/>
              <w:rPr>
                <w:rFonts w:ascii="宋体" w:hAnsi="Courier New" w:cs="Courier New"/>
                <w:bCs/>
                <w:szCs w:val="22"/>
              </w:rPr>
            </w:pPr>
            <w:r>
              <w:rPr>
                <w:rFonts w:hint="eastAsia" w:ascii="宋体" w:hAnsi="Courier New" w:cs="Courier New"/>
                <w:bCs/>
                <w:szCs w:val="22"/>
              </w:rPr>
              <w:t>2</w:t>
            </w:r>
          </w:p>
        </w:tc>
        <w:tc>
          <w:tcPr>
            <w:tcW w:w="1080" w:type="dxa"/>
            <w:tcBorders>
              <w:top w:val="single" w:color="auto" w:sz="4" w:space="0"/>
              <w:left w:val="single" w:color="auto" w:sz="4" w:space="0"/>
              <w:bottom w:val="single" w:color="auto" w:sz="4" w:space="0"/>
              <w:right w:val="single" w:color="auto" w:sz="4" w:space="0"/>
            </w:tcBorders>
            <w:vAlign w:val="center"/>
          </w:tcPr>
          <w:p w14:paraId="555B3BAA">
            <w:pPr>
              <w:rPr>
                <w:rFonts w:ascii="宋体" w:hAnsi="宋体" w:cs="宋体"/>
                <w:sz w:val="24"/>
              </w:rPr>
            </w:pPr>
            <w:r>
              <w:rPr>
                <w:rFonts w:hint="eastAsia"/>
              </w:rPr>
              <w:t>投影机（含幕布）</w:t>
            </w:r>
          </w:p>
        </w:tc>
        <w:tc>
          <w:tcPr>
            <w:tcW w:w="690" w:type="dxa"/>
            <w:tcBorders>
              <w:top w:val="single" w:color="auto" w:sz="4" w:space="0"/>
              <w:left w:val="single" w:color="auto" w:sz="4" w:space="0"/>
              <w:bottom w:val="single" w:color="auto" w:sz="4" w:space="0"/>
              <w:right w:val="single" w:color="auto" w:sz="4" w:space="0"/>
            </w:tcBorders>
            <w:vAlign w:val="center"/>
          </w:tcPr>
          <w:p w14:paraId="33A76642">
            <w:pPr>
              <w:jc w:val="center"/>
              <w:rPr>
                <w:rFonts w:ascii="宋体" w:hAnsi="宋体" w:cs="宋体"/>
                <w:sz w:val="24"/>
              </w:rPr>
            </w:pPr>
            <w:r>
              <w:rPr>
                <w:rFonts w:hint="eastAsia"/>
              </w:rPr>
              <w:t>1套</w:t>
            </w:r>
          </w:p>
        </w:tc>
        <w:tc>
          <w:tcPr>
            <w:tcW w:w="1124" w:type="dxa"/>
            <w:tcBorders>
              <w:top w:val="single" w:color="auto" w:sz="4" w:space="0"/>
              <w:left w:val="single" w:color="auto" w:sz="4" w:space="0"/>
              <w:bottom w:val="single" w:color="auto" w:sz="4" w:space="0"/>
              <w:right w:val="single" w:color="auto" w:sz="4" w:space="0"/>
            </w:tcBorders>
            <w:vAlign w:val="center"/>
          </w:tcPr>
          <w:p w14:paraId="61C17311">
            <w:pPr>
              <w:jc w:val="left"/>
              <w:rPr>
                <w:szCs w:val="21"/>
              </w:rPr>
            </w:pPr>
            <w:r>
              <w:rPr>
                <w:rFonts w:hint="eastAsia"/>
                <w:szCs w:val="21"/>
              </w:rPr>
              <w:t>英士HU600S</w:t>
            </w:r>
          </w:p>
        </w:tc>
        <w:tc>
          <w:tcPr>
            <w:tcW w:w="5814" w:type="dxa"/>
            <w:tcBorders>
              <w:top w:val="single" w:color="auto" w:sz="4" w:space="0"/>
              <w:left w:val="single" w:color="auto" w:sz="4" w:space="0"/>
              <w:bottom w:val="single" w:color="auto" w:sz="4" w:space="0"/>
              <w:right w:val="single" w:color="auto" w:sz="4" w:space="0"/>
            </w:tcBorders>
            <w:vAlign w:val="center"/>
          </w:tcPr>
          <w:p w14:paraId="3565BB68">
            <w:pPr>
              <w:rPr>
                <w:rFonts w:ascii="宋体" w:hAnsi="宋体" w:cs="宋体"/>
                <w:sz w:val="24"/>
              </w:rPr>
            </w:pPr>
            <w:r>
              <w:rPr>
                <w:rFonts w:hint="eastAsia"/>
              </w:rPr>
              <w:t>1、显示技术：3LCD</w:t>
            </w:r>
            <w:r>
              <w:rPr>
                <w:rFonts w:hint="eastAsia"/>
              </w:rPr>
              <w:br w:type="textWrapping"/>
            </w:r>
            <w:r>
              <w:rPr>
                <w:rFonts w:hint="eastAsia"/>
              </w:rPr>
              <w:t>2、液晶板尺寸：≥0.64”</w:t>
            </w:r>
            <w:r>
              <w:rPr>
                <w:rFonts w:hint="eastAsia"/>
              </w:rPr>
              <w:br w:type="textWrapping"/>
            </w:r>
            <w:r>
              <w:rPr>
                <w:rFonts w:hint="eastAsia"/>
              </w:rPr>
              <w:t>3、亮度：≥6000流明（符合ISO21118标准）</w:t>
            </w:r>
            <w:r>
              <w:rPr>
                <w:rFonts w:hint="eastAsia"/>
              </w:rPr>
              <w:br w:type="textWrapping"/>
            </w:r>
            <w:r>
              <w:rPr>
                <w:rFonts w:hint="eastAsia"/>
              </w:rPr>
              <w:t>4、分辨率：1920×1200（标准）</w:t>
            </w:r>
            <w:r>
              <w:rPr>
                <w:rFonts w:hint="eastAsia"/>
              </w:rPr>
              <w:br w:type="textWrapping"/>
            </w:r>
            <w:r>
              <w:rPr>
                <w:rFonts w:hint="eastAsia"/>
              </w:rPr>
              <w:t>5、对比度：≥10000:1</w:t>
            </w:r>
            <w:r>
              <w:rPr>
                <w:rFonts w:hint="eastAsia"/>
              </w:rPr>
              <w:br w:type="textWrapping"/>
            </w:r>
            <w:r>
              <w:rPr>
                <w:rFonts w:hint="eastAsia"/>
              </w:rPr>
              <w:t>6、均匀度：≥90%</w:t>
            </w:r>
            <w:r>
              <w:rPr>
                <w:rFonts w:hint="eastAsia"/>
              </w:rPr>
              <w:br w:type="textWrapping"/>
            </w:r>
            <w:r>
              <w:rPr>
                <w:rFonts w:hint="eastAsia"/>
              </w:rPr>
              <w:t>7、光学变焦：≥1.6倍</w:t>
            </w:r>
            <w:r>
              <w:rPr>
                <w:rFonts w:hint="eastAsia"/>
              </w:rPr>
              <w:br w:type="textWrapping"/>
            </w:r>
            <w:r>
              <w:rPr>
                <w:rFonts w:hint="eastAsia"/>
              </w:rPr>
              <w:t>8、镜头位移：垂直镜头位移±45%，水平镜头位移±10%</w:t>
            </w:r>
            <w:r>
              <w:rPr>
                <w:rFonts w:hint="eastAsia"/>
              </w:rPr>
              <w:br w:type="textWrapping"/>
            </w:r>
            <w:r>
              <w:rPr>
                <w:rFonts w:hint="eastAsia"/>
              </w:rPr>
              <w:t>9、灯泡寿命：节能模式4000H，正常模式3000H</w:t>
            </w:r>
            <w:r>
              <w:rPr>
                <w:rFonts w:hint="eastAsia"/>
              </w:rPr>
              <w:br w:type="textWrapping"/>
            </w:r>
            <w:r>
              <w:rPr>
                <w:rFonts w:hint="eastAsia"/>
              </w:rPr>
              <w:t>10、梯形校正：垂直梯形校正±30°，水平梯形校正±15°</w:t>
            </w:r>
            <w:r>
              <w:rPr>
                <w:rFonts w:hint="eastAsia"/>
              </w:rPr>
              <w:br w:type="textWrapping"/>
            </w:r>
            <w:r>
              <w:rPr>
                <w:rFonts w:hint="eastAsia"/>
              </w:rPr>
              <w:t>11、灯泡功率：≥300瓦</w:t>
            </w:r>
            <w:r>
              <w:rPr>
                <w:rFonts w:hint="eastAsia"/>
              </w:rPr>
              <w:br w:type="textWrapping"/>
            </w:r>
            <w:r>
              <w:rPr>
                <w:rFonts w:hint="eastAsia"/>
              </w:rPr>
              <w:t>12、待机模式功率：≤0.5瓦</w:t>
            </w:r>
            <w:r>
              <w:rPr>
                <w:rFonts w:hint="eastAsia"/>
              </w:rPr>
              <w:br w:type="textWrapping"/>
            </w:r>
            <w:r>
              <w:rPr>
                <w:rFonts w:hint="eastAsia"/>
              </w:rPr>
              <w:t>13、扬声器：≥10瓦</w:t>
            </w:r>
            <w:r>
              <w:rPr>
                <w:rFonts w:hint="eastAsia"/>
              </w:rPr>
              <w:br w:type="textWrapping"/>
            </w:r>
            <w:r>
              <w:rPr>
                <w:rFonts w:hint="eastAsia"/>
              </w:rPr>
              <w:t>14、防尘网：静电防尘网</w:t>
            </w:r>
            <w:r>
              <w:rPr>
                <w:rFonts w:hint="eastAsia"/>
              </w:rPr>
              <w:br w:type="textWrapping"/>
            </w:r>
            <w:r>
              <w:rPr>
                <w:rFonts w:hint="eastAsia"/>
              </w:rPr>
              <w:t>15、接口：HDMI×2（其中一路支持MHL）、USB-A、USB-B、RJ45、VGA IN×2、VGA OUT、RS232、VIDEO IN、AUDIO IN×2、AUDIO OUT、RCA（L/R）</w:t>
            </w:r>
            <w:r>
              <w:rPr>
                <w:rFonts w:hint="eastAsia"/>
              </w:rPr>
              <w:br w:type="textWrapping"/>
            </w:r>
            <w:r>
              <w:rPr>
                <w:rFonts w:hint="eastAsia"/>
              </w:rPr>
              <w:t>16、功能要求：</w:t>
            </w:r>
            <w:r>
              <w:rPr>
                <w:rFonts w:hint="eastAsia"/>
              </w:rPr>
              <w:br w:type="textWrapping"/>
            </w:r>
            <w:r>
              <w:rPr>
                <w:rFonts w:hint="eastAsia"/>
              </w:rPr>
              <w:t>a)支持自动开机、自动休眠、隐藏字幕、高海拔模式、开机倒数</w:t>
            </w:r>
            <w:r>
              <w:rPr>
                <w:rFonts w:hint="eastAsia"/>
              </w:rPr>
              <w:br w:type="textWrapping"/>
            </w:r>
            <w:r>
              <w:rPr>
                <w:rFonts w:hint="eastAsia"/>
              </w:rPr>
              <w:t>b)具备画面分割拼接功能、支持图像自动翻转（吊顶使用时画面自动翻转）</w:t>
            </w:r>
            <w:r>
              <w:rPr>
                <w:rFonts w:hint="eastAsia"/>
              </w:rPr>
              <w:br w:type="textWrapping"/>
            </w:r>
            <w:r>
              <w:rPr>
                <w:rFonts w:hint="eastAsia"/>
              </w:rPr>
              <w:t>c)支持无PC投影、USB线直接投影（声音同时传输）、RJ45网线投影、无线投影</w:t>
            </w:r>
            <w:r>
              <w:rPr>
                <w:rFonts w:hint="eastAsia"/>
              </w:rPr>
              <w:br w:type="textWrapping"/>
            </w:r>
            <w:r>
              <w:rPr>
                <w:rFonts w:hint="eastAsia"/>
              </w:rPr>
              <w:t>d)四角梯形校正</w:t>
            </w:r>
            <w:r>
              <w:rPr>
                <w:rFonts w:hint="eastAsia"/>
              </w:rPr>
              <w:br w:type="textWrapping"/>
            </w:r>
            <w:r>
              <w:rPr>
                <w:rFonts w:hint="eastAsia"/>
              </w:rPr>
              <w:t>e)支持网络控制，包括Crestron RoomView、AMX Discovery、PJ Link</w:t>
            </w:r>
            <w:r>
              <w:rPr>
                <w:rFonts w:hint="eastAsia"/>
              </w:rPr>
              <w:br w:type="textWrapping"/>
            </w:r>
            <w:r>
              <w:rPr>
                <w:rFonts w:hint="eastAsia"/>
              </w:rPr>
              <w:t>17、备注：</w:t>
            </w:r>
            <w:r>
              <w:rPr>
                <w:rFonts w:hint="eastAsia"/>
              </w:rPr>
              <w:br w:type="textWrapping"/>
            </w:r>
            <w:r>
              <w:rPr>
                <w:rFonts w:hint="eastAsia"/>
              </w:rPr>
              <w:t>a)所投产品必须提供整机保修2年及灯泡半年的保修承诺。</w:t>
            </w:r>
            <w:r>
              <w:rPr>
                <w:rFonts w:hint="eastAsia"/>
              </w:rPr>
              <w:br w:type="textWrapping"/>
            </w:r>
            <w:r>
              <w:rPr>
                <w:rFonts w:hint="eastAsia"/>
              </w:rPr>
              <w:t>b)投标单位必须提供厂家的项目授权书及售后服务承诺书原件。</w:t>
            </w:r>
            <w:r>
              <w:rPr>
                <w:rFonts w:hint="eastAsia"/>
              </w:rPr>
              <w:br w:type="textWrapping"/>
            </w:r>
            <w:r>
              <w:rPr>
                <w:rFonts w:hint="eastAsia"/>
              </w:rPr>
              <w:t>c)所投产品必须具有3C证明文件</w:t>
            </w:r>
            <w:r>
              <w:rPr>
                <w:rFonts w:hint="eastAsia"/>
              </w:rPr>
              <w:br w:type="textWrapping"/>
            </w:r>
            <w:r>
              <w:rPr>
                <w:rFonts w:hint="eastAsia"/>
              </w:rPr>
              <w:t>d)所投产品必须具有CECP证明文件</w:t>
            </w:r>
            <w:r>
              <w:rPr>
                <w:rFonts w:hint="eastAsia"/>
              </w:rPr>
              <w:br w:type="textWrapping"/>
            </w:r>
            <w:r>
              <w:rPr>
                <w:rFonts w:hint="eastAsia"/>
              </w:rPr>
              <w:t>18、配套150寸电动幕布：</w:t>
            </w:r>
            <w:r>
              <w:rPr>
                <w:rFonts w:hint="eastAsia"/>
              </w:rPr>
              <w:br w:type="textWrapping"/>
            </w:r>
            <w:r>
              <w:rPr>
                <w:rFonts w:hint="eastAsia"/>
              </w:rPr>
              <w:t>1.150英寸电动遥控银幕，16：10</w:t>
            </w:r>
            <w:r>
              <w:rPr>
                <w:rFonts w:hint="eastAsia"/>
              </w:rPr>
              <w:br w:type="textWrapping"/>
            </w:r>
            <w:r>
              <w:rPr>
                <w:rFonts w:hint="eastAsia"/>
              </w:rPr>
              <w:t>2.可视面积（含黑边）：3230*2020mm</w:t>
            </w:r>
            <w:r>
              <w:rPr>
                <w:rFonts w:hint="eastAsia"/>
              </w:rPr>
              <w:br w:type="textWrapping"/>
            </w:r>
            <w:r>
              <w:rPr>
                <w:rFonts w:hint="eastAsia"/>
              </w:rPr>
              <w:t>3.幕布总长度：约长3500*高2100mm</w:t>
            </w:r>
            <w:r>
              <w:rPr>
                <w:rFonts w:hint="eastAsia"/>
              </w:rPr>
              <w:br w:type="textWrapping"/>
            </w:r>
            <w:r>
              <w:rPr>
                <w:rFonts w:hint="eastAsia"/>
              </w:rPr>
              <w:t>4.材料：复合PVC 高清白塑幕面料（最大增益达到1.2）；</w:t>
            </w:r>
          </w:p>
        </w:tc>
        <w:tc>
          <w:tcPr>
            <w:tcW w:w="688" w:type="dxa"/>
            <w:tcBorders>
              <w:top w:val="single" w:color="auto" w:sz="4" w:space="0"/>
              <w:left w:val="single" w:color="auto" w:sz="4" w:space="0"/>
              <w:bottom w:val="single" w:color="auto" w:sz="4" w:space="0"/>
              <w:right w:val="single" w:color="auto" w:sz="4" w:space="0"/>
            </w:tcBorders>
            <w:vAlign w:val="center"/>
          </w:tcPr>
          <w:p w14:paraId="6F94801F">
            <w:pPr>
              <w:widowControl/>
              <w:jc w:val="center"/>
              <w:rPr>
                <w:rFonts w:ascii="宋体" w:hAnsi="Courier New" w:cs="Courier New"/>
                <w:bCs/>
                <w:szCs w:val="22"/>
              </w:rPr>
            </w:pPr>
            <w:r>
              <w:rPr>
                <w:rFonts w:hint="eastAsia" w:ascii="微软雅黑" w:hAnsi="微软雅黑" w:eastAsia="微软雅黑"/>
                <w:szCs w:val="21"/>
              </w:rPr>
              <w:t>1年</w:t>
            </w:r>
          </w:p>
        </w:tc>
      </w:tr>
      <w:tr w14:paraId="6680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jc w:val="center"/>
        </w:trPr>
        <w:tc>
          <w:tcPr>
            <w:tcW w:w="455" w:type="dxa"/>
            <w:tcBorders>
              <w:top w:val="single" w:color="auto" w:sz="4" w:space="0"/>
              <w:left w:val="single" w:color="auto" w:sz="4" w:space="0"/>
              <w:bottom w:val="single" w:color="auto" w:sz="4" w:space="0"/>
              <w:right w:val="single" w:color="auto" w:sz="4" w:space="0"/>
            </w:tcBorders>
            <w:vAlign w:val="center"/>
          </w:tcPr>
          <w:p w14:paraId="44445195">
            <w:pPr>
              <w:jc w:val="center"/>
              <w:rPr>
                <w:rFonts w:ascii="宋体" w:hAnsi="Courier New" w:cs="Courier New"/>
                <w:bCs/>
                <w:szCs w:val="22"/>
              </w:rPr>
            </w:pPr>
            <w:r>
              <w:rPr>
                <w:rFonts w:hint="eastAsia" w:ascii="宋体" w:hAnsi="Courier New" w:cs="Courier New"/>
                <w:bCs/>
                <w:szCs w:val="22"/>
              </w:rPr>
              <w:t>3</w:t>
            </w:r>
          </w:p>
        </w:tc>
        <w:tc>
          <w:tcPr>
            <w:tcW w:w="1080" w:type="dxa"/>
            <w:tcBorders>
              <w:top w:val="single" w:color="auto" w:sz="4" w:space="0"/>
              <w:left w:val="single" w:color="auto" w:sz="4" w:space="0"/>
              <w:bottom w:val="single" w:color="auto" w:sz="4" w:space="0"/>
              <w:right w:val="single" w:color="auto" w:sz="4" w:space="0"/>
            </w:tcBorders>
            <w:vAlign w:val="center"/>
          </w:tcPr>
          <w:p w14:paraId="63F0C8F0">
            <w:pPr>
              <w:rPr>
                <w:rFonts w:ascii="宋体" w:hAnsi="宋体" w:cs="宋体"/>
                <w:sz w:val="24"/>
              </w:rPr>
            </w:pPr>
            <w:r>
              <w:rPr>
                <w:rFonts w:hint="eastAsia"/>
              </w:rPr>
              <w:t>单人沙发</w:t>
            </w:r>
          </w:p>
        </w:tc>
        <w:tc>
          <w:tcPr>
            <w:tcW w:w="690" w:type="dxa"/>
            <w:tcBorders>
              <w:top w:val="single" w:color="auto" w:sz="4" w:space="0"/>
              <w:left w:val="single" w:color="auto" w:sz="4" w:space="0"/>
              <w:bottom w:val="single" w:color="auto" w:sz="4" w:space="0"/>
              <w:right w:val="single" w:color="auto" w:sz="4" w:space="0"/>
            </w:tcBorders>
            <w:vAlign w:val="center"/>
          </w:tcPr>
          <w:p w14:paraId="39EE977B">
            <w:pPr>
              <w:jc w:val="center"/>
              <w:rPr>
                <w:rFonts w:ascii="宋体" w:hAnsi="宋体" w:cs="宋体"/>
                <w:sz w:val="24"/>
              </w:rPr>
            </w:pPr>
            <w:r>
              <w:rPr>
                <w:rFonts w:hint="eastAsia"/>
              </w:rPr>
              <w:t>14张</w:t>
            </w:r>
          </w:p>
        </w:tc>
        <w:tc>
          <w:tcPr>
            <w:tcW w:w="1124" w:type="dxa"/>
            <w:tcBorders>
              <w:top w:val="single" w:color="auto" w:sz="4" w:space="0"/>
              <w:left w:val="single" w:color="auto" w:sz="4" w:space="0"/>
              <w:bottom w:val="single" w:color="auto" w:sz="4" w:space="0"/>
              <w:right w:val="single" w:color="auto" w:sz="4" w:space="0"/>
            </w:tcBorders>
            <w:vAlign w:val="center"/>
          </w:tcPr>
          <w:p w14:paraId="429024F0">
            <w:pPr>
              <w:jc w:val="left"/>
              <w:rPr>
                <w:rFonts w:hint="eastAsia" w:eastAsia="宋体"/>
                <w:lang w:eastAsia="zh-CN"/>
              </w:rPr>
            </w:pPr>
            <w:r>
              <w:rPr>
                <w:rFonts w:hint="eastAsia"/>
                <w:lang w:val="en-US" w:eastAsia="zh-CN"/>
              </w:rPr>
              <w:t>定制</w:t>
            </w:r>
          </w:p>
        </w:tc>
        <w:tc>
          <w:tcPr>
            <w:tcW w:w="5814" w:type="dxa"/>
            <w:tcBorders>
              <w:top w:val="single" w:color="auto" w:sz="4" w:space="0"/>
              <w:left w:val="single" w:color="auto" w:sz="4" w:space="0"/>
              <w:bottom w:val="single" w:color="auto" w:sz="4" w:space="0"/>
              <w:right w:val="single" w:color="auto" w:sz="4" w:space="0"/>
            </w:tcBorders>
            <w:vAlign w:val="center"/>
          </w:tcPr>
          <w:p w14:paraId="3B058D09">
            <w:r>
              <w:rPr>
                <w:rFonts w:hint="eastAsia"/>
              </w:rPr>
              <w:t>1、尺寸：1080*900*930mm，</w:t>
            </w:r>
            <w:r>
              <w:rPr>
                <w:rFonts w:hint="eastAsia"/>
                <w:lang w:val="en-US" w:eastAsia="zh-CN"/>
              </w:rPr>
              <w:t>白蜡木</w:t>
            </w:r>
            <w:r>
              <w:rPr>
                <w:rFonts w:hint="eastAsia"/>
              </w:rPr>
              <w:t>木内框架：木质硬度高、芯材稳定性好</w:t>
            </w:r>
            <w:r>
              <w:rPr>
                <w:rFonts w:hint="eastAsia"/>
                <w:lang w:eastAsia="zh-CN"/>
              </w:rPr>
              <w:t>，</w:t>
            </w:r>
            <w:r>
              <w:rPr>
                <w:rFonts w:hint="eastAsia"/>
              </w:rPr>
              <w:t>刚性强、含水率≤9%，符合GB/T3324国际标准</w:t>
            </w:r>
            <w:r>
              <w:rPr>
                <w:rFonts w:hint="eastAsia"/>
              </w:rPr>
              <w:br w:type="textWrapping"/>
            </w:r>
            <w:r>
              <w:rPr>
                <w:rFonts w:hint="eastAsia"/>
              </w:rPr>
              <w:t>2、扶手材质：白蜡木</w:t>
            </w:r>
            <w:r>
              <w:rPr>
                <w:rFonts w:hint="eastAsia"/>
                <w:lang w:eastAsia="zh-CN"/>
              </w:rPr>
              <w:t>，</w:t>
            </w:r>
            <w:r>
              <w:rPr>
                <w:rFonts w:hint="eastAsia"/>
              </w:rPr>
              <w:t>木质硬度高，芯材稳定性好，木材顺纹抗压强度、静曲强度和顺纹抗拉强度中等。其气干密度为0.60～0.69g/cm³，质地较轻</w:t>
            </w:r>
            <w:r>
              <w:rPr>
                <w:rFonts w:hint="eastAsia"/>
              </w:rPr>
              <w:br w:type="textWrapping"/>
            </w:r>
            <w:r>
              <w:rPr>
                <w:rFonts w:hint="eastAsia"/>
              </w:rPr>
              <w:t>★3、水性底漆需通过GB 18581-2020《木器涂料中有害物质限量》甲醛释含量未检出；VOC含量≤50g/L；苯系物总和含量(mg/kg)：苯、甲苯、二甲苯(含乙苯)未检出HJ2537-2014《环境标志产品技术要求 水性涂料》游离甲醛的合格检测。为保证产品质量，提交响应文件时须提供检测报告，否则报价无效。</w:t>
            </w:r>
            <w:r>
              <w:rPr>
                <w:rFonts w:hint="eastAsia"/>
              </w:rPr>
              <w:br w:type="textWrapping"/>
            </w:r>
            <w:r>
              <w:rPr>
                <w:rFonts w:hint="eastAsia"/>
              </w:rPr>
              <w:t>4、面料：面料采用优质牛皮，头层牛皮的纹理清晰，毛孔细密，质感柔软且韧性好，色泽亮丽，多样，阻燃，防燃、防污、耐磨性强。</w:t>
            </w:r>
            <w:r>
              <w:rPr>
                <w:rFonts w:hint="eastAsia"/>
              </w:rPr>
              <w:br w:type="textWrapping"/>
            </w:r>
            <w:r>
              <w:rPr>
                <w:rFonts w:hint="eastAsia"/>
              </w:rPr>
              <w:t>5、坐垫海绵：采用高弹力聚氨酯海绵，软硬适中，回弹性能好，不变形。 内为55#低燃、高密度、一次成型发泡高弹力海绵，弹力好，不易变形；内框采用优质不变形硬木框结构，所有木材都经过蒸压煮、烘干、杀菌、杀虫处理、含水率≤9%；布质面软扶手，实木装饰面框。</w:t>
            </w:r>
          </w:p>
          <w:p w14:paraId="652B4227">
            <w:pPr>
              <w:rPr>
                <w:rFonts w:ascii="宋体" w:hAnsi="宋体" w:cs="宋体"/>
                <w:sz w:val="24"/>
              </w:rPr>
            </w:pPr>
            <w:r>
              <w:rPr>
                <w:rFonts w:ascii="宋体" w:hAnsi="宋体" w:cs="宋体"/>
                <w:sz w:val="24"/>
              </w:rPr>
              <w:drawing>
                <wp:inline distT="0" distB="0" distL="0" distR="0">
                  <wp:extent cx="1486535" cy="1295400"/>
                  <wp:effectExtent l="19050" t="0" r="0" b="0"/>
                  <wp:docPr id="1" name="图片 1" descr="单人沙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单人沙发"/>
                          <pic:cNvPicPr>
                            <a:picLocks noChangeAspect="1" noChangeArrowheads="1"/>
                          </pic:cNvPicPr>
                        </pic:nvPicPr>
                        <pic:blipFill>
                          <a:blip r:embed="rId6" cstate="print"/>
                          <a:srcRect/>
                          <a:stretch>
                            <a:fillRect/>
                          </a:stretch>
                        </pic:blipFill>
                        <pic:spPr>
                          <a:xfrm>
                            <a:off x="0" y="0"/>
                            <a:ext cx="1486766" cy="1295400"/>
                          </a:xfrm>
                          <a:prstGeom prst="rect">
                            <a:avLst/>
                          </a:prstGeom>
                          <a:noFill/>
                          <a:ln w="9525">
                            <a:noFill/>
                            <a:miter lim="800000"/>
                            <a:headEnd/>
                            <a:tailEnd/>
                          </a:ln>
                        </pic:spPr>
                      </pic:pic>
                    </a:graphicData>
                  </a:graphic>
                </wp:inline>
              </w:drawing>
            </w:r>
          </w:p>
        </w:tc>
        <w:tc>
          <w:tcPr>
            <w:tcW w:w="688" w:type="dxa"/>
            <w:tcBorders>
              <w:top w:val="single" w:color="auto" w:sz="4" w:space="0"/>
              <w:left w:val="single" w:color="auto" w:sz="4" w:space="0"/>
              <w:bottom w:val="single" w:color="auto" w:sz="4" w:space="0"/>
              <w:right w:val="single" w:color="auto" w:sz="4" w:space="0"/>
            </w:tcBorders>
            <w:vAlign w:val="center"/>
          </w:tcPr>
          <w:p w14:paraId="615FA3AD">
            <w:pPr>
              <w:widowControl/>
              <w:jc w:val="center"/>
              <w:rPr>
                <w:rFonts w:ascii="宋体" w:hAnsi="宋体" w:cs="宋体"/>
                <w:szCs w:val="21"/>
              </w:rPr>
            </w:pPr>
            <w:r>
              <w:rPr>
                <w:rFonts w:hint="eastAsia" w:ascii="微软雅黑" w:hAnsi="微软雅黑" w:eastAsia="微软雅黑"/>
                <w:szCs w:val="21"/>
              </w:rPr>
              <w:t>1年</w:t>
            </w:r>
          </w:p>
        </w:tc>
      </w:tr>
      <w:tr w14:paraId="1DAA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jc w:val="center"/>
        </w:trPr>
        <w:tc>
          <w:tcPr>
            <w:tcW w:w="455" w:type="dxa"/>
            <w:tcBorders>
              <w:top w:val="single" w:color="auto" w:sz="4" w:space="0"/>
              <w:left w:val="single" w:color="auto" w:sz="4" w:space="0"/>
              <w:bottom w:val="single" w:color="auto" w:sz="4" w:space="0"/>
              <w:right w:val="single" w:color="auto" w:sz="4" w:space="0"/>
            </w:tcBorders>
            <w:vAlign w:val="center"/>
          </w:tcPr>
          <w:p w14:paraId="169F1D8D">
            <w:pPr>
              <w:jc w:val="center"/>
              <w:rPr>
                <w:rFonts w:ascii="宋体" w:hAnsi="Courier New" w:cs="Courier New"/>
                <w:bCs/>
                <w:szCs w:val="22"/>
              </w:rPr>
            </w:pPr>
            <w:r>
              <w:rPr>
                <w:rFonts w:hint="eastAsia" w:ascii="宋体" w:hAnsi="Courier New" w:cs="Courier New"/>
                <w:bCs/>
                <w:szCs w:val="22"/>
              </w:rPr>
              <w:t>4</w:t>
            </w:r>
          </w:p>
        </w:tc>
        <w:tc>
          <w:tcPr>
            <w:tcW w:w="1080" w:type="dxa"/>
            <w:tcBorders>
              <w:top w:val="single" w:color="auto" w:sz="4" w:space="0"/>
              <w:left w:val="single" w:color="auto" w:sz="4" w:space="0"/>
              <w:bottom w:val="single" w:color="auto" w:sz="4" w:space="0"/>
              <w:right w:val="single" w:color="auto" w:sz="4" w:space="0"/>
            </w:tcBorders>
            <w:vAlign w:val="center"/>
          </w:tcPr>
          <w:p w14:paraId="7AD16F46">
            <w:pPr>
              <w:rPr>
                <w:rFonts w:ascii="宋体" w:hAnsi="宋体" w:cs="宋体"/>
                <w:sz w:val="24"/>
              </w:rPr>
            </w:pPr>
            <w:r>
              <w:rPr>
                <w:rFonts w:hint="eastAsia"/>
              </w:rPr>
              <w:t>沙发边茶几</w:t>
            </w:r>
          </w:p>
        </w:tc>
        <w:tc>
          <w:tcPr>
            <w:tcW w:w="690" w:type="dxa"/>
            <w:tcBorders>
              <w:top w:val="single" w:color="auto" w:sz="4" w:space="0"/>
              <w:left w:val="single" w:color="auto" w:sz="4" w:space="0"/>
              <w:bottom w:val="single" w:color="auto" w:sz="4" w:space="0"/>
              <w:right w:val="single" w:color="auto" w:sz="4" w:space="0"/>
            </w:tcBorders>
            <w:vAlign w:val="center"/>
          </w:tcPr>
          <w:p w14:paraId="27827EEA">
            <w:pPr>
              <w:jc w:val="center"/>
              <w:rPr>
                <w:rFonts w:ascii="宋体" w:hAnsi="宋体" w:cs="宋体"/>
                <w:sz w:val="24"/>
              </w:rPr>
            </w:pPr>
            <w:r>
              <w:rPr>
                <w:rFonts w:hint="eastAsia"/>
              </w:rPr>
              <w:t>12张</w:t>
            </w:r>
          </w:p>
        </w:tc>
        <w:tc>
          <w:tcPr>
            <w:tcW w:w="1124" w:type="dxa"/>
            <w:tcBorders>
              <w:top w:val="single" w:color="auto" w:sz="4" w:space="0"/>
              <w:left w:val="single" w:color="auto" w:sz="4" w:space="0"/>
              <w:bottom w:val="single" w:color="auto" w:sz="4" w:space="0"/>
              <w:right w:val="single" w:color="auto" w:sz="4" w:space="0"/>
            </w:tcBorders>
            <w:vAlign w:val="center"/>
          </w:tcPr>
          <w:p w14:paraId="39E2FD49">
            <w:pPr>
              <w:rPr>
                <w:rFonts w:hint="eastAsia" w:eastAsia="宋体"/>
                <w:lang w:val="en-US" w:eastAsia="zh-CN"/>
              </w:rPr>
            </w:pPr>
            <w:r>
              <w:rPr>
                <w:rFonts w:hint="eastAsia"/>
                <w:lang w:val="en-US" w:eastAsia="zh-CN"/>
              </w:rPr>
              <w:t>定制</w:t>
            </w:r>
          </w:p>
        </w:tc>
        <w:tc>
          <w:tcPr>
            <w:tcW w:w="5814" w:type="dxa"/>
            <w:tcBorders>
              <w:top w:val="single" w:color="auto" w:sz="4" w:space="0"/>
              <w:left w:val="single" w:color="auto" w:sz="4" w:space="0"/>
              <w:bottom w:val="single" w:color="auto" w:sz="4" w:space="0"/>
              <w:right w:val="single" w:color="auto" w:sz="4" w:space="0"/>
            </w:tcBorders>
            <w:vAlign w:val="center"/>
          </w:tcPr>
          <w:p w14:paraId="42963B57">
            <w:r>
              <w:rPr>
                <w:rFonts w:hint="eastAsia"/>
              </w:rPr>
              <w:t>★1、尺寸：680*480*550mm ，材质：白蜡木</w:t>
            </w:r>
            <w:r>
              <w:rPr>
                <w:rFonts w:hint="eastAsia"/>
                <w:lang w:eastAsia="zh-CN"/>
              </w:rPr>
              <w:t>，</w:t>
            </w:r>
            <w:r>
              <w:rPr>
                <w:rFonts w:hint="eastAsia"/>
              </w:rPr>
              <w:t>木质硬度高，芯材稳定性好，木材顺纹抗压强度、静曲强度和顺纹抗拉强度中等。其气干密度为0.60～0.69g/cm³，质地较轻白蜡木。</w:t>
            </w:r>
            <w:r>
              <w:rPr>
                <w:rFonts w:hint="eastAsia"/>
              </w:rPr>
              <w:br w:type="textWrapping"/>
            </w:r>
            <w:r>
              <w:rPr>
                <w:rFonts w:hint="eastAsia"/>
              </w:rPr>
              <w:t>2、饰面：采用胡桃木皮面，厚度为0.6mm以上，所有木皮均经过严格挑选，木纹清晰。</w:t>
            </w:r>
            <w:r>
              <w:rPr>
                <w:rFonts w:hint="eastAsia"/>
              </w:rPr>
              <w:br w:type="textWrapping"/>
            </w:r>
            <w:r>
              <w:rPr>
                <w:rFonts w:hint="eastAsia"/>
              </w:rPr>
              <w:t>★3、水性底漆需通过GB 18581-2020《木器涂料中有害物质限量》甲醛释含量未检出；VOC含量≤50g/L；苯系物总和含量(mg/kg)：苯、甲苯、二甲苯(含乙苯)未检出HJ2537-2014《环境标志产品技术要求 水性涂料》游离甲醛的合格检测。</w:t>
            </w:r>
          </w:p>
          <w:p w14:paraId="229D911F">
            <w:pPr>
              <w:rPr>
                <w:rFonts w:ascii="宋体" w:hAnsi="宋体" w:cs="宋体"/>
                <w:sz w:val="24"/>
              </w:rPr>
            </w:pPr>
            <w:r>
              <w:rPr>
                <w:rFonts w:ascii="宋体" w:hAnsi="宋体" w:cs="宋体"/>
                <w:sz w:val="24"/>
              </w:rPr>
              <w:drawing>
                <wp:inline distT="0" distB="0" distL="0" distR="0">
                  <wp:extent cx="1485900" cy="1614170"/>
                  <wp:effectExtent l="19050" t="0" r="0" b="0"/>
                  <wp:docPr id="7" name="图片 2" descr="边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边几"/>
                          <pic:cNvPicPr>
                            <a:picLocks noChangeAspect="1" noChangeArrowheads="1"/>
                          </pic:cNvPicPr>
                        </pic:nvPicPr>
                        <pic:blipFill>
                          <a:blip r:embed="rId7" cstate="print"/>
                          <a:srcRect/>
                          <a:stretch>
                            <a:fillRect/>
                          </a:stretch>
                        </pic:blipFill>
                        <pic:spPr>
                          <a:xfrm rot="10800000" flipV="1">
                            <a:off x="0" y="0"/>
                            <a:ext cx="1485900" cy="1614311"/>
                          </a:xfrm>
                          <a:prstGeom prst="rect">
                            <a:avLst/>
                          </a:prstGeom>
                          <a:noFill/>
                          <a:ln w="9525">
                            <a:noFill/>
                            <a:miter lim="800000"/>
                            <a:headEnd/>
                            <a:tailEnd/>
                          </a:ln>
                        </pic:spPr>
                      </pic:pic>
                    </a:graphicData>
                  </a:graphic>
                </wp:inline>
              </w:drawing>
            </w:r>
          </w:p>
        </w:tc>
        <w:tc>
          <w:tcPr>
            <w:tcW w:w="688" w:type="dxa"/>
            <w:tcBorders>
              <w:top w:val="single" w:color="auto" w:sz="4" w:space="0"/>
              <w:left w:val="single" w:color="auto" w:sz="4" w:space="0"/>
              <w:bottom w:val="single" w:color="auto" w:sz="4" w:space="0"/>
              <w:right w:val="single" w:color="auto" w:sz="4" w:space="0"/>
            </w:tcBorders>
            <w:vAlign w:val="center"/>
          </w:tcPr>
          <w:p w14:paraId="1BD567F1">
            <w:pPr>
              <w:widowControl/>
              <w:jc w:val="center"/>
              <w:rPr>
                <w:rFonts w:ascii="宋体" w:hAnsi="宋体" w:cs="宋体"/>
                <w:szCs w:val="21"/>
              </w:rPr>
            </w:pPr>
            <w:r>
              <w:rPr>
                <w:rFonts w:hint="eastAsia" w:ascii="微软雅黑" w:hAnsi="微软雅黑" w:eastAsia="微软雅黑"/>
                <w:szCs w:val="21"/>
              </w:rPr>
              <w:t>1年</w:t>
            </w:r>
          </w:p>
        </w:tc>
      </w:tr>
      <w:tr w14:paraId="7A1E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jc w:val="center"/>
        </w:trPr>
        <w:tc>
          <w:tcPr>
            <w:tcW w:w="455" w:type="dxa"/>
            <w:tcBorders>
              <w:top w:val="single" w:color="auto" w:sz="4" w:space="0"/>
              <w:left w:val="single" w:color="auto" w:sz="4" w:space="0"/>
              <w:bottom w:val="single" w:color="auto" w:sz="4" w:space="0"/>
              <w:right w:val="single" w:color="auto" w:sz="4" w:space="0"/>
            </w:tcBorders>
            <w:vAlign w:val="center"/>
          </w:tcPr>
          <w:p w14:paraId="0D263DF9">
            <w:pPr>
              <w:jc w:val="center"/>
              <w:rPr>
                <w:rFonts w:ascii="宋体" w:hAnsi="Courier New" w:cs="Courier New"/>
                <w:bCs/>
                <w:szCs w:val="22"/>
              </w:rPr>
            </w:pPr>
            <w:r>
              <w:rPr>
                <w:rFonts w:hint="eastAsia" w:ascii="宋体" w:hAnsi="Courier New" w:cs="Courier New"/>
                <w:bCs/>
                <w:szCs w:val="22"/>
              </w:rPr>
              <w:t>5</w:t>
            </w:r>
          </w:p>
        </w:tc>
        <w:tc>
          <w:tcPr>
            <w:tcW w:w="1080" w:type="dxa"/>
            <w:tcBorders>
              <w:top w:val="single" w:color="auto" w:sz="4" w:space="0"/>
              <w:left w:val="single" w:color="auto" w:sz="4" w:space="0"/>
              <w:bottom w:val="single" w:color="auto" w:sz="4" w:space="0"/>
              <w:right w:val="single" w:color="auto" w:sz="4" w:space="0"/>
            </w:tcBorders>
            <w:vAlign w:val="center"/>
          </w:tcPr>
          <w:p w14:paraId="6B80BCB8">
            <w:pPr>
              <w:rPr>
                <w:rFonts w:ascii="宋体" w:hAnsi="宋体" w:cs="宋体"/>
                <w:sz w:val="24"/>
              </w:rPr>
            </w:pPr>
            <w:r>
              <w:rPr>
                <w:rFonts w:hint="eastAsia"/>
              </w:rPr>
              <w:t>长方形大茶几</w:t>
            </w:r>
          </w:p>
        </w:tc>
        <w:tc>
          <w:tcPr>
            <w:tcW w:w="690" w:type="dxa"/>
            <w:tcBorders>
              <w:top w:val="single" w:color="auto" w:sz="4" w:space="0"/>
              <w:left w:val="single" w:color="auto" w:sz="4" w:space="0"/>
              <w:bottom w:val="single" w:color="auto" w:sz="4" w:space="0"/>
              <w:right w:val="single" w:color="auto" w:sz="4" w:space="0"/>
            </w:tcBorders>
            <w:vAlign w:val="center"/>
          </w:tcPr>
          <w:p w14:paraId="5F16B24B">
            <w:pPr>
              <w:jc w:val="center"/>
              <w:rPr>
                <w:rFonts w:ascii="宋体" w:hAnsi="宋体" w:cs="宋体"/>
                <w:sz w:val="24"/>
              </w:rPr>
            </w:pPr>
            <w:r>
              <w:rPr>
                <w:rFonts w:hint="eastAsia"/>
              </w:rPr>
              <w:t>6张</w:t>
            </w:r>
          </w:p>
        </w:tc>
        <w:tc>
          <w:tcPr>
            <w:tcW w:w="1124" w:type="dxa"/>
            <w:tcBorders>
              <w:top w:val="single" w:color="auto" w:sz="4" w:space="0"/>
              <w:left w:val="single" w:color="auto" w:sz="4" w:space="0"/>
              <w:bottom w:val="single" w:color="auto" w:sz="4" w:space="0"/>
              <w:right w:val="single" w:color="auto" w:sz="4" w:space="0"/>
            </w:tcBorders>
            <w:vAlign w:val="center"/>
          </w:tcPr>
          <w:p w14:paraId="255EB6B3">
            <w:pPr>
              <w:rPr>
                <w:rFonts w:hint="eastAsia" w:eastAsia="宋体"/>
                <w:lang w:val="en-US" w:eastAsia="zh-CN"/>
              </w:rPr>
            </w:pPr>
            <w:r>
              <w:rPr>
                <w:rFonts w:hint="eastAsia"/>
                <w:lang w:val="en-US" w:eastAsia="zh-CN"/>
              </w:rPr>
              <w:t>定制</w:t>
            </w:r>
          </w:p>
        </w:tc>
        <w:tc>
          <w:tcPr>
            <w:tcW w:w="5814" w:type="dxa"/>
            <w:tcBorders>
              <w:top w:val="single" w:color="auto" w:sz="4" w:space="0"/>
              <w:left w:val="single" w:color="auto" w:sz="4" w:space="0"/>
              <w:bottom w:val="single" w:color="auto" w:sz="4" w:space="0"/>
              <w:right w:val="single" w:color="auto" w:sz="4" w:space="0"/>
            </w:tcBorders>
            <w:vAlign w:val="center"/>
          </w:tcPr>
          <w:p w14:paraId="1B514ECF">
            <w:r>
              <w:rPr>
                <w:rFonts w:hint="eastAsia"/>
              </w:rPr>
              <w:t>1、尺寸：1400*600*550mm，材质：白蜡木</w:t>
            </w:r>
            <w:r>
              <w:rPr>
                <w:rFonts w:hint="eastAsia"/>
                <w:lang w:eastAsia="zh-CN"/>
              </w:rPr>
              <w:t>，</w:t>
            </w:r>
            <w:r>
              <w:rPr>
                <w:rFonts w:hint="eastAsia"/>
              </w:rPr>
              <w:t>木质硬度高，芯材稳定性好，木材顺纹抗压强度、静曲强度和顺纹抗拉强度中等。其气干密度为0.60～0.69g/cm³，质地较轻白蜡木。</w:t>
            </w:r>
            <w:r>
              <w:rPr>
                <w:rFonts w:hint="eastAsia"/>
              </w:rPr>
              <w:br w:type="textWrapping"/>
            </w:r>
            <w:r>
              <w:rPr>
                <w:rFonts w:hint="eastAsia"/>
              </w:rPr>
              <w:t>2、饰面：采用胡桃木皮面，厚度为0.6mm以上，所有木皮均经过严格挑选，木纹清晰。</w:t>
            </w:r>
            <w:r>
              <w:rPr>
                <w:rFonts w:hint="eastAsia"/>
              </w:rPr>
              <w:br w:type="textWrapping"/>
            </w:r>
            <w:r>
              <w:rPr>
                <w:rFonts w:hint="eastAsia"/>
              </w:rPr>
              <w:t>★3、水性底漆需通过GB 18581-2020《木器涂料中有害物质限量》甲醛释含量未检出；VOC含量≤50g/L；苯系物总和含量(mg/kg)：苯、甲苯、二甲苯(含乙苯)未检出HJ2537-2014《环境标志产品技术要求 水性涂料》游离甲醛的合格检测。</w:t>
            </w:r>
          </w:p>
          <w:p w14:paraId="0CF8DA6A">
            <w:pPr>
              <w:rPr>
                <w:rFonts w:ascii="宋体" w:hAnsi="宋体" w:cs="宋体"/>
                <w:sz w:val="24"/>
              </w:rPr>
            </w:pPr>
            <w:r>
              <w:rPr>
                <w:rFonts w:ascii="宋体" w:hAnsi="宋体" w:cs="宋体"/>
                <w:sz w:val="24"/>
              </w:rPr>
              <w:drawing>
                <wp:inline distT="0" distB="0" distL="0" distR="0">
                  <wp:extent cx="1779270" cy="1371600"/>
                  <wp:effectExtent l="19050" t="0" r="0" b="0"/>
                  <wp:docPr id="9" name="图片 3" descr="长方形大茶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长方形大茶几"/>
                          <pic:cNvPicPr>
                            <a:picLocks noChangeAspect="1" noChangeArrowheads="1"/>
                          </pic:cNvPicPr>
                        </pic:nvPicPr>
                        <pic:blipFill>
                          <a:blip r:embed="rId8" cstate="print"/>
                          <a:srcRect/>
                          <a:stretch>
                            <a:fillRect/>
                          </a:stretch>
                        </pic:blipFill>
                        <pic:spPr>
                          <a:xfrm>
                            <a:off x="0" y="0"/>
                            <a:ext cx="1779814" cy="1371600"/>
                          </a:xfrm>
                          <a:prstGeom prst="rect">
                            <a:avLst/>
                          </a:prstGeom>
                          <a:noFill/>
                          <a:ln w="9525">
                            <a:noFill/>
                            <a:miter lim="800000"/>
                            <a:headEnd/>
                            <a:tailEnd/>
                          </a:ln>
                        </pic:spPr>
                      </pic:pic>
                    </a:graphicData>
                  </a:graphic>
                </wp:inline>
              </w:drawing>
            </w:r>
          </w:p>
        </w:tc>
        <w:tc>
          <w:tcPr>
            <w:tcW w:w="688" w:type="dxa"/>
            <w:tcBorders>
              <w:top w:val="single" w:color="auto" w:sz="4" w:space="0"/>
              <w:left w:val="single" w:color="auto" w:sz="4" w:space="0"/>
              <w:bottom w:val="single" w:color="auto" w:sz="4" w:space="0"/>
              <w:right w:val="single" w:color="auto" w:sz="4" w:space="0"/>
            </w:tcBorders>
            <w:vAlign w:val="center"/>
          </w:tcPr>
          <w:p w14:paraId="13FC989D">
            <w:pPr>
              <w:widowControl/>
              <w:jc w:val="center"/>
              <w:rPr>
                <w:rFonts w:ascii="宋体" w:hAnsi="宋体" w:cs="宋体"/>
                <w:szCs w:val="21"/>
              </w:rPr>
            </w:pPr>
            <w:r>
              <w:rPr>
                <w:rFonts w:hint="eastAsia" w:ascii="微软雅黑" w:hAnsi="微软雅黑" w:eastAsia="微软雅黑"/>
                <w:szCs w:val="21"/>
              </w:rPr>
              <w:t>1年</w:t>
            </w:r>
          </w:p>
        </w:tc>
      </w:tr>
      <w:tr w14:paraId="0B3C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jc w:val="center"/>
        </w:trPr>
        <w:tc>
          <w:tcPr>
            <w:tcW w:w="455" w:type="dxa"/>
            <w:tcBorders>
              <w:top w:val="single" w:color="auto" w:sz="4" w:space="0"/>
              <w:left w:val="single" w:color="auto" w:sz="4" w:space="0"/>
              <w:bottom w:val="single" w:color="auto" w:sz="4" w:space="0"/>
              <w:right w:val="single" w:color="auto" w:sz="4" w:space="0"/>
            </w:tcBorders>
            <w:vAlign w:val="center"/>
          </w:tcPr>
          <w:p w14:paraId="3E624894">
            <w:pPr>
              <w:jc w:val="center"/>
              <w:rPr>
                <w:rFonts w:ascii="宋体" w:hAnsi="Courier New" w:cs="Courier New"/>
                <w:bCs/>
                <w:szCs w:val="22"/>
              </w:rPr>
            </w:pPr>
            <w:r>
              <w:rPr>
                <w:rFonts w:hint="eastAsia" w:ascii="宋体" w:hAnsi="Courier New" w:cs="Courier New"/>
                <w:bCs/>
                <w:szCs w:val="22"/>
              </w:rPr>
              <w:t>6</w:t>
            </w:r>
          </w:p>
        </w:tc>
        <w:tc>
          <w:tcPr>
            <w:tcW w:w="1080" w:type="dxa"/>
            <w:tcBorders>
              <w:top w:val="single" w:color="auto" w:sz="4" w:space="0"/>
              <w:left w:val="single" w:color="auto" w:sz="4" w:space="0"/>
              <w:bottom w:val="single" w:color="auto" w:sz="4" w:space="0"/>
              <w:right w:val="single" w:color="auto" w:sz="4" w:space="0"/>
            </w:tcBorders>
            <w:vAlign w:val="center"/>
          </w:tcPr>
          <w:p w14:paraId="6D08E67E">
            <w:pPr>
              <w:rPr>
                <w:rFonts w:ascii="宋体" w:hAnsi="宋体" w:cs="宋体"/>
                <w:sz w:val="24"/>
              </w:rPr>
            </w:pPr>
            <w:r>
              <w:rPr>
                <w:rFonts w:hint="eastAsia"/>
              </w:rPr>
              <w:t>餐边柜</w:t>
            </w:r>
          </w:p>
        </w:tc>
        <w:tc>
          <w:tcPr>
            <w:tcW w:w="690" w:type="dxa"/>
            <w:tcBorders>
              <w:top w:val="single" w:color="auto" w:sz="4" w:space="0"/>
              <w:left w:val="single" w:color="auto" w:sz="4" w:space="0"/>
              <w:bottom w:val="single" w:color="auto" w:sz="4" w:space="0"/>
              <w:right w:val="single" w:color="auto" w:sz="4" w:space="0"/>
            </w:tcBorders>
            <w:vAlign w:val="center"/>
          </w:tcPr>
          <w:p w14:paraId="79BADA6B">
            <w:pPr>
              <w:jc w:val="center"/>
              <w:rPr>
                <w:rFonts w:ascii="宋体" w:hAnsi="宋体" w:cs="宋体"/>
                <w:sz w:val="24"/>
              </w:rPr>
            </w:pPr>
            <w:r>
              <w:rPr>
                <w:rFonts w:hint="eastAsia"/>
              </w:rPr>
              <w:t>2张</w:t>
            </w:r>
          </w:p>
        </w:tc>
        <w:tc>
          <w:tcPr>
            <w:tcW w:w="1124" w:type="dxa"/>
            <w:tcBorders>
              <w:top w:val="single" w:color="auto" w:sz="4" w:space="0"/>
              <w:left w:val="single" w:color="auto" w:sz="4" w:space="0"/>
              <w:bottom w:val="single" w:color="auto" w:sz="4" w:space="0"/>
              <w:right w:val="single" w:color="auto" w:sz="4" w:space="0"/>
            </w:tcBorders>
            <w:vAlign w:val="center"/>
          </w:tcPr>
          <w:p w14:paraId="33588062">
            <w:pPr>
              <w:rPr>
                <w:rFonts w:hint="eastAsia" w:eastAsia="宋体"/>
                <w:lang w:val="en-US" w:eastAsia="zh-CN"/>
              </w:rPr>
            </w:pPr>
            <w:r>
              <w:rPr>
                <w:rFonts w:hint="eastAsia"/>
                <w:lang w:val="en-US" w:eastAsia="zh-CN"/>
              </w:rPr>
              <w:t>定制</w:t>
            </w:r>
          </w:p>
        </w:tc>
        <w:tc>
          <w:tcPr>
            <w:tcW w:w="5814" w:type="dxa"/>
            <w:tcBorders>
              <w:top w:val="single" w:color="auto" w:sz="4" w:space="0"/>
              <w:left w:val="single" w:color="auto" w:sz="4" w:space="0"/>
              <w:bottom w:val="single" w:color="auto" w:sz="4" w:space="0"/>
              <w:right w:val="single" w:color="auto" w:sz="4" w:space="0"/>
            </w:tcBorders>
            <w:vAlign w:val="center"/>
          </w:tcPr>
          <w:p w14:paraId="36271EE0">
            <w:r>
              <w:rPr>
                <w:rFonts w:hint="eastAsia"/>
              </w:rPr>
              <w:t>1、尺寸：1800*400*960mm  材质：白蜡木</w:t>
            </w:r>
            <w:r>
              <w:rPr>
                <w:rFonts w:hint="eastAsia"/>
                <w:lang w:eastAsia="zh-CN"/>
              </w:rPr>
              <w:t>，</w:t>
            </w:r>
            <w:r>
              <w:rPr>
                <w:rFonts w:hint="eastAsia"/>
              </w:rPr>
              <w:t>木质硬度高，芯材稳定性好，木材顺纹抗压强度、静曲强度和顺纹抗拉强度中等。其气干密度为0.60～0.69g/cm³，质地较轻白蜡木。                                                                             2、饰面：采用胡桃木皮面，厚度为0.6mm以上，所有木皮均经过严格挑选，木纹清晰。</w:t>
            </w:r>
            <w:r>
              <w:rPr>
                <w:rFonts w:hint="eastAsia"/>
              </w:rPr>
              <w:br w:type="textWrapping"/>
            </w:r>
            <w:r>
              <w:rPr>
                <w:rFonts w:hint="eastAsia"/>
              </w:rPr>
              <w:t>★3、水性底漆需通过GB 18581-2020《木器涂料中有害物质限量》甲醛释含量未检出；VOC含量≤50g/L；苯系物总和含量(mg/kg)：苯、甲苯、二甲苯(含乙苯)未检出HJ2537-2014《环境标志产品技术要求 水性涂料》游离甲醛的合格检测。</w:t>
            </w:r>
            <w:r>
              <w:rPr>
                <w:rFonts w:hint="eastAsia"/>
              </w:rPr>
              <w:br w:type="textWrapping"/>
            </w:r>
            <w:r>
              <w:rPr>
                <w:rFonts w:hint="eastAsia"/>
              </w:rPr>
              <w:t>4.配件选用优质五金配件，茶盘台面，连接处均紧密拼接，安全、坚固、静音。所有偏心件外露接口处均加装嵌入式孔帽，外表美观，并且有效减少甲醛通过孔眼处释放，环保安全</w:t>
            </w:r>
          </w:p>
          <w:p w14:paraId="0005C9D3">
            <w:pPr>
              <w:rPr>
                <w:rFonts w:ascii="宋体" w:hAnsi="宋体" w:cs="宋体"/>
                <w:sz w:val="24"/>
              </w:rPr>
            </w:pPr>
            <w:r>
              <w:rPr>
                <w:rFonts w:ascii="宋体" w:hAnsi="宋体" w:cs="宋体"/>
                <w:sz w:val="24"/>
              </w:rPr>
              <w:drawing>
                <wp:inline distT="0" distB="0" distL="0" distR="0">
                  <wp:extent cx="1922145" cy="1323975"/>
                  <wp:effectExtent l="19050" t="0" r="1566" b="0"/>
                  <wp:docPr id="10" name="图片 4" descr="餐边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餐边柜"/>
                          <pic:cNvPicPr>
                            <a:picLocks noChangeAspect="1" noChangeArrowheads="1"/>
                          </pic:cNvPicPr>
                        </pic:nvPicPr>
                        <pic:blipFill>
                          <a:blip r:embed="rId9" cstate="print"/>
                          <a:srcRect/>
                          <a:stretch>
                            <a:fillRect/>
                          </a:stretch>
                        </pic:blipFill>
                        <pic:spPr>
                          <a:xfrm>
                            <a:off x="0" y="0"/>
                            <a:ext cx="1922484" cy="1323975"/>
                          </a:xfrm>
                          <a:prstGeom prst="rect">
                            <a:avLst/>
                          </a:prstGeom>
                          <a:noFill/>
                          <a:ln w="9525">
                            <a:noFill/>
                            <a:miter lim="800000"/>
                            <a:headEnd/>
                            <a:tailEnd/>
                          </a:ln>
                        </pic:spPr>
                      </pic:pic>
                    </a:graphicData>
                  </a:graphic>
                </wp:inline>
              </w:drawing>
            </w:r>
          </w:p>
        </w:tc>
        <w:tc>
          <w:tcPr>
            <w:tcW w:w="688" w:type="dxa"/>
            <w:tcBorders>
              <w:top w:val="single" w:color="auto" w:sz="4" w:space="0"/>
              <w:left w:val="single" w:color="auto" w:sz="4" w:space="0"/>
              <w:bottom w:val="single" w:color="auto" w:sz="4" w:space="0"/>
              <w:right w:val="single" w:color="auto" w:sz="4" w:space="0"/>
            </w:tcBorders>
            <w:vAlign w:val="center"/>
          </w:tcPr>
          <w:p w14:paraId="5F78C3EF">
            <w:pPr>
              <w:widowControl/>
              <w:jc w:val="center"/>
              <w:rPr>
                <w:rFonts w:ascii="宋体" w:hAnsi="宋体" w:cs="宋体"/>
                <w:szCs w:val="21"/>
              </w:rPr>
            </w:pPr>
            <w:r>
              <w:rPr>
                <w:rFonts w:hint="eastAsia" w:ascii="微软雅黑" w:hAnsi="微软雅黑" w:eastAsia="微软雅黑"/>
                <w:szCs w:val="21"/>
              </w:rPr>
              <w:t>1年</w:t>
            </w:r>
          </w:p>
        </w:tc>
      </w:tr>
      <w:tr w14:paraId="6FD7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jc w:val="center"/>
        </w:trPr>
        <w:tc>
          <w:tcPr>
            <w:tcW w:w="455" w:type="dxa"/>
            <w:tcBorders>
              <w:top w:val="single" w:color="auto" w:sz="4" w:space="0"/>
              <w:left w:val="single" w:color="auto" w:sz="4" w:space="0"/>
              <w:bottom w:val="single" w:color="auto" w:sz="4" w:space="0"/>
              <w:right w:val="single" w:color="auto" w:sz="4" w:space="0"/>
            </w:tcBorders>
            <w:vAlign w:val="center"/>
          </w:tcPr>
          <w:p w14:paraId="0F737AF7">
            <w:pPr>
              <w:jc w:val="center"/>
              <w:rPr>
                <w:rFonts w:ascii="宋体" w:hAnsi="Courier New" w:cs="Courier New"/>
                <w:bCs/>
                <w:szCs w:val="22"/>
              </w:rPr>
            </w:pPr>
            <w:r>
              <w:rPr>
                <w:rFonts w:hint="eastAsia" w:ascii="宋体" w:hAnsi="Courier New" w:cs="Courier New"/>
                <w:bCs/>
                <w:szCs w:val="22"/>
              </w:rPr>
              <w:t>7</w:t>
            </w:r>
          </w:p>
        </w:tc>
        <w:tc>
          <w:tcPr>
            <w:tcW w:w="1080" w:type="dxa"/>
            <w:tcBorders>
              <w:top w:val="single" w:color="auto" w:sz="4" w:space="0"/>
              <w:left w:val="single" w:color="auto" w:sz="4" w:space="0"/>
              <w:bottom w:val="single" w:color="auto" w:sz="4" w:space="0"/>
              <w:right w:val="single" w:color="auto" w:sz="4" w:space="0"/>
            </w:tcBorders>
            <w:vAlign w:val="center"/>
          </w:tcPr>
          <w:p w14:paraId="2DB19DE1">
            <w:pPr>
              <w:rPr>
                <w:rFonts w:ascii="宋体" w:hAnsi="宋体" w:cs="宋体"/>
                <w:sz w:val="24"/>
              </w:rPr>
            </w:pPr>
            <w:r>
              <w:rPr>
                <w:rFonts w:hint="eastAsia"/>
              </w:rPr>
              <w:t>大会议桌</w:t>
            </w:r>
          </w:p>
        </w:tc>
        <w:tc>
          <w:tcPr>
            <w:tcW w:w="690" w:type="dxa"/>
            <w:tcBorders>
              <w:top w:val="single" w:color="auto" w:sz="4" w:space="0"/>
              <w:left w:val="single" w:color="auto" w:sz="4" w:space="0"/>
              <w:bottom w:val="single" w:color="auto" w:sz="4" w:space="0"/>
              <w:right w:val="single" w:color="auto" w:sz="4" w:space="0"/>
            </w:tcBorders>
            <w:vAlign w:val="center"/>
          </w:tcPr>
          <w:p w14:paraId="0A1A6B95">
            <w:pPr>
              <w:jc w:val="center"/>
              <w:rPr>
                <w:rFonts w:ascii="宋体" w:hAnsi="宋体" w:cs="宋体"/>
                <w:sz w:val="24"/>
              </w:rPr>
            </w:pPr>
            <w:r>
              <w:rPr>
                <w:rFonts w:hint="eastAsia"/>
              </w:rPr>
              <w:t>2张</w:t>
            </w:r>
          </w:p>
        </w:tc>
        <w:tc>
          <w:tcPr>
            <w:tcW w:w="1124" w:type="dxa"/>
            <w:tcBorders>
              <w:top w:val="single" w:color="auto" w:sz="4" w:space="0"/>
              <w:left w:val="single" w:color="auto" w:sz="4" w:space="0"/>
              <w:bottom w:val="single" w:color="auto" w:sz="4" w:space="0"/>
              <w:right w:val="single" w:color="auto" w:sz="4" w:space="0"/>
            </w:tcBorders>
            <w:vAlign w:val="center"/>
          </w:tcPr>
          <w:p w14:paraId="1CF5A872">
            <w:pPr>
              <w:rPr>
                <w:rFonts w:hint="eastAsia" w:eastAsia="宋体"/>
                <w:lang w:val="en-US" w:eastAsia="zh-CN"/>
              </w:rPr>
            </w:pPr>
            <w:r>
              <w:rPr>
                <w:rFonts w:hint="eastAsia"/>
                <w:lang w:val="en-US" w:eastAsia="zh-CN"/>
              </w:rPr>
              <w:t>定制</w:t>
            </w:r>
          </w:p>
        </w:tc>
        <w:tc>
          <w:tcPr>
            <w:tcW w:w="5814" w:type="dxa"/>
            <w:tcBorders>
              <w:top w:val="single" w:color="auto" w:sz="4" w:space="0"/>
              <w:left w:val="single" w:color="auto" w:sz="4" w:space="0"/>
              <w:bottom w:val="single" w:color="auto" w:sz="4" w:space="0"/>
              <w:right w:val="single" w:color="auto" w:sz="4" w:space="0"/>
            </w:tcBorders>
            <w:vAlign w:val="center"/>
          </w:tcPr>
          <w:p w14:paraId="4F3931FD">
            <w:r>
              <w:rPr>
                <w:rFonts w:hint="eastAsia"/>
              </w:rPr>
              <w:t xml:space="preserve"> 1、★尺寸：5800*1800*760mm  基材：板材采用一级高密度中纤板，密度达标700KG/㎡以上，符合1基材：板材采用一级高密度中纤板，密度达标700KG/㎡以上，符合国际E1级标准，并经过防潮、防虫、防腐处理，抗弯力强，不易变形；选用优质实木封边（厚度30mm），油漆：胡桃色，采用A级油漆，经9道磨退工艺，油漆面无颗粒，无气泡，无渣点，颜色均匀，硬度高，油漆硬度≥2H，耐热性要求放100度开水无烫痕；胶水：国家一级环保胶水，粘合力强度大，要求不开裂；</w:t>
            </w:r>
            <w:r>
              <w:rPr>
                <w:rFonts w:hint="eastAsia"/>
              </w:rPr>
              <w:br w:type="textWrapping"/>
            </w:r>
            <w:r>
              <w:rPr>
                <w:rFonts w:hint="eastAsia"/>
              </w:rPr>
              <w:t>2、油漆：需通过GB 18581-2020《木器涂料中有害物质限量》检测VOC含量≤2g/L、甲醛含量≤10mg/kg、总铅(Pb)含量≤10mg/kg、可溶性重金属含量：镉含量、铬含量、汞含量均未检出的合格报告。为保证产品质量，提交响应文件时须提供检测报告，否则报价无效。</w:t>
            </w:r>
            <w:r>
              <w:rPr>
                <w:rFonts w:hint="eastAsia"/>
              </w:rPr>
              <w:br w:type="textWrapping"/>
            </w:r>
            <w:r>
              <w:rPr>
                <w:rFonts w:hint="eastAsia"/>
              </w:rPr>
              <w:t>3、胶粘剂：需通过GB18583-2008《室内装饰装修材料胶粘剂中有害物质限量》检测游离甲醛未检出；苯含量未检出；二氯甲烷、1，2-二氯乙烷、1,12-三氯乙烷和三氯乙烯总含量未检出；总挥发性有机物含量≤20g/L；甲苯+二甲苯含量未检出的合格检测。</w:t>
            </w:r>
            <w:r>
              <w:rPr>
                <w:rFonts w:hint="eastAsia"/>
              </w:rPr>
              <w:br w:type="textWrapping"/>
            </w:r>
            <w:r>
              <w:rPr>
                <w:rFonts w:hint="eastAsia"/>
              </w:rPr>
              <w:t>★5、导轨需通过QB/T2454-2013《家具五金 抽屉导轨》、QB/T 3832-199《轻工产品金属镀层腐蚀试验结果评估》、GB/T 230.1-2009《金属材料 维氏硬度试验 第1部分:试验方法》、QB/T 3826-1999《轻工产品金属镀层和化学处理层的耐腐蚀试验方法中性盐雾试验(NSS)法》检测过载：垂直向下静载荷，水平侧向静载荷，猛关或猛开关；耐腐蚀18h,1.5mm以下锈点不应超过20点/dm²，其中直径1.0mm以上的锈点不应超过5点dm²(距边缘棱角2m以内的不计)；中性盐雾50h，耐腐蚀的合格检测。提交响应文件时须提供检测报告。为保证产品质量，提交响应文件时须提供检测报告，否则报价无效。</w:t>
            </w:r>
            <w:r>
              <w:rPr>
                <w:rFonts w:hint="eastAsia"/>
              </w:rPr>
              <w:br w:type="textWrapping"/>
            </w:r>
            <w:r>
              <w:rPr>
                <w:rFonts w:hint="eastAsia"/>
              </w:rPr>
              <w:t>6、三合一连接件需符合GB/T 28203-2011、QB/T 3832-1999、QB/T 3826-1999、GB/T 4340.1-2009检测外观：金属件表面应无锈蚀、毛刺刃口、露底，应光滑平整，应无起泡、泛黄、花斑、烧焦、裂纹、划痕、磕碰伤等缺陷；焊接部位应牢固，应无脱焊、虚焊、焊穿，焊缝均匀，应无毛刺、锐楞、飞溅、裂纹等缺陷；塑料部位表面应光洁平滑，不应有裂纹、划伤、沙粒、疙瘩、麻点等缺陷，色泽应一致；木榫表面应光滑无毛刺，圆榫槽纹应清晰金属表面耐腐蚀中性盐雾50h，镀(涂)层对基体的保护等级10级，镀(涂)层本身的耐腐蚀等级10级维氏硬度的合格检测。</w:t>
            </w:r>
          </w:p>
          <w:p w14:paraId="73D5EAC9">
            <w:pPr>
              <w:rPr>
                <w:rFonts w:ascii="宋体" w:hAnsi="宋体" w:cs="宋体"/>
                <w:sz w:val="24"/>
              </w:rPr>
            </w:pPr>
            <w:r>
              <w:rPr>
                <w:rFonts w:ascii="宋体" w:hAnsi="宋体" w:cs="宋体"/>
                <w:sz w:val="24"/>
              </w:rPr>
              <w:drawing>
                <wp:inline distT="0" distB="0" distL="0" distR="0">
                  <wp:extent cx="3400425" cy="1028700"/>
                  <wp:effectExtent l="19050" t="0" r="9525" b="0"/>
                  <wp:docPr id="11" name="图片 5" descr="大会议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大会议桌"/>
                          <pic:cNvPicPr>
                            <a:picLocks noChangeAspect="1" noChangeArrowheads="1"/>
                          </pic:cNvPicPr>
                        </pic:nvPicPr>
                        <pic:blipFill>
                          <a:blip r:embed="rId10"/>
                          <a:srcRect/>
                          <a:stretch>
                            <a:fillRect/>
                          </a:stretch>
                        </pic:blipFill>
                        <pic:spPr>
                          <a:xfrm>
                            <a:off x="0" y="0"/>
                            <a:ext cx="3400425" cy="1028700"/>
                          </a:xfrm>
                          <a:prstGeom prst="rect">
                            <a:avLst/>
                          </a:prstGeom>
                          <a:noFill/>
                          <a:ln w="9525">
                            <a:noFill/>
                            <a:miter lim="800000"/>
                            <a:headEnd/>
                            <a:tailEnd/>
                          </a:ln>
                        </pic:spPr>
                      </pic:pic>
                    </a:graphicData>
                  </a:graphic>
                </wp:inline>
              </w:drawing>
            </w:r>
          </w:p>
        </w:tc>
        <w:tc>
          <w:tcPr>
            <w:tcW w:w="688" w:type="dxa"/>
            <w:tcBorders>
              <w:top w:val="single" w:color="auto" w:sz="4" w:space="0"/>
              <w:left w:val="single" w:color="auto" w:sz="4" w:space="0"/>
              <w:bottom w:val="single" w:color="auto" w:sz="4" w:space="0"/>
              <w:right w:val="single" w:color="auto" w:sz="4" w:space="0"/>
            </w:tcBorders>
            <w:vAlign w:val="center"/>
          </w:tcPr>
          <w:p w14:paraId="4814D8BB">
            <w:pPr>
              <w:widowControl/>
              <w:jc w:val="center"/>
              <w:rPr>
                <w:rFonts w:ascii="宋体" w:hAnsi="宋体" w:cs="宋体"/>
                <w:szCs w:val="21"/>
              </w:rPr>
            </w:pPr>
            <w:r>
              <w:rPr>
                <w:rFonts w:hint="eastAsia" w:ascii="微软雅黑" w:hAnsi="微软雅黑" w:eastAsia="微软雅黑"/>
                <w:szCs w:val="21"/>
              </w:rPr>
              <w:t>1年</w:t>
            </w:r>
          </w:p>
        </w:tc>
      </w:tr>
      <w:tr w14:paraId="180C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jc w:val="center"/>
        </w:trPr>
        <w:tc>
          <w:tcPr>
            <w:tcW w:w="455" w:type="dxa"/>
            <w:tcBorders>
              <w:top w:val="single" w:color="auto" w:sz="4" w:space="0"/>
              <w:left w:val="single" w:color="auto" w:sz="4" w:space="0"/>
              <w:bottom w:val="single" w:color="auto" w:sz="4" w:space="0"/>
              <w:right w:val="single" w:color="auto" w:sz="4" w:space="0"/>
            </w:tcBorders>
            <w:vAlign w:val="center"/>
          </w:tcPr>
          <w:p w14:paraId="2BC1AD7D">
            <w:pPr>
              <w:jc w:val="center"/>
              <w:rPr>
                <w:rFonts w:ascii="宋体" w:hAnsi="Courier New" w:cs="Courier New"/>
                <w:bCs/>
                <w:szCs w:val="22"/>
              </w:rPr>
            </w:pPr>
            <w:r>
              <w:rPr>
                <w:rFonts w:hint="eastAsia" w:ascii="宋体" w:hAnsi="Courier New" w:cs="Courier New"/>
                <w:bCs/>
                <w:szCs w:val="22"/>
              </w:rPr>
              <w:t>8</w:t>
            </w:r>
          </w:p>
        </w:tc>
        <w:tc>
          <w:tcPr>
            <w:tcW w:w="1080" w:type="dxa"/>
            <w:tcBorders>
              <w:top w:val="single" w:color="auto" w:sz="4" w:space="0"/>
              <w:left w:val="single" w:color="auto" w:sz="4" w:space="0"/>
              <w:bottom w:val="single" w:color="auto" w:sz="4" w:space="0"/>
              <w:right w:val="single" w:color="auto" w:sz="4" w:space="0"/>
            </w:tcBorders>
            <w:vAlign w:val="center"/>
          </w:tcPr>
          <w:p w14:paraId="3B9124FE">
            <w:pPr>
              <w:rPr>
                <w:rFonts w:ascii="宋体" w:hAnsi="宋体" w:cs="宋体"/>
                <w:sz w:val="24"/>
              </w:rPr>
            </w:pPr>
            <w:r>
              <w:rPr>
                <w:rFonts w:hint="eastAsia"/>
              </w:rPr>
              <w:t>会议椅子单人</w:t>
            </w:r>
          </w:p>
        </w:tc>
        <w:tc>
          <w:tcPr>
            <w:tcW w:w="690" w:type="dxa"/>
            <w:tcBorders>
              <w:top w:val="single" w:color="auto" w:sz="4" w:space="0"/>
              <w:left w:val="single" w:color="auto" w:sz="4" w:space="0"/>
              <w:bottom w:val="single" w:color="auto" w:sz="4" w:space="0"/>
              <w:right w:val="single" w:color="auto" w:sz="4" w:space="0"/>
            </w:tcBorders>
            <w:vAlign w:val="center"/>
          </w:tcPr>
          <w:p w14:paraId="573266EA">
            <w:pPr>
              <w:jc w:val="center"/>
              <w:rPr>
                <w:rFonts w:ascii="宋体" w:hAnsi="宋体" w:cs="宋体"/>
                <w:sz w:val="24"/>
              </w:rPr>
            </w:pPr>
            <w:r>
              <w:rPr>
                <w:rFonts w:hint="eastAsia"/>
              </w:rPr>
              <w:t>50张</w:t>
            </w:r>
          </w:p>
        </w:tc>
        <w:tc>
          <w:tcPr>
            <w:tcW w:w="1124" w:type="dxa"/>
            <w:tcBorders>
              <w:top w:val="single" w:color="auto" w:sz="4" w:space="0"/>
              <w:left w:val="single" w:color="auto" w:sz="4" w:space="0"/>
              <w:bottom w:val="single" w:color="auto" w:sz="4" w:space="0"/>
              <w:right w:val="single" w:color="auto" w:sz="4" w:space="0"/>
            </w:tcBorders>
            <w:vAlign w:val="center"/>
          </w:tcPr>
          <w:p w14:paraId="6AC6F040">
            <w:pPr>
              <w:rPr>
                <w:rFonts w:hint="eastAsia" w:eastAsia="宋体"/>
                <w:lang w:val="en-US" w:eastAsia="zh-CN"/>
              </w:rPr>
            </w:pPr>
            <w:r>
              <w:rPr>
                <w:rFonts w:hint="eastAsia"/>
                <w:lang w:val="en-US" w:eastAsia="zh-CN"/>
              </w:rPr>
              <w:t>定制</w:t>
            </w:r>
          </w:p>
        </w:tc>
        <w:tc>
          <w:tcPr>
            <w:tcW w:w="5814" w:type="dxa"/>
            <w:tcBorders>
              <w:top w:val="single" w:color="auto" w:sz="4" w:space="0"/>
              <w:left w:val="single" w:color="auto" w:sz="4" w:space="0"/>
              <w:bottom w:val="single" w:color="auto" w:sz="4" w:space="0"/>
              <w:right w:val="single" w:color="auto" w:sz="4" w:space="0"/>
            </w:tcBorders>
            <w:vAlign w:val="center"/>
          </w:tcPr>
          <w:p w14:paraId="2E022C89">
            <w:r>
              <w:rPr>
                <w:rFonts w:hint="eastAsia"/>
              </w:rPr>
              <w:t>▲1、 面料：采用优质西皮，西皮厚度不小于1.0mm，符合GB/T16799-2018《家具用皮革》中的技术要求，革身平整、柔软、丰满有弹性。</w:t>
            </w:r>
            <w:r>
              <w:rPr>
                <w:rFonts w:hint="eastAsia"/>
              </w:rPr>
              <w:br w:type="textWrapping"/>
            </w:r>
            <w:r>
              <w:rPr>
                <w:rFonts w:hint="eastAsia"/>
              </w:rPr>
              <w:t>▲2、海棉：高密度高回弹海绵，座面密度≥30kg/m³，其各技术参数符合GB/T10802-2006《通用软质聚醚型聚氨酯泡沫塑料》标准，颜色均匀，气孔大小均匀无污染、无刺激性气味。</w:t>
            </w:r>
            <w:r>
              <w:rPr>
                <w:rFonts w:hint="eastAsia"/>
              </w:rPr>
              <w:br w:type="textWrapping"/>
            </w:r>
            <w:r>
              <w:rPr>
                <w:rFonts w:hint="eastAsia"/>
              </w:rPr>
              <w:t>▲3、坐板:13mm厚弯板，基材采用E1级环保实木多层板,各项技术参数符合GB/T9846-2015《普通胶合板》标准；甲醛释放量达到GB/T39600-2021或GB18580-2017《室内装饰装修材料人造板及其制品甲醛释放量》国家E0级标准，甲醛释放量≤0.05mg/m³；挥发性有机化合物(72h)符合GB/T 35601-2017 《绿色产品评价 人造板和木质地板》标准，TVOC≤100µg/m³。</w:t>
            </w:r>
            <w:r>
              <w:rPr>
                <w:rFonts w:hint="eastAsia"/>
              </w:rPr>
              <w:br w:type="textWrapping"/>
            </w:r>
            <w:r>
              <w:rPr>
                <w:rFonts w:hint="eastAsia"/>
              </w:rPr>
              <w:t>4、1.8精抛电镀架，承重可达300kg</w:t>
            </w:r>
          </w:p>
          <w:p w14:paraId="59F2A253">
            <w:pPr>
              <w:rPr>
                <w:rFonts w:ascii="宋体" w:hAnsi="宋体" w:cs="宋体"/>
                <w:sz w:val="24"/>
              </w:rPr>
            </w:pPr>
            <w:r>
              <w:rPr>
                <w:rFonts w:ascii="宋体" w:hAnsi="宋体" w:cs="宋体"/>
                <w:sz w:val="24"/>
              </w:rPr>
              <w:drawing>
                <wp:inline distT="0" distB="0" distL="0" distR="0">
                  <wp:extent cx="1514475" cy="1685925"/>
                  <wp:effectExtent l="19050" t="0" r="9302"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noChangeArrowheads="1"/>
                          </pic:cNvPicPr>
                        </pic:nvPicPr>
                        <pic:blipFill>
                          <a:blip r:embed="rId11"/>
                          <a:srcRect/>
                          <a:stretch>
                            <a:fillRect/>
                          </a:stretch>
                        </pic:blipFill>
                        <pic:spPr>
                          <a:xfrm>
                            <a:off x="0" y="0"/>
                            <a:ext cx="1514698" cy="1685925"/>
                          </a:xfrm>
                          <a:prstGeom prst="rect">
                            <a:avLst/>
                          </a:prstGeom>
                          <a:noFill/>
                          <a:ln w="9525">
                            <a:noFill/>
                            <a:miter lim="800000"/>
                            <a:headEnd/>
                            <a:tailEnd/>
                          </a:ln>
                        </pic:spPr>
                      </pic:pic>
                    </a:graphicData>
                  </a:graphic>
                </wp:inline>
              </w:drawing>
            </w:r>
          </w:p>
        </w:tc>
        <w:tc>
          <w:tcPr>
            <w:tcW w:w="688" w:type="dxa"/>
            <w:tcBorders>
              <w:top w:val="single" w:color="auto" w:sz="4" w:space="0"/>
              <w:left w:val="single" w:color="auto" w:sz="4" w:space="0"/>
              <w:bottom w:val="single" w:color="auto" w:sz="4" w:space="0"/>
              <w:right w:val="single" w:color="auto" w:sz="4" w:space="0"/>
            </w:tcBorders>
            <w:vAlign w:val="center"/>
          </w:tcPr>
          <w:p w14:paraId="7E05BBB5">
            <w:pPr>
              <w:widowControl/>
              <w:jc w:val="center"/>
              <w:rPr>
                <w:rFonts w:ascii="宋体" w:hAnsi="宋体" w:cs="宋体"/>
                <w:szCs w:val="21"/>
              </w:rPr>
            </w:pPr>
            <w:r>
              <w:rPr>
                <w:rFonts w:hint="eastAsia" w:ascii="微软雅黑" w:hAnsi="微软雅黑" w:eastAsia="微软雅黑"/>
                <w:szCs w:val="21"/>
              </w:rPr>
              <w:t>1年</w:t>
            </w:r>
          </w:p>
        </w:tc>
      </w:tr>
      <w:tr w14:paraId="1D30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851" w:type="dxa"/>
            <w:gridSpan w:val="6"/>
            <w:tcBorders>
              <w:top w:val="single" w:color="auto" w:sz="4" w:space="0"/>
              <w:left w:val="single" w:color="auto" w:sz="4" w:space="0"/>
              <w:bottom w:val="single" w:color="auto" w:sz="4" w:space="0"/>
              <w:right w:val="single" w:color="auto" w:sz="4" w:space="0"/>
            </w:tcBorders>
            <w:vAlign w:val="center"/>
          </w:tcPr>
          <w:p w14:paraId="4353F342">
            <w:pPr>
              <w:widowControl/>
              <w:jc w:val="left"/>
              <w:rPr>
                <w:rFonts w:ascii="宋体" w:hAnsi="Courier New" w:cs="Courier New"/>
                <w:bCs/>
                <w:szCs w:val="22"/>
              </w:rPr>
            </w:pPr>
            <w:r>
              <w:rPr>
                <w:rFonts w:hint="eastAsia" w:ascii="微软雅黑" w:hAnsi="微软雅黑" w:eastAsia="微软雅黑" w:cs="宋体"/>
                <w:szCs w:val="21"/>
              </w:rPr>
              <w:t>交货期：</w:t>
            </w:r>
            <w:r>
              <w:rPr>
                <w:rFonts w:hint="eastAsia" w:hAnsi="宋体" w:cs="Arial"/>
              </w:rPr>
              <w:t>合同签</w:t>
            </w:r>
            <w:r>
              <w:rPr>
                <w:rFonts w:hint="eastAsia" w:ascii="宋体" w:hAnsi="宋体" w:cs="宋体"/>
              </w:rPr>
              <w:t>订之日起</w:t>
            </w:r>
            <w:r>
              <w:rPr>
                <w:rFonts w:hint="eastAsia" w:ascii="宋体" w:hAnsi="宋体" w:cs="宋体"/>
                <w:u w:val="single"/>
              </w:rPr>
              <w:t>10个工作日</w:t>
            </w:r>
            <w:r>
              <w:rPr>
                <w:rFonts w:hint="eastAsia" w:ascii="宋体" w:hAnsi="宋体" w:cs="宋体"/>
              </w:rPr>
              <w:t>内</w:t>
            </w:r>
          </w:p>
        </w:tc>
      </w:tr>
      <w:tr w14:paraId="5518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851" w:type="dxa"/>
            <w:gridSpan w:val="6"/>
            <w:shd w:val="clear" w:color="000000" w:fill="FFFFFF"/>
            <w:vAlign w:val="center"/>
          </w:tcPr>
          <w:p w14:paraId="29A37BD0">
            <w:pPr>
              <w:spacing w:line="360" w:lineRule="auto"/>
              <w:rPr>
                <w:rFonts w:ascii="宋体" w:hAnsi="宋体" w:cs="宋体"/>
                <w:b/>
                <w:kern w:val="0"/>
                <w:szCs w:val="21"/>
              </w:rPr>
            </w:pPr>
            <w:r>
              <w:rPr>
                <w:rFonts w:hint="eastAsia" w:ascii="宋体" w:hAnsi="宋体"/>
                <w:b/>
                <w:iCs/>
                <w:szCs w:val="21"/>
              </w:rPr>
              <w:t>二、商务要求表</w:t>
            </w:r>
          </w:p>
        </w:tc>
      </w:tr>
      <w:tr w14:paraId="4000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35" w:type="dxa"/>
            <w:gridSpan w:val="2"/>
            <w:shd w:val="clear" w:color="000000" w:fill="FFFFFF"/>
            <w:vAlign w:val="center"/>
          </w:tcPr>
          <w:p w14:paraId="273E8268">
            <w:pPr>
              <w:spacing w:line="360" w:lineRule="auto"/>
              <w:rPr>
                <w:rFonts w:ascii="宋体" w:hAnsi="宋体"/>
                <w:b/>
                <w:iCs/>
                <w:szCs w:val="21"/>
              </w:rPr>
            </w:pPr>
            <w:r>
              <w:rPr>
                <w:rFonts w:hint="eastAsia" w:ascii="宋体" w:hAnsi="宋体"/>
                <w:b/>
                <w:iCs/>
                <w:szCs w:val="21"/>
              </w:rPr>
              <w:t>报价</w:t>
            </w:r>
            <w:r>
              <w:rPr>
                <w:rFonts w:ascii="宋体" w:hAnsi="宋体"/>
                <w:b/>
                <w:iCs/>
                <w:szCs w:val="21"/>
              </w:rPr>
              <w:t>要求</w:t>
            </w:r>
          </w:p>
        </w:tc>
        <w:tc>
          <w:tcPr>
            <w:tcW w:w="8316" w:type="dxa"/>
            <w:gridSpan w:val="4"/>
            <w:shd w:val="clear" w:color="000000" w:fill="FFFFFF"/>
            <w:vAlign w:val="center"/>
          </w:tcPr>
          <w:p w14:paraId="177C0B88">
            <w:pPr>
              <w:numPr>
                <w:ilvl w:val="0"/>
                <w:numId w:val="7"/>
              </w:numPr>
              <w:spacing w:line="320" w:lineRule="exact"/>
            </w:pPr>
            <w:r>
              <w:rPr>
                <w:rFonts w:hint="eastAsia"/>
              </w:rPr>
              <w:t>供应商报价时必须响应本文件的“项目要求及技术需求”，否则报价无效。</w:t>
            </w:r>
          </w:p>
          <w:p w14:paraId="71D387FF">
            <w:pPr>
              <w:numPr>
                <w:ilvl w:val="0"/>
                <w:numId w:val="7"/>
              </w:numPr>
              <w:spacing w:line="320" w:lineRule="exact"/>
            </w:pPr>
            <w:r>
              <w:rPr>
                <w:rFonts w:hint="eastAsia"/>
              </w:rPr>
              <w:t>供应商报价时所投产品的参数必须与询价文件里的需求参数一致或者优于询价文件里的需求参数，如发生供应商在响应文件里对本次采购项目需求参数全部响应，但实际供货时发现所投产品规格及参数不符合采购需求参数，采购人有权要求供应商更换为符合本次采购需求参数的产品，也有权取消成交供应商资格，所产生的一切后果由供应商自行负责。</w:t>
            </w:r>
          </w:p>
          <w:p w14:paraId="4AED269C">
            <w:pPr>
              <w:numPr>
                <w:ilvl w:val="0"/>
                <w:numId w:val="7"/>
              </w:numPr>
              <w:spacing w:line="320" w:lineRule="exact"/>
            </w:pPr>
            <w:r>
              <w:rPr>
                <w:rFonts w:hint="eastAsia"/>
              </w:rPr>
              <w:t>本项目为总价包干，竞标报价包含货物、服务、货物标准附件、备品备件、专用工具、设备安装辅材、施工辅材、包装、运输、装卸、保险、货到就位的各种费用以及安装、调试等本文件所列设备材料、功能配置需进行补充完善才能完成本项目的或实际采购中产品材料、功能配置有任何遗漏的费用（含本项目需要但本文件中未列出的设备材料、功能配置）、税金、验收检测费、合理利润、售后服务、技术培训及其他所有成本费用，以及合同明示或暗示的所有责任、义务和一般风险等一切费用。</w:t>
            </w:r>
          </w:p>
          <w:p w14:paraId="1FDE7A99">
            <w:pPr>
              <w:numPr>
                <w:ilvl w:val="0"/>
                <w:numId w:val="7"/>
              </w:numPr>
              <w:spacing w:line="320" w:lineRule="exact"/>
            </w:pPr>
            <w:r>
              <w:rPr>
                <w:rFonts w:hint="eastAsia"/>
              </w:rPr>
              <w:t>供应商在报价时必须按附件格式提供响应文件（加盖单位公章）扫描件，否则报价无效。如果不能按时按要求提供，则视为供应商响应无效。</w:t>
            </w:r>
          </w:p>
        </w:tc>
      </w:tr>
      <w:tr w14:paraId="7E37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35" w:type="dxa"/>
            <w:gridSpan w:val="2"/>
            <w:shd w:val="clear" w:color="000000" w:fill="FFFFFF"/>
            <w:vAlign w:val="center"/>
          </w:tcPr>
          <w:p w14:paraId="1A529036">
            <w:pPr>
              <w:spacing w:line="360" w:lineRule="auto"/>
              <w:rPr>
                <w:rFonts w:ascii="宋体" w:hAnsi="宋体"/>
                <w:iCs/>
                <w:szCs w:val="21"/>
              </w:rPr>
            </w:pPr>
            <w:r>
              <w:rPr>
                <w:rFonts w:hint="eastAsia" w:ascii="宋体" w:hAnsi="宋体"/>
                <w:b/>
                <w:iCs/>
                <w:szCs w:val="21"/>
              </w:rPr>
              <w:t>质保期及免费维护期限</w:t>
            </w:r>
          </w:p>
        </w:tc>
        <w:tc>
          <w:tcPr>
            <w:tcW w:w="8316" w:type="dxa"/>
            <w:gridSpan w:val="4"/>
            <w:shd w:val="clear" w:color="000000" w:fill="FFFFFF"/>
            <w:vAlign w:val="center"/>
          </w:tcPr>
          <w:p w14:paraId="55501B76">
            <w:pPr>
              <w:spacing w:line="320" w:lineRule="exact"/>
              <w:ind w:firstLine="420" w:firstLineChars="200"/>
              <w:rPr>
                <w:rFonts w:ascii="宋体" w:hAnsi="宋体" w:cs="宋体"/>
              </w:rPr>
            </w:pPr>
            <w:r>
              <w:rPr>
                <w:rFonts w:hint="eastAsia" w:ascii="宋体" w:hAnsi="宋体" w:cs="宋体"/>
              </w:rPr>
              <w:t>质保期至少为</w:t>
            </w:r>
            <w:r>
              <w:rPr>
                <w:rFonts w:hint="eastAsia" w:ascii="宋体" w:hAnsi="宋体" w:cs="宋体"/>
                <w:u w:val="single"/>
              </w:rPr>
              <w:t>1年</w:t>
            </w:r>
            <w:r>
              <w:rPr>
                <w:rFonts w:hint="eastAsia" w:ascii="宋体" w:hAnsi="宋体" w:cs="宋体"/>
              </w:rPr>
              <w:t>（具体以报价文件承诺为准），自通过验收合格之日起至质保期届满且经采购人确认无任何质量问题时止。质保期内，提供免费上门维修服务，免收维修费和配件费，保障正常运行并提供终身技术支持。</w:t>
            </w:r>
          </w:p>
        </w:tc>
      </w:tr>
      <w:tr w14:paraId="536E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gridSpan w:val="2"/>
            <w:shd w:val="clear" w:color="000000" w:fill="FFFFFF"/>
            <w:vAlign w:val="center"/>
          </w:tcPr>
          <w:p w14:paraId="07E38C51">
            <w:pPr>
              <w:spacing w:line="360" w:lineRule="auto"/>
              <w:rPr>
                <w:rFonts w:ascii="宋体" w:hAnsi="宋体"/>
                <w:b/>
                <w:iCs/>
                <w:szCs w:val="21"/>
              </w:rPr>
            </w:pPr>
            <w:r>
              <w:rPr>
                <w:rFonts w:hint="eastAsia" w:ascii="宋体" w:hAnsi="宋体"/>
                <w:b/>
                <w:iCs/>
                <w:szCs w:val="21"/>
              </w:rPr>
              <w:t>交货时间</w:t>
            </w:r>
          </w:p>
          <w:p w14:paraId="476F548F">
            <w:pPr>
              <w:spacing w:line="360" w:lineRule="auto"/>
              <w:rPr>
                <w:rFonts w:ascii="宋体" w:hAnsi="宋体" w:cs="宋体"/>
                <w:iCs/>
                <w:szCs w:val="21"/>
              </w:rPr>
            </w:pPr>
            <w:r>
              <w:rPr>
                <w:rFonts w:hint="eastAsia" w:ascii="宋体" w:hAnsi="宋体"/>
                <w:b/>
                <w:iCs/>
                <w:szCs w:val="21"/>
              </w:rPr>
              <w:t>及地点</w:t>
            </w:r>
          </w:p>
        </w:tc>
        <w:tc>
          <w:tcPr>
            <w:tcW w:w="8316" w:type="dxa"/>
            <w:gridSpan w:val="4"/>
            <w:shd w:val="clear" w:color="000000" w:fill="FFFFFF"/>
            <w:vAlign w:val="center"/>
          </w:tcPr>
          <w:p w14:paraId="39D67984">
            <w:pPr>
              <w:numPr>
                <w:ilvl w:val="0"/>
                <w:numId w:val="8"/>
              </w:numPr>
              <w:spacing w:line="320" w:lineRule="exact"/>
              <w:rPr>
                <w:rFonts w:ascii="宋体" w:hAnsi="宋体" w:cs="宋体"/>
              </w:rPr>
            </w:pPr>
            <w:r>
              <w:rPr>
                <w:rFonts w:hint="eastAsia" w:ascii="宋体" w:hAnsi="宋体" w:cs="宋体"/>
              </w:rPr>
              <w:t>供货安装时间：合同签订之日起10个工作日内，供应商须按采购人的要求全部供货调试完毕。如果出现不能按时供货，则视为成交供应商违约，采购人将追究成交供应商违约责任，并按照政府采购管理程序上报监督管理部门。</w:t>
            </w:r>
          </w:p>
          <w:p w14:paraId="53AC9A6E">
            <w:pPr>
              <w:numPr>
                <w:ilvl w:val="0"/>
                <w:numId w:val="8"/>
              </w:numPr>
              <w:spacing w:line="320" w:lineRule="exact"/>
              <w:rPr>
                <w:rFonts w:ascii="宋体" w:hAnsi="宋体" w:cs="宋体"/>
              </w:rPr>
            </w:pPr>
            <w:r>
              <w:rPr>
                <w:rFonts w:hint="eastAsia" w:ascii="宋体" w:hAnsi="宋体" w:cs="宋体"/>
              </w:rPr>
              <w:t>交货地点：采购人指定地点。供应商须安排专人与采购人对接现场上门送（退、换）货。采用快递、物流寄货给采购人且不安排专人送货上门安装的，采购人一律拒收。</w:t>
            </w:r>
          </w:p>
        </w:tc>
      </w:tr>
      <w:tr w14:paraId="2539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gridSpan w:val="2"/>
            <w:shd w:val="clear" w:color="000000" w:fill="FFFFFF"/>
            <w:vAlign w:val="center"/>
          </w:tcPr>
          <w:p w14:paraId="45833749">
            <w:pPr>
              <w:spacing w:line="360" w:lineRule="auto"/>
              <w:rPr>
                <w:rFonts w:ascii="宋体" w:hAnsi="宋体"/>
                <w:b/>
                <w:iCs/>
                <w:szCs w:val="21"/>
              </w:rPr>
            </w:pPr>
            <w:r>
              <w:rPr>
                <w:rFonts w:hint="eastAsia" w:ascii="宋体" w:hAnsi="宋体"/>
                <w:b/>
                <w:iCs/>
                <w:szCs w:val="21"/>
              </w:rPr>
              <w:t>质量保证</w:t>
            </w:r>
          </w:p>
        </w:tc>
        <w:tc>
          <w:tcPr>
            <w:tcW w:w="8316" w:type="dxa"/>
            <w:gridSpan w:val="4"/>
            <w:shd w:val="clear" w:color="000000" w:fill="FFFFFF"/>
            <w:vAlign w:val="center"/>
          </w:tcPr>
          <w:p w14:paraId="3E5D5562">
            <w:pPr>
              <w:numPr>
                <w:ilvl w:val="0"/>
                <w:numId w:val="9"/>
              </w:numPr>
              <w:spacing w:line="320" w:lineRule="exact"/>
            </w:pPr>
            <w:r>
              <w:rPr>
                <w:rFonts w:hint="eastAsia"/>
              </w:rPr>
              <w:t>供应商</w:t>
            </w:r>
            <w:r>
              <w:t>所提供的货物技术规格、技术参数等质量必须</w:t>
            </w:r>
            <w:r>
              <w:rPr>
                <w:rFonts w:hint="eastAsia"/>
              </w:rPr>
              <w:t>符合</w:t>
            </w:r>
            <w:r>
              <w:t>本次采购要求</w:t>
            </w:r>
            <w:r>
              <w:rPr>
                <w:rFonts w:hint="eastAsia"/>
              </w:rPr>
              <w:t>，</w:t>
            </w:r>
            <w:r>
              <w:rPr>
                <w:rFonts w:hint="eastAsia" w:hAnsi="宋体" w:cs="Arial"/>
              </w:rPr>
              <w:t>如发生所供货物</w:t>
            </w:r>
            <w:r>
              <w:t>技术规格、技术参数</w:t>
            </w:r>
            <w:r>
              <w:rPr>
                <w:rFonts w:hint="eastAsia" w:hAnsi="宋体" w:cs="Arial"/>
              </w:rPr>
              <w:t>不符合采购的参数要求，采购人有权退货或要求成交供应商进行更换、补齐，因此造成逾期交货的，所造成的损失由成交供应商承担</w:t>
            </w:r>
            <w:r>
              <w:t>。</w:t>
            </w:r>
          </w:p>
          <w:p w14:paraId="44C3535A">
            <w:pPr>
              <w:numPr>
                <w:ilvl w:val="0"/>
                <w:numId w:val="9"/>
              </w:numPr>
              <w:spacing w:line="320" w:lineRule="exact"/>
              <w:rPr>
                <w:rFonts w:hAnsi="宋体" w:cs="Arial"/>
              </w:rPr>
            </w:pPr>
            <w:r>
              <w:rPr>
                <w:rFonts w:hint="eastAsia"/>
              </w:rPr>
              <w:t>供应商</w:t>
            </w:r>
            <w:r>
              <w:t>所提供的货物必须是全新、未使用的、正规渠道采购的原装产品，且在正常安装、使用和保养条件下，其使用寿命期内各项指标均达到质量要求。对达不到要求者，需要更换合格产品，</w:t>
            </w:r>
            <w:r>
              <w:rPr>
                <w:rFonts w:hint="eastAsia"/>
              </w:rPr>
              <w:t>供应商</w:t>
            </w:r>
            <w:r>
              <w:t>承担所发生的全部费用。</w:t>
            </w:r>
          </w:p>
          <w:p w14:paraId="0AD8EF97">
            <w:pPr>
              <w:pStyle w:val="18"/>
            </w:pPr>
          </w:p>
        </w:tc>
      </w:tr>
      <w:tr w14:paraId="531B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gridSpan w:val="2"/>
            <w:shd w:val="clear" w:color="000000" w:fill="FFFFFF"/>
            <w:vAlign w:val="center"/>
          </w:tcPr>
          <w:p w14:paraId="694BD7C2">
            <w:pPr>
              <w:spacing w:line="360" w:lineRule="auto"/>
              <w:rPr>
                <w:rFonts w:ascii="宋体" w:hAnsi="宋体"/>
                <w:b/>
                <w:iCs/>
                <w:szCs w:val="21"/>
              </w:rPr>
            </w:pPr>
            <w:r>
              <w:rPr>
                <w:rFonts w:hint="eastAsia" w:ascii="宋体" w:hAnsi="宋体"/>
                <w:b/>
                <w:iCs/>
                <w:szCs w:val="21"/>
              </w:rPr>
              <w:t>安装与验收</w:t>
            </w:r>
          </w:p>
        </w:tc>
        <w:tc>
          <w:tcPr>
            <w:tcW w:w="8316" w:type="dxa"/>
            <w:gridSpan w:val="4"/>
            <w:shd w:val="clear" w:color="000000" w:fill="FFFFFF"/>
            <w:vAlign w:val="center"/>
          </w:tcPr>
          <w:p w14:paraId="3A5A76B6">
            <w:pPr>
              <w:numPr>
                <w:ilvl w:val="0"/>
                <w:numId w:val="10"/>
              </w:numPr>
              <w:spacing w:line="320" w:lineRule="exact"/>
              <w:rPr>
                <w:rFonts w:hAnsi="宋体" w:cs="Arial"/>
              </w:rPr>
            </w:pPr>
            <w:r>
              <w:rPr>
                <w:rFonts w:hint="eastAsia" w:ascii="宋体" w:hAnsi="宋体"/>
                <w:bCs/>
                <w:szCs w:val="21"/>
              </w:rPr>
              <w:t>免费送货上门，免费安装、免费调试，免费提供现场技术培训，保证使用人员正常使用货物；其余按报价人承诺进行。</w:t>
            </w:r>
          </w:p>
          <w:p w14:paraId="5D215C3B">
            <w:pPr>
              <w:numPr>
                <w:ilvl w:val="0"/>
                <w:numId w:val="10"/>
              </w:numPr>
              <w:spacing w:line="320" w:lineRule="exact"/>
              <w:rPr>
                <w:rFonts w:hAnsi="宋体" w:cs="Arial"/>
              </w:rPr>
            </w:pPr>
            <w:r>
              <w:rPr>
                <w:rFonts w:hint="eastAsia" w:hAnsi="宋体" w:cs="Arial"/>
              </w:rPr>
              <w:t>验收：按照《项目要求及技术需求》的各项指标和国家有关质量标准进行最终验收。采购方、学校各部门，供应商对中标货物，严格按照采购文件上的品牌、型号、技术参数等要求进行逐条验收，以确认供应商提供的货物是否达到竞标文件中所承诺的技术功能，如违反相关要求，追究相关责任。如发生所供货物不相符，采购人有权退货或要求成交供应商进行更换、补齐，因此造成逾期交货的，所造成的损失由成交供应商承担。验收时提供相关的检测报告。</w:t>
            </w:r>
          </w:p>
        </w:tc>
      </w:tr>
      <w:tr w14:paraId="6674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gridSpan w:val="2"/>
            <w:shd w:val="clear" w:color="000000" w:fill="FFFFFF"/>
            <w:vAlign w:val="center"/>
          </w:tcPr>
          <w:p w14:paraId="38101F0E">
            <w:pPr>
              <w:spacing w:line="360" w:lineRule="auto"/>
              <w:rPr>
                <w:rFonts w:ascii="宋体" w:hAnsi="宋体"/>
                <w:b/>
                <w:iCs/>
                <w:szCs w:val="21"/>
              </w:rPr>
            </w:pPr>
            <w:r>
              <w:rPr>
                <w:rFonts w:hint="eastAsia" w:ascii="宋体" w:hAnsi="宋体"/>
                <w:b/>
                <w:iCs/>
                <w:szCs w:val="21"/>
              </w:rPr>
              <w:t>售后服务</w:t>
            </w:r>
          </w:p>
          <w:p w14:paraId="29362FA0">
            <w:pPr>
              <w:spacing w:line="360" w:lineRule="auto"/>
              <w:rPr>
                <w:rFonts w:ascii="宋体" w:hAnsi="宋体" w:cs="宋体"/>
                <w:b/>
                <w:iCs/>
                <w:szCs w:val="21"/>
              </w:rPr>
            </w:pPr>
            <w:r>
              <w:rPr>
                <w:rFonts w:hint="eastAsia" w:ascii="宋体" w:hAnsi="宋体"/>
                <w:b/>
                <w:iCs/>
                <w:szCs w:val="21"/>
              </w:rPr>
              <w:t>要求</w:t>
            </w:r>
          </w:p>
        </w:tc>
        <w:tc>
          <w:tcPr>
            <w:tcW w:w="8316" w:type="dxa"/>
            <w:gridSpan w:val="4"/>
            <w:shd w:val="clear" w:color="000000" w:fill="FFFFFF"/>
            <w:vAlign w:val="center"/>
          </w:tcPr>
          <w:p w14:paraId="5391AE4A">
            <w:pPr>
              <w:numPr>
                <w:ilvl w:val="0"/>
                <w:numId w:val="11"/>
              </w:numPr>
              <w:spacing w:line="320" w:lineRule="exact"/>
              <w:rPr>
                <w:rFonts w:ascii="宋体" w:hAnsi="宋体" w:cs="宋体"/>
                <w:bCs/>
                <w:szCs w:val="21"/>
              </w:rPr>
            </w:pPr>
            <w:r>
              <w:rPr>
                <w:rFonts w:hint="eastAsia" w:ascii="宋体" w:hAnsi="宋体" w:cs="宋体"/>
                <w:bCs/>
                <w:szCs w:val="21"/>
              </w:rPr>
              <w:t>在质保期内，成交供应商应对货物出现的质量及安全问题负责处理解决并承担一切费用。</w:t>
            </w:r>
          </w:p>
          <w:p w14:paraId="1A39F0E5">
            <w:pPr>
              <w:numPr>
                <w:ilvl w:val="0"/>
                <w:numId w:val="11"/>
              </w:numPr>
              <w:spacing w:line="320" w:lineRule="exact"/>
              <w:rPr>
                <w:rFonts w:ascii="宋体" w:hAnsi="宋体" w:cs="宋体"/>
              </w:rPr>
            </w:pPr>
            <w:r>
              <w:rPr>
                <w:rFonts w:hint="eastAsia" w:ascii="宋体" w:hAnsi="宋体" w:cs="宋体"/>
              </w:rPr>
              <w:t>有专业维修工程师提供服务，一旦发生故障，2小时内响应，24小时内解决故障，否则须在二个工作日内提供与原设备技术参数要求相同或高于原设备技术参数要求的备用产品，以保证采购人的正常工作。</w:t>
            </w:r>
          </w:p>
          <w:p w14:paraId="1B2E409C">
            <w:pPr>
              <w:numPr>
                <w:ilvl w:val="0"/>
                <w:numId w:val="11"/>
              </w:numPr>
              <w:spacing w:line="320" w:lineRule="exact"/>
              <w:rPr>
                <w:rFonts w:ascii="宋体" w:hAnsi="宋体" w:cs="宋体"/>
                <w:bCs/>
                <w:szCs w:val="21"/>
              </w:rPr>
            </w:pPr>
            <w:r>
              <w:rPr>
                <w:rFonts w:hint="eastAsia" w:ascii="宋体" w:hAnsi="宋体" w:cs="宋体"/>
                <w:bCs/>
                <w:szCs w:val="21"/>
              </w:rPr>
              <w:t>质保期届满后，成交供应商对货物提供终身维修服务，且维修时只收取所需维修部件的成本费，服务内容应与质保期内的要求相一致。</w:t>
            </w:r>
          </w:p>
        </w:tc>
      </w:tr>
      <w:tr w14:paraId="39F18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gridSpan w:val="2"/>
            <w:tcBorders>
              <w:top w:val="single" w:color="auto" w:sz="4" w:space="0"/>
              <w:bottom w:val="single" w:color="auto" w:sz="4" w:space="0"/>
              <w:right w:val="single" w:color="auto" w:sz="4" w:space="0"/>
            </w:tcBorders>
            <w:vAlign w:val="center"/>
          </w:tcPr>
          <w:p w14:paraId="5EE6CD49">
            <w:pPr>
              <w:spacing w:line="360" w:lineRule="auto"/>
              <w:rPr>
                <w:rFonts w:ascii="宋体" w:hAnsi="宋体" w:cs="宋体"/>
                <w:b/>
                <w:iCs/>
                <w:szCs w:val="21"/>
              </w:rPr>
            </w:pPr>
            <w:r>
              <w:rPr>
                <w:rFonts w:hint="eastAsia" w:ascii="宋体" w:hAnsi="宋体" w:cs="宋体"/>
                <w:b/>
                <w:iCs/>
                <w:szCs w:val="21"/>
              </w:rPr>
              <w:t>付款方式</w:t>
            </w:r>
          </w:p>
        </w:tc>
        <w:tc>
          <w:tcPr>
            <w:tcW w:w="8316" w:type="dxa"/>
            <w:gridSpan w:val="4"/>
            <w:tcBorders>
              <w:top w:val="single" w:color="auto" w:sz="4" w:space="0"/>
              <w:left w:val="single" w:color="auto" w:sz="4" w:space="0"/>
              <w:bottom w:val="single" w:color="auto" w:sz="4" w:space="0"/>
            </w:tcBorders>
            <w:vAlign w:val="center"/>
          </w:tcPr>
          <w:p w14:paraId="6EB75F26">
            <w:pPr>
              <w:pStyle w:val="23"/>
              <w:spacing w:line="320" w:lineRule="exact"/>
              <w:ind w:firstLine="420" w:firstLineChars="200"/>
              <w:rPr>
                <w:rFonts w:hAnsi="宋体" w:cs="宋体"/>
                <w:bCs/>
                <w:szCs w:val="22"/>
              </w:rPr>
            </w:pPr>
            <w:r>
              <w:rPr>
                <w:rFonts w:hint="eastAsia" w:hAnsi="宋体" w:cs="宋体"/>
                <w:bCs/>
                <w:szCs w:val="22"/>
              </w:rPr>
              <w:t>成交供应商交货且安装调试完并经采购人验收合格无异议后五个工作日内开具发票给采购人，采购人自收到成交供应商发票之日起二十个工作日内，由采购人一次性付清成交供应商的全部货款（无预付款）。</w:t>
            </w:r>
          </w:p>
        </w:tc>
      </w:tr>
      <w:tr w14:paraId="57A20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gridSpan w:val="2"/>
            <w:tcBorders>
              <w:top w:val="single" w:color="auto" w:sz="4" w:space="0"/>
              <w:bottom w:val="single" w:color="auto" w:sz="4" w:space="0"/>
              <w:right w:val="single" w:color="auto" w:sz="4" w:space="0"/>
            </w:tcBorders>
            <w:vAlign w:val="center"/>
          </w:tcPr>
          <w:p w14:paraId="12B67F6D">
            <w:pPr>
              <w:spacing w:line="360" w:lineRule="auto"/>
              <w:rPr>
                <w:rFonts w:ascii="宋体" w:hAnsi="宋体" w:cs="宋体"/>
                <w:b/>
                <w:iCs/>
                <w:szCs w:val="21"/>
              </w:rPr>
            </w:pPr>
            <w:r>
              <w:rPr>
                <w:rFonts w:hint="eastAsia" w:ascii="宋体" w:hAnsi="Courier New"/>
                <w:b/>
                <w:bCs/>
                <w:iCs/>
                <w:szCs w:val="22"/>
              </w:rPr>
              <w:t>履约保证金</w:t>
            </w:r>
          </w:p>
        </w:tc>
        <w:tc>
          <w:tcPr>
            <w:tcW w:w="8316" w:type="dxa"/>
            <w:gridSpan w:val="4"/>
            <w:tcBorders>
              <w:top w:val="single" w:color="auto" w:sz="4" w:space="0"/>
              <w:left w:val="single" w:color="auto" w:sz="4" w:space="0"/>
              <w:bottom w:val="single" w:color="auto" w:sz="4" w:space="0"/>
            </w:tcBorders>
            <w:vAlign w:val="center"/>
          </w:tcPr>
          <w:p w14:paraId="56D20B38">
            <w:pPr>
              <w:spacing w:line="320" w:lineRule="exact"/>
              <w:ind w:firstLine="420" w:firstLineChars="200"/>
              <w:rPr>
                <w:rFonts w:ascii="宋体" w:hAnsi="宋体" w:cs="宋体"/>
                <w:bCs/>
                <w:szCs w:val="22"/>
              </w:rPr>
            </w:pPr>
            <w:r>
              <w:rPr>
                <w:rFonts w:hint="eastAsia" w:ascii="宋体" w:hAnsi="宋体" w:cs="宋体"/>
                <w:bCs/>
                <w:szCs w:val="22"/>
              </w:rPr>
              <w:t>无</w:t>
            </w:r>
          </w:p>
        </w:tc>
      </w:tr>
      <w:tr w14:paraId="1D6A4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535" w:type="dxa"/>
            <w:gridSpan w:val="2"/>
            <w:tcBorders>
              <w:top w:val="single" w:color="auto" w:sz="4" w:space="0"/>
              <w:bottom w:val="single" w:color="auto" w:sz="4" w:space="0"/>
              <w:right w:val="single" w:color="auto" w:sz="4" w:space="0"/>
            </w:tcBorders>
            <w:vAlign w:val="center"/>
          </w:tcPr>
          <w:p w14:paraId="486ABC6A">
            <w:pPr>
              <w:spacing w:line="360" w:lineRule="auto"/>
              <w:rPr>
                <w:rFonts w:ascii="宋体" w:hAnsi="宋体"/>
                <w:b/>
                <w:iCs/>
                <w:szCs w:val="21"/>
              </w:rPr>
            </w:pPr>
            <w:r>
              <w:rPr>
                <w:rFonts w:hint="eastAsia" w:ascii="宋体" w:hAnsi="宋体"/>
                <w:b/>
                <w:iCs/>
                <w:szCs w:val="21"/>
              </w:rPr>
              <w:t>合同签订</w:t>
            </w:r>
          </w:p>
        </w:tc>
        <w:tc>
          <w:tcPr>
            <w:tcW w:w="8316" w:type="dxa"/>
            <w:gridSpan w:val="4"/>
            <w:tcBorders>
              <w:top w:val="single" w:color="auto" w:sz="4" w:space="0"/>
              <w:left w:val="single" w:color="auto" w:sz="4" w:space="0"/>
              <w:bottom w:val="single" w:color="auto" w:sz="4" w:space="0"/>
            </w:tcBorders>
            <w:vAlign w:val="center"/>
          </w:tcPr>
          <w:p w14:paraId="385C681D">
            <w:pPr>
              <w:spacing w:line="320" w:lineRule="exact"/>
              <w:ind w:firstLine="420" w:firstLineChars="200"/>
              <w:rPr>
                <w:rFonts w:ascii="宋体" w:hAnsi="宋体" w:cs="宋体"/>
              </w:rPr>
            </w:pPr>
            <w:r>
              <w:rPr>
                <w:rFonts w:hint="eastAsia" w:ascii="宋体" w:hAnsi="宋体" w:cs="宋体"/>
              </w:rPr>
              <w:t>成交供应商应当在成交结果确定之日起5个工作日内，以政采云平台电子卖场生成的订单合同，按照确定的采购标的、规格型号、成交金额、成交数量、技术和服务等事项，与采购人签订采购合同。成交供应商超期不与采购人签订合同的，采购人有权取消其成交资格，并按规定追究其责任。</w:t>
            </w:r>
          </w:p>
        </w:tc>
      </w:tr>
      <w:tr w14:paraId="19191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535" w:type="dxa"/>
            <w:gridSpan w:val="2"/>
            <w:tcBorders>
              <w:top w:val="single" w:color="auto" w:sz="4" w:space="0"/>
              <w:bottom w:val="single" w:color="auto" w:sz="4" w:space="0"/>
              <w:right w:val="single" w:color="auto" w:sz="4" w:space="0"/>
            </w:tcBorders>
            <w:vAlign w:val="center"/>
          </w:tcPr>
          <w:p w14:paraId="353DA602">
            <w:pPr>
              <w:spacing w:line="360" w:lineRule="auto"/>
              <w:rPr>
                <w:rFonts w:ascii="宋体" w:hAnsi="宋体"/>
                <w:b/>
                <w:iCs/>
                <w:szCs w:val="21"/>
              </w:rPr>
            </w:pPr>
            <w:r>
              <w:rPr>
                <w:rFonts w:hint="eastAsia" w:ascii="宋体" w:hAnsi="宋体"/>
                <w:b/>
                <w:iCs/>
                <w:szCs w:val="21"/>
              </w:rPr>
              <w:t>违约责任</w:t>
            </w:r>
          </w:p>
        </w:tc>
        <w:tc>
          <w:tcPr>
            <w:tcW w:w="8316" w:type="dxa"/>
            <w:gridSpan w:val="4"/>
            <w:tcBorders>
              <w:top w:val="single" w:color="auto" w:sz="4" w:space="0"/>
              <w:left w:val="single" w:color="auto" w:sz="4" w:space="0"/>
              <w:bottom w:val="single" w:color="auto" w:sz="4" w:space="0"/>
            </w:tcBorders>
            <w:vAlign w:val="center"/>
          </w:tcPr>
          <w:p w14:paraId="412E1D40">
            <w:pPr>
              <w:numPr>
                <w:ilvl w:val="0"/>
                <w:numId w:val="12"/>
              </w:numPr>
              <w:spacing w:line="320" w:lineRule="exact"/>
              <w:rPr>
                <w:rFonts w:ascii="宋体" w:hAnsi="宋体" w:cs="宋体"/>
              </w:rPr>
            </w:pPr>
            <w:r>
              <w:rPr>
                <w:rFonts w:hint="eastAsia" w:ascii="宋体" w:hAnsi="宋体" w:cs="宋体"/>
              </w:rPr>
              <w:t>供应商应按合同规定的日期内交货，逾期交货的，每逾期一日，应按合同总额1‰向采购方支付违约金，逾期超过5个工作日不能交货的，采购方有权解除本合同，并要求供应商支付合同总额30%的违约金。</w:t>
            </w:r>
          </w:p>
          <w:p w14:paraId="1C089BCE">
            <w:pPr>
              <w:numPr>
                <w:ilvl w:val="0"/>
                <w:numId w:val="12"/>
              </w:numPr>
              <w:spacing w:line="320" w:lineRule="exact"/>
              <w:rPr>
                <w:rFonts w:ascii="宋体" w:hAnsi="宋体" w:cs="宋体"/>
              </w:rPr>
            </w:pPr>
            <w:r>
              <w:rPr>
                <w:rFonts w:hint="eastAsia" w:ascii="宋体" w:hAnsi="宋体" w:cs="宋体"/>
              </w:rPr>
              <w:t>供应商所交付的货物品种、型号、规格、技术参数、质量不符合合同规定及采购文件规定标准的，采购方有权拒收该货物。供应商愿意更换货物但逾期交货的，按供应商逾期交货处理。供应商拒绝更换货物的，采购方可单方面解除合同，并要求供应商支付合同总值30%的违约金，违约金不足以弥补采购方损失的，供应商还应负责赔偿。</w:t>
            </w:r>
          </w:p>
          <w:p w14:paraId="5980E963">
            <w:pPr>
              <w:numPr>
                <w:ilvl w:val="0"/>
                <w:numId w:val="12"/>
              </w:numPr>
              <w:spacing w:line="320" w:lineRule="exact"/>
              <w:rPr>
                <w:rFonts w:ascii="宋体" w:hAnsi="宋体" w:cs="宋体"/>
              </w:rPr>
            </w:pPr>
            <w:r>
              <w:rPr>
                <w:rFonts w:hint="eastAsia" w:ascii="宋体" w:hAnsi="宋体" w:cs="宋体"/>
              </w:rPr>
              <w:t>供应商提供的货物如侵犯了第三方合法权益而引发的任何纠纷或诉讼，均由供应商负责交涉并承担全部责任。</w:t>
            </w:r>
          </w:p>
          <w:p w14:paraId="5B974226">
            <w:pPr>
              <w:numPr>
                <w:ilvl w:val="0"/>
                <w:numId w:val="12"/>
              </w:numPr>
              <w:spacing w:line="320" w:lineRule="exact"/>
              <w:rPr>
                <w:rFonts w:ascii="宋体" w:hAnsi="宋体" w:cs="宋体"/>
              </w:rPr>
            </w:pPr>
            <w:r>
              <w:rPr>
                <w:rFonts w:hint="eastAsia" w:ascii="宋体" w:hAnsi="宋体" w:cs="宋体"/>
              </w:rPr>
              <w:t>因包装、运输引起的货物损坏，按质量不合格处理。</w:t>
            </w:r>
          </w:p>
          <w:p w14:paraId="0E4708AB">
            <w:pPr>
              <w:numPr>
                <w:ilvl w:val="0"/>
                <w:numId w:val="12"/>
              </w:numPr>
              <w:spacing w:line="320" w:lineRule="exact"/>
              <w:rPr>
                <w:rFonts w:ascii="宋体" w:hAnsi="宋体" w:cs="宋体"/>
              </w:rPr>
            </w:pPr>
            <w:r>
              <w:rPr>
                <w:rFonts w:hint="eastAsia" w:ascii="宋体" w:hAnsi="宋体" w:cs="宋体"/>
              </w:rPr>
              <w:t>供应商未按服务承诺提供售后服务的，供应商应按本合同合计金额30%向采购人支付违约金。</w:t>
            </w:r>
          </w:p>
          <w:p w14:paraId="3D8382D5">
            <w:pPr>
              <w:numPr>
                <w:ilvl w:val="0"/>
                <w:numId w:val="12"/>
              </w:numPr>
              <w:spacing w:line="320" w:lineRule="exact"/>
              <w:rPr>
                <w:rFonts w:ascii="宋体" w:hAnsi="宋体" w:cs="宋体"/>
              </w:rPr>
            </w:pPr>
            <w:r>
              <w:rPr>
                <w:rFonts w:hint="eastAsia" w:ascii="宋体" w:hAnsi="宋体" w:cs="宋体"/>
              </w:rPr>
              <w:t>供应商提供的货物在质量保证期内，因设计、工艺或材料的缺陷和其它质量原因造成的问题，由供应商负责处理至达到本采购要求，费用由供应商承担。</w:t>
            </w:r>
          </w:p>
          <w:p w14:paraId="2971D50C">
            <w:pPr>
              <w:numPr>
                <w:ilvl w:val="0"/>
                <w:numId w:val="12"/>
              </w:numPr>
              <w:spacing w:line="320" w:lineRule="exact"/>
              <w:rPr>
                <w:rFonts w:ascii="宋体" w:hAnsi="宋体" w:cs="宋体"/>
              </w:rPr>
            </w:pPr>
            <w:r>
              <w:rPr>
                <w:rFonts w:hint="eastAsia" w:ascii="宋体" w:hAnsi="宋体" w:cs="宋体"/>
              </w:rPr>
              <w:t>供应商未能在规定期限内供货，影响采购方使用的，一切后果由供应商承担。</w:t>
            </w:r>
          </w:p>
        </w:tc>
      </w:tr>
      <w:tr w14:paraId="5F670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1535" w:type="dxa"/>
            <w:gridSpan w:val="2"/>
            <w:tcBorders>
              <w:top w:val="single" w:color="auto" w:sz="4" w:space="0"/>
              <w:bottom w:val="single" w:color="auto" w:sz="4" w:space="0"/>
              <w:right w:val="single" w:color="auto" w:sz="4" w:space="0"/>
            </w:tcBorders>
            <w:vAlign w:val="center"/>
          </w:tcPr>
          <w:p w14:paraId="2DF8AB04">
            <w:pPr>
              <w:spacing w:line="360" w:lineRule="auto"/>
              <w:rPr>
                <w:rFonts w:ascii="宋体" w:hAnsi="宋体"/>
                <w:b/>
                <w:iCs/>
                <w:szCs w:val="21"/>
              </w:rPr>
            </w:pPr>
            <w:r>
              <w:rPr>
                <w:rFonts w:hint="eastAsia" w:ascii="宋体" w:hAnsi="宋体"/>
                <w:b/>
                <w:iCs/>
                <w:szCs w:val="21"/>
              </w:rPr>
              <w:t>其他说明</w:t>
            </w:r>
          </w:p>
        </w:tc>
        <w:tc>
          <w:tcPr>
            <w:tcW w:w="8316" w:type="dxa"/>
            <w:gridSpan w:val="4"/>
            <w:tcBorders>
              <w:top w:val="single" w:color="auto" w:sz="4" w:space="0"/>
              <w:left w:val="single" w:color="auto" w:sz="4" w:space="0"/>
              <w:bottom w:val="single" w:color="auto" w:sz="4" w:space="0"/>
            </w:tcBorders>
            <w:vAlign w:val="center"/>
          </w:tcPr>
          <w:p w14:paraId="726D0976">
            <w:pPr>
              <w:rPr>
                <w:rFonts w:ascii="宋体" w:hAnsi="宋体" w:cs="宋体"/>
              </w:rPr>
            </w:pPr>
            <w:r>
              <w:rPr>
                <w:rFonts w:hint="eastAsia" w:ascii="宋体" w:hAnsi="宋体" w:cs="宋体"/>
              </w:rPr>
              <w:t>政采云系统排名第一的成交候选人为成交供应商，排名第一的成交候选人报价无效、放弃成交、或因不可抗力提出不能履行合同的，采购人将重新采购。</w:t>
            </w:r>
          </w:p>
        </w:tc>
      </w:tr>
      <w:tr w14:paraId="61A88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535" w:type="dxa"/>
            <w:gridSpan w:val="2"/>
            <w:tcBorders>
              <w:top w:val="single" w:color="auto" w:sz="4" w:space="0"/>
              <w:bottom w:val="single" w:color="auto" w:sz="4" w:space="0"/>
              <w:right w:val="single" w:color="auto" w:sz="4" w:space="0"/>
            </w:tcBorders>
            <w:vAlign w:val="center"/>
          </w:tcPr>
          <w:p w14:paraId="3C28DBBF">
            <w:pPr>
              <w:spacing w:line="360" w:lineRule="auto"/>
              <w:rPr>
                <w:rFonts w:ascii="宋体" w:hAnsi="宋体"/>
                <w:b/>
                <w:iCs/>
                <w:szCs w:val="21"/>
              </w:rPr>
            </w:pPr>
            <w:r>
              <w:rPr>
                <w:rFonts w:ascii="宋体" w:hAnsi="宋体"/>
                <w:b/>
                <w:iCs/>
                <w:szCs w:val="21"/>
              </w:rPr>
              <w:t>其他技术及服务要求</w:t>
            </w:r>
          </w:p>
        </w:tc>
        <w:tc>
          <w:tcPr>
            <w:tcW w:w="8316" w:type="dxa"/>
            <w:gridSpan w:val="4"/>
            <w:tcBorders>
              <w:top w:val="single" w:color="auto" w:sz="4" w:space="0"/>
              <w:left w:val="single" w:color="auto" w:sz="4" w:space="0"/>
              <w:bottom w:val="single" w:color="auto" w:sz="4" w:space="0"/>
            </w:tcBorders>
            <w:vAlign w:val="center"/>
          </w:tcPr>
          <w:p w14:paraId="05754DC8">
            <w:r>
              <w:rPr>
                <w:rFonts w:hint="eastAsia"/>
              </w:rPr>
              <w:t>1.成交供应商须按图片款式进行供货，否则验收不通过。</w:t>
            </w:r>
          </w:p>
          <w:p w14:paraId="1655C5DA">
            <w:r>
              <w:rPr>
                <w:rFonts w:hint="eastAsia"/>
              </w:rPr>
              <w:t>2.为确保货物质量及品质，采购人有权邀请参与此次竞价的未成交供应商参与验收。</w:t>
            </w:r>
          </w:p>
        </w:tc>
      </w:tr>
    </w:tbl>
    <w:p w14:paraId="7A1A98A8">
      <w:pPr>
        <w:rPr>
          <w:rFonts w:ascii="微软雅黑" w:hAnsi="微软雅黑" w:eastAsia="微软雅黑"/>
          <w:b/>
          <w:bCs/>
          <w:color w:val="000000"/>
          <w:sz w:val="32"/>
          <w:szCs w:val="32"/>
        </w:rPr>
      </w:pPr>
      <w:r>
        <w:rPr>
          <w:rFonts w:hint="eastAsia" w:ascii="微软雅黑" w:hAnsi="微软雅黑" w:eastAsia="微软雅黑"/>
          <w:b/>
          <w:bCs/>
          <w:color w:val="000000"/>
          <w:sz w:val="32"/>
          <w:szCs w:val="32"/>
        </w:rPr>
        <w:br w:type="page"/>
      </w:r>
    </w:p>
    <w:p w14:paraId="44D06BE1">
      <w:pPr>
        <w:spacing w:line="240" w:lineRule="atLeast"/>
        <w:rPr>
          <w:rFonts w:ascii="微软雅黑" w:hAnsi="微软雅黑" w:eastAsia="微软雅黑"/>
          <w:bCs/>
          <w:color w:val="000000"/>
          <w:sz w:val="32"/>
          <w:szCs w:val="32"/>
        </w:rPr>
      </w:pPr>
      <w:r>
        <w:rPr>
          <w:rFonts w:hint="eastAsia" w:ascii="微软雅黑" w:hAnsi="微软雅黑" w:eastAsia="微软雅黑"/>
          <w:b/>
          <w:bCs/>
          <w:color w:val="000000"/>
          <w:sz w:val="32"/>
          <w:szCs w:val="32"/>
        </w:rPr>
        <w:t>附件：响应文件格式</w:t>
      </w:r>
    </w:p>
    <w:p w14:paraId="14BF7BC8">
      <w:pPr>
        <w:spacing w:line="240" w:lineRule="atLeast"/>
        <w:jc w:val="center"/>
        <w:rPr>
          <w:rFonts w:ascii="微软雅黑" w:hAnsi="微软雅黑" w:eastAsia="微软雅黑"/>
          <w:bCs/>
          <w:color w:val="000000"/>
          <w:sz w:val="24"/>
        </w:rPr>
      </w:pPr>
    </w:p>
    <w:p w14:paraId="0AFE68DF">
      <w:pPr>
        <w:spacing w:line="240" w:lineRule="atLeast"/>
        <w:jc w:val="center"/>
        <w:rPr>
          <w:rFonts w:ascii="微软雅黑" w:hAnsi="微软雅黑" w:eastAsia="微软雅黑"/>
          <w:bCs/>
          <w:color w:val="000000"/>
          <w:sz w:val="24"/>
        </w:rPr>
      </w:pPr>
    </w:p>
    <w:p w14:paraId="7243E914">
      <w:pPr>
        <w:spacing w:line="240" w:lineRule="atLeast"/>
        <w:jc w:val="center"/>
        <w:rPr>
          <w:rFonts w:ascii="微软雅黑" w:hAnsi="微软雅黑" w:eastAsia="微软雅黑" w:cs="方正小标宋简体"/>
          <w:bCs/>
          <w:color w:val="000000"/>
          <w:sz w:val="44"/>
          <w:szCs w:val="44"/>
        </w:rPr>
      </w:pPr>
    </w:p>
    <w:p w14:paraId="5CCE5C60">
      <w:pPr>
        <w:spacing w:line="240" w:lineRule="atLeast"/>
        <w:jc w:val="center"/>
        <w:rPr>
          <w:rFonts w:ascii="微软雅黑" w:hAnsi="微软雅黑" w:eastAsia="微软雅黑"/>
          <w:b/>
          <w:color w:val="000000"/>
          <w:sz w:val="32"/>
          <w:szCs w:val="32"/>
        </w:rPr>
      </w:pPr>
      <w:r>
        <w:rPr>
          <w:rFonts w:hint="eastAsia" w:ascii="微软雅黑" w:hAnsi="微软雅黑" w:eastAsia="微软雅黑" w:cs="方正小标宋简体"/>
          <w:bCs/>
          <w:color w:val="000000"/>
          <w:sz w:val="44"/>
          <w:szCs w:val="44"/>
        </w:rPr>
        <w:t>响 应 文 件</w:t>
      </w:r>
      <w:r>
        <w:rPr>
          <w:rFonts w:hint="eastAsia" w:ascii="微软雅黑" w:hAnsi="微软雅黑" w:eastAsia="微软雅黑"/>
          <w:color w:val="000000"/>
          <w:szCs w:val="21"/>
        </w:rPr>
        <w:t>(封面)</w:t>
      </w:r>
    </w:p>
    <w:p w14:paraId="78D3DCA9">
      <w:pPr>
        <w:spacing w:line="360" w:lineRule="auto"/>
        <w:jc w:val="center"/>
        <w:rPr>
          <w:rFonts w:ascii="微软雅黑" w:hAnsi="微软雅黑" w:eastAsia="微软雅黑"/>
          <w:color w:val="000000"/>
          <w:szCs w:val="21"/>
        </w:rPr>
      </w:pPr>
    </w:p>
    <w:p w14:paraId="53F928BE">
      <w:pPr>
        <w:spacing w:line="360" w:lineRule="auto"/>
        <w:jc w:val="center"/>
        <w:rPr>
          <w:rFonts w:ascii="微软雅黑" w:hAnsi="微软雅黑" w:eastAsia="微软雅黑"/>
          <w:color w:val="000000"/>
          <w:szCs w:val="21"/>
        </w:rPr>
      </w:pPr>
    </w:p>
    <w:p w14:paraId="3343B9F6">
      <w:pPr>
        <w:spacing w:line="360" w:lineRule="auto"/>
        <w:jc w:val="center"/>
        <w:rPr>
          <w:rFonts w:ascii="微软雅黑" w:hAnsi="微软雅黑" w:eastAsia="微软雅黑"/>
          <w:color w:val="000000"/>
          <w:szCs w:val="21"/>
        </w:rPr>
      </w:pPr>
    </w:p>
    <w:p w14:paraId="76E23F63">
      <w:pPr>
        <w:spacing w:line="360" w:lineRule="auto"/>
        <w:ind w:firstLine="640" w:firstLineChars="200"/>
        <w:jc w:val="left"/>
        <w:rPr>
          <w:rFonts w:ascii="微软雅黑" w:hAnsi="微软雅黑" w:eastAsia="微软雅黑" w:cs="仿宋_GB2312"/>
          <w:color w:val="000000"/>
          <w:sz w:val="32"/>
          <w:szCs w:val="32"/>
        </w:rPr>
      </w:pPr>
      <w:r>
        <w:rPr>
          <w:rFonts w:hint="eastAsia" w:ascii="微软雅黑" w:hAnsi="微软雅黑" w:eastAsia="微软雅黑" w:cs="仿宋_GB2312"/>
          <w:color w:val="000000"/>
          <w:sz w:val="32"/>
          <w:szCs w:val="32"/>
        </w:rPr>
        <w:t>项目编号：</w:t>
      </w:r>
    </w:p>
    <w:p w14:paraId="152E06DE">
      <w:pPr>
        <w:spacing w:line="360" w:lineRule="auto"/>
        <w:ind w:firstLine="640" w:firstLineChars="200"/>
        <w:jc w:val="left"/>
        <w:rPr>
          <w:rFonts w:ascii="微软雅黑" w:hAnsi="微软雅黑" w:eastAsia="微软雅黑" w:cs="仿宋_GB2312"/>
          <w:color w:val="000000"/>
          <w:sz w:val="32"/>
          <w:szCs w:val="32"/>
          <w:u w:val="single"/>
        </w:rPr>
      </w:pPr>
    </w:p>
    <w:p w14:paraId="7247EF81">
      <w:pPr>
        <w:tabs>
          <w:tab w:val="left" w:pos="3240"/>
        </w:tabs>
        <w:spacing w:line="360" w:lineRule="auto"/>
        <w:ind w:firstLine="640" w:firstLineChars="200"/>
        <w:jc w:val="left"/>
        <w:rPr>
          <w:rFonts w:ascii="微软雅黑" w:hAnsi="微软雅黑" w:eastAsia="微软雅黑" w:cs="仿宋_GB2312"/>
          <w:color w:val="000000"/>
          <w:sz w:val="32"/>
          <w:szCs w:val="32"/>
        </w:rPr>
      </w:pPr>
      <w:r>
        <w:rPr>
          <w:rFonts w:hint="eastAsia" w:ascii="微软雅黑" w:hAnsi="微软雅黑" w:eastAsia="微软雅黑" w:cs="仿宋_GB2312"/>
          <w:color w:val="000000"/>
          <w:sz w:val="32"/>
          <w:szCs w:val="32"/>
        </w:rPr>
        <w:t>项目名称：</w:t>
      </w:r>
    </w:p>
    <w:p w14:paraId="29F71B64">
      <w:pPr>
        <w:tabs>
          <w:tab w:val="left" w:pos="3240"/>
        </w:tabs>
        <w:spacing w:line="360" w:lineRule="auto"/>
        <w:ind w:firstLine="640" w:firstLineChars="200"/>
        <w:jc w:val="left"/>
        <w:rPr>
          <w:rFonts w:ascii="微软雅黑" w:hAnsi="微软雅黑" w:eastAsia="微软雅黑" w:cs="仿宋_GB2312"/>
          <w:color w:val="000000"/>
          <w:sz w:val="32"/>
          <w:szCs w:val="32"/>
          <w:u w:val="single"/>
        </w:rPr>
      </w:pPr>
    </w:p>
    <w:p w14:paraId="1230090F">
      <w:pPr>
        <w:spacing w:line="360" w:lineRule="auto"/>
        <w:ind w:firstLine="640" w:firstLineChars="200"/>
        <w:jc w:val="left"/>
        <w:rPr>
          <w:rFonts w:ascii="微软雅黑" w:hAnsi="微软雅黑" w:eastAsia="微软雅黑" w:cs="仿宋_GB2312"/>
          <w:color w:val="000000"/>
          <w:sz w:val="32"/>
          <w:szCs w:val="32"/>
        </w:rPr>
      </w:pPr>
      <w:r>
        <w:rPr>
          <w:rFonts w:hint="eastAsia" w:ascii="微软雅黑" w:hAnsi="微软雅黑" w:eastAsia="微软雅黑" w:cs="仿宋_GB2312"/>
          <w:color w:val="000000"/>
          <w:sz w:val="32"/>
          <w:szCs w:val="32"/>
        </w:rPr>
        <w:t>供应商名称：                         （盖公章）</w:t>
      </w:r>
    </w:p>
    <w:p w14:paraId="764E9821">
      <w:pPr>
        <w:spacing w:line="360" w:lineRule="auto"/>
        <w:ind w:firstLine="640" w:firstLineChars="200"/>
        <w:jc w:val="left"/>
        <w:rPr>
          <w:rFonts w:ascii="微软雅黑" w:hAnsi="微软雅黑" w:eastAsia="微软雅黑" w:cs="仿宋_GB2312"/>
          <w:color w:val="000000"/>
          <w:sz w:val="32"/>
          <w:szCs w:val="32"/>
        </w:rPr>
      </w:pPr>
    </w:p>
    <w:p w14:paraId="5F93ABC4">
      <w:pPr>
        <w:spacing w:line="360" w:lineRule="auto"/>
        <w:ind w:firstLine="640" w:firstLineChars="200"/>
        <w:jc w:val="left"/>
        <w:rPr>
          <w:rFonts w:ascii="微软雅黑" w:hAnsi="微软雅黑" w:eastAsia="微软雅黑" w:cs="仿宋_GB2312"/>
          <w:color w:val="000000"/>
          <w:sz w:val="32"/>
          <w:szCs w:val="32"/>
        </w:rPr>
      </w:pPr>
    </w:p>
    <w:p w14:paraId="2F08A38F">
      <w:pPr>
        <w:snapToGrid w:val="0"/>
        <w:spacing w:beforeLines="50" w:after="50"/>
        <w:rPr>
          <w:rFonts w:ascii="微软雅黑" w:hAnsi="微软雅黑" w:eastAsia="微软雅黑" w:cs="仿宋_GB2312"/>
          <w:color w:val="000000"/>
          <w:sz w:val="32"/>
          <w:szCs w:val="32"/>
        </w:rPr>
      </w:pPr>
    </w:p>
    <w:p w14:paraId="5080498F">
      <w:pPr>
        <w:snapToGrid w:val="0"/>
        <w:spacing w:beforeLines="50" w:after="50"/>
        <w:rPr>
          <w:rFonts w:ascii="微软雅黑" w:hAnsi="微软雅黑" w:eastAsia="微软雅黑" w:cs="仿宋_GB2312"/>
          <w:color w:val="000000"/>
          <w:sz w:val="32"/>
          <w:szCs w:val="32"/>
        </w:rPr>
      </w:pPr>
    </w:p>
    <w:p w14:paraId="423E9425">
      <w:pPr>
        <w:snapToGrid w:val="0"/>
        <w:spacing w:beforeLines="50" w:after="50"/>
        <w:jc w:val="center"/>
        <w:rPr>
          <w:rFonts w:ascii="微软雅黑" w:hAnsi="微软雅黑" w:eastAsia="微软雅黑" w:cs="仿宋_GB2312"/>
          <w:color w:val="000000"/>
          <w:sz w:val="32"/>
          <w:szCs w:val="32"/>
        </w:rPr>
      </w:pPr>
      <w:r>
        <w:rPr>
          <w:rFonts w:hint="eastAsia" w:ascii="微软雅黑" w:hAnsi="微软雅黑" w:eastAsia="微软雅黑" w:cs="仿宋_GB2312"/>
          <w:color w:val="000000"/>
          <w:sz w:val="32"/>
          <w:szCs w:val="32"/>
        </w:rPr>
        <w:t>年    月    日</w:t>
      </w:r>
    </w:p>
    <w:p w14:paraId="245DE0C6">
      <w:pPr>
        <w:rPr>
          <w:rFonts w:ascii="微软雅黑" w:hAnsi="微软雅黑" w:eastAsia="微软雅黑" w:cs="仿宋_GB2312"/>
          <w:color w:val="000000"/>
          <w:sz w:val="32"/>
          <w:szCs w:val="32"/>
        </w:rPr>
      </w:pPr>
      <w:r>
        <w:rPr>
          <w:rFonts w:hint="eastAsia" w:ascii="微软雅黑" w:hAnsi="微软雅黑" w:eastAsia="微软雅黑" w:cs="仿宋_GB2312"/>
          <w:color w:val="000000"/>
          <w:sz w:val="32"/>
          <w:szCs w:val="32"/>
        </w:rPr>
        <w:br w:type="page"/>
      </w:r>
    </w:p>
    <w:p w14:paraId="14D33D06">
      <w:pPr>
        <w:jc w:val="center"/>
        <w:rPr>
          <w:rFonts w:ascii="微软雅黑" w:hAnsi="微软雅黑" w:eastAsia="微软雅黑"/>
          <w:bCs/>
          <w:color w:val="000000"/>
          <w:sz w:val="44"/>
          <w:szCs w:val="44"/>
        </w:rPr>
      </w:pPr>
      <w:r>
        <w:rPr>
          <w:rFonts w:hint="eastAsia" w:ascii="微软雅黑" w:hAnsi="微软雅黑" w:eastAsia="微软雅黑"/>
          <w:bCs/>
          <w:color w:val="000000"/>
          <w:sz w:val="44"/>
          <w:szCs w:val="44"/>
        </w:rPr>
        <w:t>竞 标 声 明</w:t>
      </w:r>
    </w:p>
    <w:p w14:paraId="09398D4D">
      <w:pPr>
        <w:spacing w:line="320" w:lineRule="exact"/>
        <w:jc w:val="center"/>
        <w:rPr>
          <w:rFonts w:ascii="微软雅黑" w:hAnsi="微软雅黑" w:eastAsia="微软雅黑"/>
          <w:color w:val="000000"/>
          <w:sz w:val="24"/>
          <w:szCs w:val="20"/>
        </w:rPr>
      </w:pPr>
    </w:p>
    <w:p w14:paraId="3E3F477E">
      <w:pPr>
        <w:contextualSpacing/>
        <w:rPr>
          <w:rFonts w:ascii="微软雅黑" w:hAnsi="微软雅黑" w:eastAsia="微软雅黑" w:cs="宋体"/>
          <w:color w:val="000000"/>
          <w:sz w:val="24"/>
        </w:rPr>
      </w:pPr>
      <w:r>
        <w:rPr>
          <w:rFonts w:hint="eastAsia" w:ascii="微软雅黑" w:hAnsi="微软雅黑" w:eastAsia="微软雅黑" w:cs="宋体"/>
          <w:color w:val="000000"/>
          <w:sz w:val="24"/>
        </w:rPr>
        <w:t>致：</w:t>
      </w:r>
      <w:r>
        <w:rPr>
          <w:rFonts w:hint="eastAsia" w:ascii="微软雅黑" w:hAnsi="微软雅黑" w:eastAsia="微软雅黑" w:cs="宋体"/>
          <w:color w:val="000000"/>
          <w:sz w:val="24"/>
          <w:u w:val="single"/>
        </w:rPr>
        <w:t xml:space="preserve"> 梧州学院 </w:t>
      </w:r>
      <w:r>
        <w:rPr>
          <w:rFonts w:hint="eastAsia" w:ascii="微软雅黑" w:hAnsi="微软雅黑" w:eastAsia="微软雅黑" w:cs="宋体"/>
          <w:color w:val="000000"/>
          <w:sz w:val="24"/>
        </w:rPr>
        <w:t>：</w:t>
      </w:r>
    </w:p>
    <w:p w14:paraId="20CB0297">
      <w:pPr>
        <w:ind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我方</w:t>
      </w:r>
      <w:r>
        <w:rPr>
          <w:rFonts w:hint="eastAsia" w:ascii="微软雅黑" w:hAnsi="微软雅黑" w:eastAsia="微软雅黑" w:cs="宋体"/>
          <w:color w:val="000000"/>
          <w:sz w:val="24"/>
          <w:u w:val="single"/>
        </w:rPr>
        <w:t>（供应商名称）</w:t>
      </w:r>
      <w:r>
        <w:rPr>
          <w:rFonts w:hint="eastAsia" w:ascii="微软雅黑" w:hAnsi="微软雅黑" w:eastAsia="微软雅黑" w:cs="宋体"/>
          <w:color w:val="000000"/>
          <w:sz w:val="24"/>
        </w:rPr>
        <w:t>系中华人民共和国合法供应商，经营地址。</w:t>
      </w:r>
    </w:p>
    <w:p w14:paraId="7435BF51">
      <w:pPr>
        <w:ind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我方愿意参加贵方组织的</w:t>
      </w:r>
      <w:r>
        <w:rPr>
          <w:rFonts w:hint="eastAsia" w:ascii="微软雅黑" w:hAnsi="微软雅黑" w:eastAsia="微软雅黑" w:cs="宋体"/>
          <w:color w:val="000000"/>
          <w:sz w:val="24"/>
          <w:u w:val="single"/>
        </w:rPr>
        <w:t>（项目名称）</w:t>
      </w:r>
      <w:r>
        <w:rPr>
          <w:rFonts w:hint="eastAsia" w:ascii="微软雅黑" w:hAnsi="微软雅黑" w:eastAsia="微软雅黑" w:cs="宋体"/>
          <w:color w:val="000000"/>
          <w:sz w:val="24"/>
        </w:rPr>
        <w:t>项目的竞标，为便于贵方公正、择优地确定成交供应商及其竞标产品和服务，我方就本次竞标有关事项郑重声明如下：</w:t>
      </w:r>
    </w:p>
    <w:p w14:paraId="6122A22D">
      <w:pPr>
        <w:numPr>
          <w:ilvl w:val="0"/>
          <w:numId w:val="13"/>
        </w:numPr>
        <w:ind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我方向贵方提交的所有响应文件、资料都是准确的和真实的。</w:t>
      </w:r>
    </w:p>
    <w:p w14:paraId="5F11A1D2">
      <w:pPr>
        <w:numPr>
          <w:ilvl w:val="0"/>
          <w:numId w:val="13"/>
        </w:numPr>
        <w:ind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在此，我方宣布同意如下：</w:t>
      </w:r>
    </w:p>
    <w:p w14:paraId="7BE5BEC1">
      <w:pPr>
        <w:numPr>
          <w:ilvl w:val="0"/>
          <w:numId w:val="14"/>
        </w:numPr>
        <w:ind w:left="0"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将按询价文件的约定履行合同责任和义务；</w:t>
      </w:r>
    </w:p>
    <w:p w14:paraId="533C36A7">
      <w:pPr>
        <w:numPr>
          <w:ilvl w:val="0"/>
          <w:numId w:val="14"/>
        </w:numPr>
        <w:ind w:left="0"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已详细审查全部询价文件，包括补遗文件（如有），我们完全理解并同意放弃对这方面有不明及误解的权力；</w:t>
      </w:r>
    </w:p>
    <w:p w14:paraId="4918808D">
      <w:pPr>
        <w:numPr>
          <w:ilvl w:val="0"/>
          <w:numId w:val="14"/>
        </w:numPr>
        <w:ind w:left="0"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同意提供按照贵方可能要求的与竞标有关的一切数据或者资料；</w:t>
      </w:r>
    </w:p>
    <w:p w14:paraId="16A286DA">
      <w:pPr>
        <w:numPr>
          <w:ilvl w:val="0"/>
          <w:numId w:val="14"/>
        </w:numPr>
        <w:ind w:left="0"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响应询价文件规定的竞标有效期。</w:t>
      </w:r>
    </w:p>
    <w:p w14:paraId="3AA902A8">
      <w:pPr>
        <w:numPr>
          <w:ilvl w:val="0"/>
          <w:numId w:val="13"/>
        </w:numPr>
        <w:ind w:firstLine="480" w:firstLineChars="200"/>
        <w:contextualSpacing/>
        <w:rPr>
          <w:rFonts w:ascii="微软雅黑" w:hAnsi="微软雅黑" w:eastAsia="微软雅黑" w:cs="宋体"/>
          <w:color w:val="000000"/>
          <w:kern w:val="0"/>
          <w:sz w:val="24"/>
          <w:u w:val="single"/>
        </w:rPr>
      </w:pPr>
      <w:r>
        <w:rPr>
          <w:rFonts w:hint="eastAsia" w:ascii="微软雅黑" w:hAnsi="微软雅黑" w:eastAsia="微软雅黑" w:cs="宋体"/>
          <w:color w:val="000000"/>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EC051CE">
      <w:pPr>
        <w:numPr>
          <w:ilvl w:val="0"/>
          <w:numId w:val="13"/>
        </w:numPr>
        <w:ind w:firstLine="480" w:firstLineChars="200"/>
        <w:contextualSpacing/>
        <w:rPr>
          <w:rFonts w:ascii="微软雅黑" w:hAnsi="微软雅黑" w:eastAsia="微软雅黑" w:cs="宋体"/>
          <w:color w:val="000000"/>
          <w:kern w:val="0"/>
          <w:sz w:val="24"/>
          <w:u w:val="single"/>
        </w:rPr>
      </w:pPr>
      <w:r>
        <w:rPr>
          <w:rFonts w:hint="eastAsia" w:ascii="微软雅黑" w:hAnsi="微软雅黑" w:eastAsia="微软雅黑" w:cs="宋体"/>
          <w:color w:val="000000"/>
          <w:kern w:val="0"/>
          <w:sz w:val="24"/>
        </w:rPr>
        <w:t>与本询价有关的一切正式往来信函请寄：</w:t>
      </w:r>
    </w:p>
    <w:p w14:paraId="2189E6BA">
      <w:pPr>
        <w:ind w:firstLine="480" w:firstLineChars="200"/>
        <w:contextualSpacing/>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电话/传真：  电子函件：</w:t>
      </w:r>
    </w:p>
    <w:p w14:paraId="40BF6DCA">
      <w:pPr>
        <w:tabs>
          <w:tab w:val="left" w:pos="939"/>
        </w:tabs>
        <w:ind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开户银行：账号/行号：</w:t>
      </w:r>
    </w:p>
    <w:p w14:paraId="08F0BBF2">
      <w:pPr>
        <w:numPr>
          <w:ilvl w:val="0"/>
          <w:numId w:val="13"/>
        </w:numPr>
        <w:tabs>
          <w:tab w:val="left" w:pos="939"/>
        </w:tabs>
        <w:ind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以上事项如有虚假或者隐瞒，我方愿意承担一切后果，并不再寻求任何旨在减轻或者免除法律责任的辩解。</w:t>
      </w:r>
    </w:p>
    <w:p w14:paraId="645FBA5C">
      <w:pPr>
        <w:tabs>
          <w:tab w:val="left" w:pos="939"/>
        </w:tabs>
        <w:ind w:left="141" w:leftChars="67" w:firstLine="480" w:firstLineChars="200"/>
        <w:contextualSpacing/>
        <w:rPr>
          <w:rFonts w:ascii="微软雅黑" w:hAnsi="微软雅黑" w:eastAsia="微软雅黑" w:cs="宋体"/>
          <w:color w:val="000000"/>
          <w:szCs w:val="21"/>
        </w:rPr>
      </w:pPr>
      <w:r>
        <w:rPr>
          <w:rFonts w:hint="eastAsia" w:ascii="微软雅黑" w:hAnsi="微软雅黑" w:eastAsia="微软雅黑" w:cs="宋体"/>
          <w:color w:val="000000"/>
          <w:sz w:val="24"/>
        </w:rPr>
        <w:t>特此承诺。</w:t>
      </w:r>
    </w:p>
    <w:p w14:paraId="54996561">
      <w:pPr>
        <w:spacing w:line="360" w:lineRule="auto"/>
        <w:contextualSpacing/>
        <w:jc w:val="left"/>
        <w:rPr>
          <w:rFonts w:ascii="微软雅黑" w:hAnsi="微软雅黑" w:eastAsia="微软雅黑" w:cs="宋体"/>
          <w:color w:val="000000"/>
          <w:sz w:val="24"/>
        </w:rPr>
      </w:pPr>
    </w:p>
    <w:p w14:paraId="57EE8B4E">
      <w:pPr>
        <w:spacing w:line="360" w:lineRule="auto"/>
        <w:ind w:firstLine="480" w:firstLineChars="200"/>
        <w:contextualSpacing/>
        <w:rPr>
          <w:rFonts w:ascii="微软雅黑" w:hAnsi="微软雅黑" w:eastAsia="微软雅黑"/>
          <w:color w:val="000000"/>
          <w:sz w:val="24"/>
          <w:u w:val="single"/>
        </w:rPr>
      </w:pPr>
      <w:r>
        <w:rPr>
          <w:rFonts w:hint="eastAsia" w:ascii="微软雅黑" w:hAnsi="微软雅黑" w:eastAsia="微软雅黑"/>
          <w:color w:val="000000"/>
          <w:sz w:val="24"/>
        </w:rPr>
        <w:t>法定代表人或委托代理人（被授权人）（签字）：</w:t>
      </w:r>
    </w:p>
    <w:p w14:paraId="302A9872">
      <w:pPr>
        <w:spacing w:line="360" w:lineRule="auto"/>
        <w:ind w:firstLine="480" w:firstLineChars="200"/>
        <w:contextualSpacing/>
        <w:rPr>
          <w:rFonts w:ascii="微软雅黑" w:hAnsi="微软雅黑" w:eastAsia="微软雅黑"/>
          <w:color w:val="000000"/>
          <w:sz w:val="24"/>
          <w:u w:val="single"/>
        </w:rPr>
      </w:pPr>
      <w:r>
        <w:rPr>
          <w:rFonts w:hint="eastAsia" w:ascii="微软雅黑" w:hAnsi="微软雅黑" w:eastAsia="微软雅黑"/>
          <w:color w:val="000000"/>
          <w:sz w:val="24"/>
        </w:rPr>
        <w:t>供应商名称（盖公章）：</w:t>
      </w:r>
    </w:p>
    <w:p w14:paraId="3381C679">
      <w:pPr>
        <w:tabs>
          <w:tab w:val="left" w:pos="3479"/>
        </w:tabs>
        <w:spacing w:line="520" w:lineRule="exact"/>
        <w:jc w:val="left"/>
        <w:rPr>
          <w:rFonts w:ascii="宋体" w:hAnsi="宋体"/>
          <w:b/>
          <w:sz w:val="24"/>
        </w:rPr>
      </w:pPr>
      <w:r>
        <w:rPr>
          <w:rFonts w:hint="eastAsia" w:ascii="微软雅黑" w:hAnsi="微软雅黑" w:eastAsia="微软雅黑"/>
          <w:color w:val="000000"/>
          <w:sz w:val="24"/>
        </w:rPr>
        <w:t xml:space="preserve"> 年    月    日</w:t>
      </w:r>
      <w:r>
        <w:rPr>
          <w:rFonts w:hint="eastAsia" w:ascii="宋体" w:hAnsi="宋体"/>
          <w:b/>
          <w:sz w:val="24"/>
        </w:rPr>
        <w:br w:type="page"/>
      </w:r>
    </w:p>
    <w:p w14:paraId="14894EFB">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14:paraId="79D5BE70">
      <w:pPr>
        <w:spacing w:line="400" w:lineRule="exact"/>
        <w:ind w:firstLine="640" w:firstLineChars="200"/>
        <w:rPr>
          <w:rFonts w:ascii="仿宋_GB2312" w:hAnsi="仿宋_GB2312" w:eastAsia="仿宋_GB2312" w:cs="仿宋_GB2312"/>
          <w:sz w:val="32"/>
          <w:szCs w:val="32"/>
        </w:rPr>
      </w:pPr>
    </w:p>
    <w:p w14:paraId="5C932C05">
      <w:pPr>
        <w:spacing w:line="360" w:lineRule="auto"/>
        <w:ind w:firstLine="482" w:firstLineChars="200"/>
        <w:rPr>
          <w:rFonts w:ascii="宋体" w:hAnsi="宋体" w:cs="仿宋_GB2312"/>
          <w:b/>
          <w:bCs/>
          <w:sz w:val="24"/>
        </w:rPr>
      </w:pPr>
      <w:r>
        <w:rPr>
          <w:rFonts w:hint="eastAsia" w:ascii="宋体" w:hAnsi="宋体" w:cs="仿宋_GB2312"/>
          <w:b/>
          <w:bCs/>
          <w:sz w:val="24"/>
        </w:rPr>
        <w:t>一、我公司承诺无下列相互串通竞标的情形：</w:t>
      </w:r>
    </w:p>
    <w:p w14:paraId="7A195B38">
      <w:pPr>
        <w:spacing w:line="360" w:lineRule="auto"/>
        <w:ind w:firstLine="480" w:firstLineChars="200"/>
        <w:rPr>
          <w:rFonts w:ascii="宋体" w:hAnsi="宋体" w:cs="仿宋_GB2312"/>
          <w:sz w:val="24"/>
        </w:rPr>
      </w:pPr>
      <w:r>
        <w:rPr>
          <w:rFonts w:hint="eastAsia" w:ascii="宋体" w:hAnsi="宋体" w:cs="仿宋_GB2312"/>
          <w:sz w:val="24"/>
        </w:rPr>
        <w:t>1.不同供应商的响应文件由同一单位或者个人编制；或者不同供应商报名的IP地址一致的；</w:t>
      </w:r>
    </w:p>
    <w:p w14:paraId="0567F7F7">
      <w:pPr>
        <w:spacing w:line="360" w:lineRule="auto"/>
        <w:ind w:firstLine="480" w:firstLineChars="200"/>
        <w:rPr>
          <w:rFonts w:ascii="宋体" w:hAnsi="宋体" w:cs="仿宋_GB2312"/>
          <w:sz w:val="24"/>
        </w:rPr>
      </w:pPr>
      <w:r>
        <w:rPr>
          <w:rFonts w:hint="eastAsia" w:ascii="宋体" w:hAnsi="宋体" w:cs="仿宋_GB2312"/>
          <w:sz w:val="24"/>
        </w:rPr>
        <w:t>2.不同供应商委托同一单位或者个人办理竞标事宜；</w:t>
      </w:r>
    </w:p>
    <w:p w14:paraId="4DAFA417">
      <w:pPr>
        <w:spacing w:line="360" w:lineRule="auto"/>
        <w:ind w:firstLine="480" w:firstLineChars="200"/>
        <w:rPr>
          <w:rFonts w:ascii="宋体" w:hAnsi="宋体" w:cs="仿宋_GB2312"/>
          <w:sz w:val="24"/>
        </w:rPr>
      </w:pPr>
      <w:r>
        <w:rPr>
          <w:rFonts w:hint="eastAsia" w:ascii="宋体" w:hAnsi="宋体" w:cs="仿宋_GB2312"/>
          <w:sz w:val="24"/>
        </w:rPr>
        <w:t>3.不同的供应商的响应文件载明的项目管理员为同一个人；</w:t>
      </w:r>
    </w:p>
    <w:p w14:paraId="271DED97">
      <w:pPr>
        <w:spacing w:line="360" w:lineRule="auto"/>
        <w:ind w:firstLine="480" w:firstLineChars="200"/>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2DEBD9C2">
      <w:pPr>
        <w:spacing w:line="360" w:lineRule="auto"/>
        <w:ind w:firstLine="480" w:firstLineChars="200"/>
        <w:rPr>
          <w:rFonts w:ascii="宋体" w:hAnsi="宋体" w:cs="仿宋_GB2312"/>
          <w:sz w:val="24"/>
        </w:rPr>
      </w:pPr>
      <w:r>
        <w:rPr>
          <w:rFonts w:hint="eastAsia" w:ascii="宋体" w:hAnsi="宋体" w:cs="仿宋_GB2312"/>
          <w:sz w:val="24"/>
        </w:rPr>
        <w:t>5.不同供应商的响应文件相互混装；</w:t>
      </w:r>
    </w:p>
    <w:p w14:paraId="655F4513">
      <w:pPr>
        <w:spacing w:line="360" w:lineRule="auto"/>
        <w:ind w:firstLine="480" w:firstLineChars="200"/>
        <w:rPr>
          <w:rFonts w:ascii="宋体" w:hAnsi="宋体" w:cs="仿宋_GB2312"/>
          <w:sz w:val="24"/>
        </w:rPr>
      </w:pPr>
      <w:r>
        <w:rPr>
          <w:rFonts w:hint="eastAsia" w:ascii="宋体" w:hAnsi="宋体" w:cs="仿宋_GB2312"/>
          <w:sz w:val="24"/>
        </w:rPr>
        <w:t>6.不同供应商的竞标保证金从同一单位或者个人账户转出。</w:t>
      </w:r>
    </w:p>
    <w:p w14:paraId="48C62065">
      <w:pPr>
        <w:spacing w:line="360" w:lineRule="auto"/>
        <w:ind w:firstLine="482" w:firstLineChars="200"/>
        <w:rPr>
          <w:rFonts w:ascii="宋体" w:hAnsi="宋体" w:cs="仿宋_GB2312"/>
          <w:b/>
          <w:bCs/>
          <w:sz w:val="24"/>
        </w:rPr>
      </w:pPr>
      <w:r>
        <w:rPr>
          <w:rFonts w:hint="eastAsia" w:ascii="宋体" w:hAnsi="宋体" w:cs="仿宋_GB2312"/>
          <w:b/>
          <w:bCs/>
          <w:sz w:val="24"/>
        </w:rPr>
        <w:t>二、我公司承诺无下列恶意串通的情形：</w:t>
      </w:r>
    </w:p>
    <w:p w14:paraId="3FD784CB">
      <w:pPr>
        <w:spacing w:line="360" w:lineRule="auto"/>
        <w:ind w:firstLine="480" w:firstLineChars="200"/>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55304C46">
      <w:pPr>
        <w:spacing w:line="360" w:lineRule="auto"/>
        <w:ind w:firstLine="480" w:firstLineChars="200"/>
        <w:rPr>
          <w:rFonts w:ascii="宋体" w:hAnsi="宋体" w:cs="仿宋_GB2312"/>
          <w:sz w:val="24"/>
        </w:rPr>
      </w:pPr>
      <w:r>
        <w:rPr>
          <w:rFonts w:hint="eastAsia" w:ascii="宋体" w:hAnsi="宋体" w:cs="仿宋_GB2312"/>
          <w:sz w:val="24"/>
        </w:rPr>
        <w:t>2.供应商按照采购人或者采购代理机构的授意撤换、修改响应文件；</w:t>
      </w:r>
    </w:p>
    <w:p w14:paraId="0D3EEA49">
      <w:pPr>
        <w:spacing w:line="360" w:lineRule="auto"/>
        <w:ind w:firstLine="480" w:firstLineChars="200"/>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226A8F3C">
      <w:pPr>
        <w:spacing w:line="360" w:lineRule="auto"/>
        <w:ind w:firstLine="480" w:firstLineChars="200"/>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15E2ECE0">
      <w:pPr>
        <w:spacing w:line="360" w:lineRule="auto"/>
        <w:ind w:firstLine="480" w:firstLineChars="200"/>
        <w:rPr>
          <w:rFonts w:ascii="宋体" w:hAnsi="宋体" w:cs="仿宋_GB2312"/>
          <w:sz w:val="24"/>
        </w:rPr>
      </w:pPr>
      <w:r>
        <w:rPr>
          <w:rFonts w:hint="eastAsia" w:ascii="宋体" w:hAnsi="宋体" w:cs="仿宋_GB2312"/>
          <w:sz w:val="24"/>
        </w:rPr>
        <w:t>5.供应商之间事先约定一致抬高或者压低竞标报价,或者在竞争性谈判项目中事先约定轮流以高价位或者低价位成交,或者事先约定由某一特定供应商成交,然后再参加竞标；</w:t>
      </w:r>
    </w:p>
    <w:p w14:paraId="507B7D5E">
      <w:pPr>
        <w:spacing w:line="360" w:lineRule="auto"/>
        <w:ind w:firstLine="480" w:firstLineChars="200"/>
        <w:rPr>
          <w:rFonts w:ascii="宋体" w:hAnsi="宋体" w:cs="仿宋_GB2312"/>
          <w:sz w:val="24"/>
        </w:rPr>
      </w:pPr>
      <w:r>
        <w:rPr>
          <w:rFonts w:hint="eastAsia" w:ascii="宋体" w:hAnsi="宋体" w:cs="仿宋_GB2312"/>
          <w:sz w:val="24"/>
        </w:rPr>
        <w:t>6.供应商之间商定部分供应商放弃参加政府采购活动或者放弃成交；</w:t>
      </w:r>
    </w:p>
    <w:p w14:paraId="55F8741D">
      <w:pPr>
        <w:spacing w:line="360" w:lineRule="auto"/>
        <w:ind w:firstLine="480" w:firstLineChars="200"/>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1247227D">
      <w:pPr>
        <w:spacing w:line="360" w:lineRule="auto"/>
        <w:ind w:firstLine="480" w:firstLineChars="200"/>
        <w:rPr>
          <w:rFonts w:ascii="宋体" w:hAnsi="宋体" w:cs="仿宋_GB2312"/>
          <w:sz w:val="24"/>
        </w:rPr>
      </w:pPr>
    </w:p>
    <w:p w14:paraId="5CFCC8AF">
      <w:pPr>
        <w:spacing w:line="360" w:lineRule="auto"/>
        <w:ind w:firstLine="482" w:firstLineChars="200"/>
        <w:rPr>
          <w:rFonts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072E96AE">
      <w:pPr>
        <w:spacing w:line="360" w:lineRule="auto"/>
        <w:ind w:firstLine="480" w:firstLineChars="200"/>
        <w:rPr>
          <w:rFonts w:ascii="宋体" w:hAnsi="宋体" w:cs="仿宋_GB2312"/>
          <w:sz w:val="24"/>
        </w:rPr>
      </w:pPr>
    </w:p>
    <w:p w14:paraId="1E4EC996">
      <w:pPr>
        <w:spacing w:line="360" w:lineRule="auto"/>
        <w:rPr>
          <w:rFonts w:ascii="宋体" w:hAnsi="宋体" w:cs="仿宋_GB2312"/>
          <w:sz w:val="24"/>
        </w:rPr>
      </w:pPr>
    </w:p>
    <w:p w14:paraId="48FC5D97">
      <w:pPr>
        <w:spacing w:line="360" w:lineRule="auto"/>
        <w:ind w:firstLine="3600" w:firstLineChars="1500"/>
        <w:rPr>
          <w:rFonts w:ascii="宋体" w:hAnsi="宋体" w:cs="仿宋_GB2312"/>
          <w:sz w:val="24"/>
        </w:rPr>
      </w:pPr>
      <w:r>
        <w:rPr>
          <w:rFonts w:hint="eastAsia" w:ascii="宋体" w:hAnsi="宋体" w:cs="仿宋_GB2312"/>
          <w:sz w:val="24"/>
        </w:rPr>
        <w:t>供应商（盖公章 ）：</w:t>
      </w:r>
    </w:p>
    <w:p w14:paraId="1BA4FDBD">
      <w:pPr>
        <w:spacing w:line="360" w:lineRule="auto"/>
        <w:ind w:firstLine="480" w:firstLineChars="200"/>
        <w:jc w:val="center"/>
        <w:rPr>
          <w:rFonts w:ascii="宋体" w:hAnsi="宋体" w:cs="仿宋_GB2312"/>
          <w:sz w:val="24"/>
        </w:rPr>
      </w:pPr>
      <w:r>
        <w:rPr>
          <w:rFonts w:hint="eastAsia" w:ascii="宋体" w:hAnsi="宋体" w:cs="仿宋_GB2312"/>
          <w:sz w:val="24"/>
        </w:rPr>
        <w:t xml:space="preserve">                               年   月   日</w:t>
      </w:r>
    </w:p>
    <w:p w14:paraId="6F3BDB83">
      <w:pPr>
        <w:widowControl/>
        <w:jc w:val="left"/>
        <w:rPr>
          <w:rFonts w:ascii="宋体" w:hAnsi="宋体" w:cs="仿宋_GB2312"/>
          <w:sz w:val="24"/>
        </w:rPr>
      </w:pPr>
      <w:r>
        <w:rPr>
          <w:rFonts w:ascii="宋体" w:hAnsi="宋体" w:cs="仿宋_GB2312"/>
          <w:sz w:val="24"/>
        </w:rPr>
        <w:br w:type="page"/>
      </w:r>
    </w:p>
    <w:p w14:paraId="3E5BE948">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14:paraId="5E415F4D">
      <w:pPr>
        <w:spacing w:line="500" w:lineRule="exact"/>
        <w:jc w:val="center"/>
        <w:rPr>
          <w:rFonts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14:paraId="1B9A0AE5">
      <w:pPr>
        <w:snapToGrid w:val="0"/>
        <w:spacing w:before="50"/>
        <w:jc w:val="left"/>
        <w:rPr>
          <w:rFonts w:ascii="宋体" w:hAnsi="宋体"/>
          <w:sz w:val="24"/>
        </w:rPr>
      </w:pPr>
    </w:p>
    <w:p w14:paraId="34C59F1D">
      <w:pPr>
        <w:pStyle w:val="23"/>
        <w:spacing w:line="360" w:lineRule="auto"/>
        <w:rPr>
          <w:rFonts w:hAnsi="宋体" w:cs="仿宋_GB2312"/>
          <w:sz w:val="24"/>
          <w:szCs w:val="24"/>
        </w:rPr>
      </w:pPr>
      <w:bookmarkStart w:id="0" w:name="_Hlk48036267"/>
    </w:p>
    <w:tbl>
      <w:tblPr>
        <w:tblStyle w:val="40"/>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322D8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60C1559A">
            <w:pPr>
              <w:snapToGrid w:val="0"/>
              <w:spacing w:beforeLines="50" w:line="360" w:lineRule="auto"/>
              <w:jc w:val="center"/>
              <w:rPr>
                <w:rFonts w:ascii="宋体" w:hAnsi="宋体" w:cs="仿宋_GB2312"/>
                <w:sz w:val="24"/>
              </w:rPr>
            </w:pPr>
            <w:r>
              <w:rPr>
                <w:rFonts w:hint="eastAsia" w:ascii="宋体" w:hAnsi="宋体" w:cs="仿宋_GB2312"/>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4D5052AC">
            <w:pPr>
              <w:snapToGrid w:val="0"/>
              <w:spacing w:beforeLines="50" w:line="360" w:lineRule="auto"/>
              <w:jc w:val="center"/>
              <w:rPr>
                <w:rFonts w:ascii="宋体" w:hAnsi="宋体" w:cs="仿宋_GB2312"/>
                <w:sz w:val="24"/>
              </w:rPr>
            </w:pPr>
            <w:r>
              <w:rPr>
                <w:rFonts w:hint="eastAsia" w:ascii="宋体" w:hAnsi="宋体" w:cs="仿宋_GB2312"/>
                <w:sz w:val="24"/>
              </w:rPr>
              <w:t>竞争性在线询价文件商务条款要求</w:t>
            </w:r>
          </w:p>
        </w:tc>
        <w:tc>
          <w:tcPr>
            <w:tcW w:w="2633" w:type="dxa"/>
            <w:tcBorders>
              <w:top w:val="single" w:color="auto" w:sz="4" w:space="0"/>
              <w:left w:val="single" w:color="auto" w:sz="4" w:space="0"/>
              <w:bottom w:val="single" w:color="auto" w:sz="4" w:space="0"/>
              <w:right w:val="single" w:color="auto" w:sz="4" w:space="0"/>
            </w:tcBorders>
            <w:vAlign w:val="center"/>
          </w:tcPr>
          <w:p w14:paraId="54A39A4F">
            <w:pPr>
              <w:snapToGrid w:val="0"/>
              <w:spacing w:beforeLines="50" w:line="360" w:lineRule="auto"/>
              <w:jc w:val="center"/>
              <w:rPr>
                <w:rFonts w:ascii="宋体" w:hAnsi="宋体" w:cs="仿宋_GB2312"/>
                <w:sz w:val="24"/>
              </w:rPr>
            </w:pPr>
            <w:r>
              <w:rPr>
                <w:rFonts w:hint="eastAsia" w:ascii="宋体" w:hAnsi="宋体" w:cs="仿宋_GB2312"/>
                <w:sz w:val="24"/>
              </w:rPr>
              <w:t>供应商的承诺</w:t>
            </w:r>
          </w:p>
        </w:tc>
        <w:tc>
          <w:tcPr>
            <w:tcW w:w="1829" w:type="dxa"/>
            <w:tcBorders>
              <w:top w:val="single" w:color="auto" w:sz="4" w:space="0"/>
              <w:left w:val="single" w:color="auto" w:sz="4" w:space="0"/>
              <w:bottom w:val="single" w:color="auto" w:sz="4" w:space="0"/>
              <w:right w:val="single" w:color="auto" w:sz="4" w:space="0"/>
            </w:tcBorders>
            <w:vAlign w:val="center"/>
          </w:tcPr>
          <w:p w14:paraId="01401E8C">
            <w:pPr>
              <w:snapToGrid w:val="0"/>
              <w:spacing w:beforeLines="50" w:line="360" w:lineRule="auto"/>
              <w:jc w:val="center"/>
              <w:rPr>
                <w:rFonts w:ascii="宋体" w:hAnsi="宋体" w:cs="仿宋_GB2312"/>
                <w:sz w:val="24"/>
              </w:rPr>
            </w:pPr>
            <w:r>
              <w:rPr>
                <w:rFonts w:hint="eastAsia" w:ascii="宋体" w:hAnsi="宋体" w:cs="仿宋_GB2312"/>
                <w:sz w:val="24"/>
              </w:rPr>
              <w:t>偏离说明</w:t>
            </w:r>
          </w:p>
        </w:tc>
      </w:tr>
      <w:tr w14:paraId="14B96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2179833D">
            <w:pPr>
              <w:spacing w:line="360" w:lineRule="auto"/>
              <w:jc w:val="center"/>
              <w:rPr>
                <w:rFonts w:ascii="宋体" w:hAnsi="宋体" w:cs="仿宋_GB2312"/>
                <w:sz w:val="24"/>
              </w:rPr>
            </w:pPr>
            <w:r>
              <w:rPr>
                <w:rFonts w:hint="eastAsia" w:ascii="宋体" w:hAnsi="宋体" w:cs="仿宋_GB2312"/>
                <w:sz w:val="24"/>
              </w:rPr>
              <w:t>质保期</w:t>
            </w:r>
          </w:p>
        </w:tc>
        <w:tc>
          <w:tcPr>
            <w:tcW w:w="2668" w:type="dxa"/>
            <w:tcBorders>
              <w:top w:val="single" w:color="auto" w:sz="4" w:space="0"/>
              <w:left w:val="single" w:color="auto" w:sz="4" w:space="0"/>
              <w:bottom w:val="single" w:color="auto" w:sz="4" w:space="0"/>
              <w:right w:val="single" w:color="auto" w:sz="4" w:space="0"/>
            </w:tcBorders>
            <w:vAlign w:val="center"/>
          </w:tcPr>
          <w:p w14:paraId="3B8AB9B9">
            <w:pPr>
              <w:snapToGrid w:val="0"/>
              <w:spacing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3AAE15CE">
            <w:pPr>
              <w:snapToGrid w:val="0"/>
              <w:spacing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2B80D25B">
            <w:pPr>
              <w:snapToGrid w:val="0"/>
              <w:spacing w:beforeLines="50" w:line="360" w:lineRule="auto"/>
              <w:jc w:val="center"/>
              <w:rPr>
                <w:rFonts w:ascii="宋体" w:hAnsi="宋体" w:cs="仿宋_GB2312"/>
                <w:sz w:val="24"/>
              </w:rPr>
            </w:pPr>
          </w:p>
        </w:tc>
      </w:tr>
      <w:tr w14:paraId="6040B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14:paraId="768AD50A">
            <w:pPr>
              <w:spacing w:line="360" w:lineRule="auto"/>
              <w:jc w:val="center"/>
              <w:rPr>
                <w:rFonts w:ascii="宋体" w:hAnsi="宋体" w:cs="仿宋_GB2312"/>
                <w:sz w:val="24"/>
              </w:rPr>
            </w:pPr>
            <w:r>
              <w:rPr>
                <w:rFonts w:hint="eastAsia" w:ascii="宋体" w:hAnsi="宋体" w:cs="仿宋_GB2312"/>
                <w:sz w:val="24"/>
              </w:rPr>
              <w:t>配套（售后）服务要求</w:t>
            </w:r>
          </w:p>
        </w:tc>
        <w:tc>
          <w:tcPr>
            <w:tcW w:w="2668" w:type="dxa"/>
            <w:tcBorders>
              <w:top w:val="single" w:color="auto" w:sz="4" w:space="0"/>
              <w:left w:val="single" w:color="auto" w:sz="4" w:space="0"/>
              <w:bottom w:val="single" w:color="auto" w:sz="4" w:space="0"/>
              <w:right w:val="single" w:color="auto" w:sz="4" w:space="0"/>
            </w:tcBorders>
            <w:vAlign w:val="center"/>
          </w:tcPr>
          <w:p w14:paraId="361CC382">
            <w:pPr>
              <w:snapToGrid w:val="0"/>
              <w:spacing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5B436BFB">
            <w:pPr>
              <w:snapToGrid w:val="0"/>
              <w:spacing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42C512F2">
            <w:pPr>
              <w:snapToGrid w:val="0"/>
              <w:spacing w:beforeLines="50" w:line="360" w:lineRule="auto"/>
              <w:jc w:val="center"/>
              <w:rPr>
                <w:rFonts w:ascii="宋体" w:hAnsi="宋体" w:cs="仿宋_GB2312"/>
                <w:sz w:val="24"/>
              </w:rPr>
            </w:pPr>
          </w:p>
        </w:tc>
      </w:tr>
      <w:tr w14:paraId="5C58E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6B611C65">
            <w:pPr>
              <w:spacing w:line="360" w:lineRule="auto"/>
              <w:jc w:val="center"/>
              <w:rPr>
                <w:rFonts w:ascii="宋体" w:hAnsi="宋体" w:cs="仿宋_GB2312"/>
                <w:sz w:val="24"/>
              </w:rPr>
            </w:pPr>
            <w:r>
              <w:rPr>
                <w:rFonts w:hint="eastAsia" w:ascii="宋体" w:hAnsi="宋体" w:cs="仿宋_GB2312"/>
                <w:sz w:val="24"/>
              </w:rPr>
              <w:t>交付或者实施时间及地点</w:t>
            </w:r>
          </w:p>
        </w:tc>
        <w:tc>
          <w:tcPr>
            <w:tcW w:w="2668" w:type="dxa"/>
            <w:tcBorders>
              <w:top w:val="single" w:color="auto" w:sz="4" w:space="0"/>
              <w:left w:val="single" w:color="auto" w:sz="4" w:space="0"/>
              <w:bottom w:val="single" w:color="auto" w:sz="4" w:space="0"/>
              <w:right w:val="single" w:color="auto" w:sz="4" w:space="0"/>
            </w:tcBorders>
            <w:vAlign w:val="center"/>
          </w:tcPr>
          <w:p w14:paraId="455DDB87">
            <w:pPr>
              <w:spacing w:line="360" w:lineRule="auto"/>
              <w:jc w:val="center"/>
              <w:rPr>
                <w:rFonts w:ascii="宋体" w:hAnsi="宋体" w:cs="仿宋_GB2312"/>
                <w:sz w:val="24"/>
              </w:rPr>
            </w:pPr>
            <w:r>
              <w:rPr>
                <w:rFonts w:hint="eastAsia" w:ascii="宋体" w:hAnsi="宋体" w:cs="仿宋_GB2312"/>
                <w:sz w:val="24"/>
              </w:rPr>
              <w:t>1.交付时间：</w:t>
            </w:r>
          </w:p>
          <w:p w14:paraId="032048E7">
            <w:pPr>
              <w:snapToGrid w:val="0"/>
              <w:spacing w:beforeLines="50" w:line="360" w:lineRule="auto"/>
              <w:jc w:val="center"/>
              <w:rPr>
                <w:rFonts w:ascii="宋体" w:hAnsi="宋体" w:cs="仿宋_GB2312"/>
                <w:sz w:val="24"/>
              </w:rPr>
            </w:pPr>
            <w:r>
              <w:rPr>
                <w:rFonts w:hint="eastAsia" w:ascii="宋体" w:hAnsi="宋体" w:cs="仿宋_GB2312"/>
                <w:sz w:val="24"/>
              </w:rPr>
              <w:t>2.交付地点：</w:t>
            </w:r>
          </w:p>
        </w:tc>
        <w:tc>
          <w:tcPr>
            <w:tcW w:w="2633" w:type="dxa"/>
            <w:tcBorders>
              <w:top w:val="single" w:color="auto" w:sz="4" w:space="0"/>
              <w:left w:val="single" w:color="auto" w:sz="4" w:space="0"/>
              <w:bottom w:val="single" w:color="auto" w:sz="4" w:space="0"/>
              <w:right w:val="single" w:color="auto" w:sz="4" w:space="0"/>
            </w:tcBorders>
            <w:vAlign w:val="center"/>
          </w:tcPr>
          <w:p w14:paraId="06286BA8">
            <w:pPr>
              <w:snapToGrid w:val="0"/>
              <w:spacing w:beforeLines="50" w:line="360" w:lineRule="auto"/>
              <w:ind w:left="43"/>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43B007F4">
            <w:pPr>
              <w:snapToGrid w:val="0"/>
              <w:spacing w:beforeLines="50" w:line="360" w:lineRule="auto"/>
              <w:ind w:left="43"/>
              <w:jc w:val="center"/>
              <w:rPr>
                <w:rFonts w:ascii="宋体" w:hAnsi="宋体" w:cs="仿宋_GB2312"/>
                <w:sz w:val="24"/>
              </w:rPr>
            </w:pPr>
          </w:p>
        </w:tc>
      </w:tr>
      <w:tr w14:paraId="3EA23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vAlign w:val="center"/>
          </w:tcPr>
          <w:p w14:paraId="6424223F">
            <w:pPr>
              <w:spacing w:line="360" w:lineRule="auto"/>
              <w:jc w:val="center"/>
              <w:rPr>
                <w:rFonts w:ascii="宋体" w:hAnsi="宋体" w:cs="仿宋_GB2312"/>
                <w:sz w:val="24"/>
              </w:rPr>
            </w:pPr>
            <w:r>
              <w:rPr>
                <w:rFonts w:hint="eastAsia" w:ascii="宋体" w:hAnsi="宋体" w:cs="仿宋_GB2312"/>
                <w:sz w:val="24"/>
              </w:rPr>
              <w:t>付款条件</w:t>
            </w:r>
          </w:p>
        </w:tc>
        <w:tc>
          <w:tcPr>
            <w:tcW w:w="2668" w:type="dxa"/>
            <w:tcBorders>
              <w:top w:val="single" w:color="auto" w:sz="4" w:space="0"/>
              <w:left w:val="single" w:color="auto" w:sz="4" w:space="0"/>
              <w:bottom w:val="single" w:color="auto" w:sz="4" w:space="0"/>
              <w:right w:val="single" w:color="auto" w:sz="4" w:space="0"/>
            </w:tcBorders>
            <w:vAlign w:val="center"/>
          </w:tcPr>
          <w:p w14:paraId="1D16369D">
            <w:pPr>
              <w:snapToGrid w:val="0"/>
              <w:spacing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608F26E1">
            <w:pPr>
              <w:snapToGrid w:val="0"/>
              <w:spacing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0C1DBDA9">
            <w:pPr>
              <w:snapToGrid w:val="0"/>
              <w:spacing w:beforeLines="50" w:line="360" w:lineRule="auto"/>
              <w:jc w:val="center"/>
              <w:rPr>
                <w:rFonts w:ascii="宋体" w:hAnsi="宋体" w:cs="仿宋_GB2312"/>
                <w:sz w:val="24"/>
              </w:rPr>
            </w:pPr>
          </w:p>
        </w:tc>
      </w:tr>
      <w:tr w14:paraId="60DFC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5C064C19">
            <w:pPr>
              <w:snapToGrid w:val="0"/>
              <w:spacing w:beforeLines="50" w:line="360" w:lineRule="auto"/>
              <w:jc w:val="center"/>
              <w:rPr>
                <w:rFonts w:ascii="宋体" w:hAnsi="宋体" w:cs="仿宋_GB2312"/>
                <w:sz w:val="24"/>
              </w:rPr>
            </w:pPr>
            <w:r>
              <w:rPr>
                <w:rFonts w:hint="eastAsia" w:ascii="宋体" w:hAnsi="宋体" w:cs="仿宋_GB2312"/>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363852E6">
            <w:pPr>
              <w:snapToGrid w:val="0"/>
              <w:spacing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0074FDDA">
            <w:pPr>
              <w:snapToGrid w:val="0"/>
              <w:spacing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1AEC3FFD">
            <w:pPr>
              <w:snapToGrid w:val="0"/>
              <w:spacing w:beforeLines="50" w:line="360" w:lineRule="auto"/>
              <w:jc w:val="center"/>
              <w:rPr>
                <w:rFonts w:ascii="宋体" w:hAnsi="宋体" w:cs="仿宋_GB2312"/>
                <w:sz w:val="24"/>
              </w:rPr>
            </w:pPr>
          </w:p>
        </w:tc>
      </w:tr>
    </w:tbl>
    <w:p w14:paraId="050A8F46">
      <w:pPr>
        <w:pStyle w:val="17"/>
        <w:ind w:firstLine="845"/>
        <w:rPr>
          <w:rFonts w:ascii="宋体" w:hAnsi="宋体"/>
          <w:kern w:val="0"/>
        </w:rPr>
      </w:pPr>
      <w:bookmarkStart w:id="1" w:name="_Hlk55980472"/>
      <w:r>
        <w:rPr>
          <w:rFonts w:hint="eastAsia" w:ascii="宋体" w:hAnsi="宋体"/>
          <w:kern w:val="0"/>
        </w:rPr>
        <w:t>注：</w:t>
      </w:r>
    </w:p>
    <w:p w14:paraId="02F3264D">
      <w:pPr>
        <w:pStyle w:val="17"/>
        <w:spacing w:line="360" w:lineRule="auto"/>
        <w:ind w:firstLine="482" w:firstLineChars="200"/>
        <w:rPr>
          <w:rFonts w:ascii="宋体" w:hAnsi="宋体"/>
          <w:kern w:val="0"/>
        </w:rPr>
      </w:pPr>
      <w:r>
        <w:rPr>
          <w:rFonts w:hint="eastAsia" w:ascii="宋体" w:hAnsi="宋体"/>
          <w:kern w:val="0"/>
        </w:rPr>
        <w:t>1. 说明：应对照在线询价文件“项目需求”中的商务条款逐条实质性响应，并作出偏离说明，否则其响应文件按无效处理。</w:t>
      </w:r>
    </w:p>
    <w:p w14:paraId="4F088808">
      <w:pPr>
        <w:pStyle w:val="17"/>
        <w:spacing w:line="360" w:lineRule="auto"/>
        <w:ind w:firstLine="482" w:firstLineChars="200"/>
        <w:rPr>
          <w:rFonts w:ascii="宋体" w:hAnsi="宋体"/>
          <w:kern w:val="0"/>
        </w:rPr>
      </w:pPr>
      <w:r>
        <w:rPr>
          <w:rFonts w:hint="eastAsia" w:ascii="宋体" w:hAnsi="宋体"/>
          <w:kern w:val="0"/>
        </w:rPr>
        <w:t>2.供应商应根据自身的承诺，对照在线询价文件要求在“偏离说明”中注明“正偏离”、“负偏离”或者“无偏离”，完全响应即为“无偏离”</w:t>
      </w:r>
      <w:bookmarkEnd w:id="1"/>
      <w:r>
        <w:rPr>
          <w:rFonts w:hint="eastAsia" w:ascii="宋体" w:hAnsi="宋体"/>
          <w:kern w:val="0"/>
        </w:rPr>
        <w:t>，不注明或者漏项其响应文件都将按无效处理。</w:t>
      </w:r>
    </w:p>
    <w:p w14:paraId="008504C1">
      <w:pPr>
        <w:pStyle w:val="17"/>
        <w:spacing w:line="360" w:lineRule="auto"/>
        <w:ind w:firstLine="482" w:firstLineChars="200"/>
        <w:rPr>
          <w:rFonts w:ascii="宋体" w:hAnsi="宋体"/>
          <w:kern w:val="0"/>
        </w:rPr>
      </w:pPr>
      <w:r>
        <w:rPr>
          <w:rFonts w:ascii="宋体" w:hAnsi="宋体"/>
          <w:kern w:val="0"/>
        </w:rPr>
        <w:t>3.</w:t>
      </w:r>
      <w:r>
        <w:rPr>
          <w:rFonts w:hint="eastAsia" w:ascii="宋体" w:hAnsi="宋体"/>
          <w:kern w:val="0"/>
        </w:rPr>
        <w:t>本表必须加盖供应商公章并由法定代表人或者委托代理人签字，</w:t>
      </w:r>
      <w:r>
        <w:rPr>
          <w:rFonts w:hint="eastAsia" w:ascii="宋体" w:hAnsi="宋体" w:cs="仿宋_GB2312"/>
        </w:rPr>
        <w:t>表格多于1页的，每页都应加盖公章，</w:t>
      </w:r>
      <w:r>
        <w:rPr>
          <w:rFonts w:hint="eastAsia" w:ascii="宋体" w:hAnsi="宋体"/>
          <w:kern w:val="0"/>
        </w:rPr>
        <w:t>否则其响应文件按无效处理。</w:t>
      </w:r>
    </w:p>
    <w:p w14:paraId="31155F36">
      <w:pPr>
        <w:pStyle w:val="17"/>
        <w:spacing w:line="360" w:lineRule="auto"/>
        <w:ind w:firstLine="482" w:firstLineChars="200"/>
        <w:rPr>
          <w:rFonts w:ascii="宋体" w:hAnsi="宋体"/>
          <w:kern w:val="0"/>
        </w:rPr>
      </w:pPr>
      <w:r>
        <w:rPr>
          <w:rFonts w:hint="eastAsia" w:ascii="宋体" w:hAnsi="宋体"/>
          <w:kern w:val="0"/>
        </w:rPr>
        <w:t>4．本表</w:t>
      </w:r>
      <w:r>
        <w:rPr>
          <w:rFonts w:ascii="宋体" w:hAnsi="宋体"/>
          <w:kern w:val="0"/>
        </w:rPr>
        <w:t>内容</w:t>
      </w:r>
      <w:r>
        <w:rPr>
          <w:rFonts w:hint="eastAsia" w:ascii="宋体" w:hAnsi="宋体"/>
          <w:kern w:val="0"/>
        </w:rPr>
        <w:t>一经涂改，应在涂改处加盖供应商公章或者由法定代表人或者授权委托人签字或者盖章，否则其响应文件按无效处理。</w:t>
      </w:r>
    </w:p>
    <w:p w14:paraId="07B987D5">
      <w:pPr>
        <w:snapToGrid w:val="0"/>
        <w:spacing w:before="50" w:after="50" w:line="360" w:lineRule="auto"/>
        <w:ind w:right="-817" w:rightChars="-389"/>
        <w:rPr>
          <w:rFonts w:ascii="宋体" w:hAnsi="宋体" w:cs="仿宋_GB2312"/>
          <w:sz w:val="24"/>
        </w:rPr>
      </w:pPr>
    </w:p>
    <w:p w14:paraId="3E266379">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14:paraId="121C2021">
      <w:pPr>
        <w:snapToGrid w:val="0"/>
        <w:spacing w:before="50" w:after="50" w:line="360" w:lineRule="auto"/>
        <w:ind w:right="-817" w:rightChars="-389" w:firstLine="2880" w:firstLineChars="1200"/>
        <w:rPr>
          <w:rFonts w:ascii="宋体" w:hAnsi="宋体" w:cs="仿宋_GB2312"/>
          <w:sz w:val="24"/>
        </w:rPr>
      </w:pPr>
      <w:r>
        <w:rPr>
          <w:rFonts w:hint="eastAsia" w:ascii="宋体" w:hAnsi="宋体" w:cs="仿宋_GB2312"/>
          <w:sz w:val="24"/>
        </w:rPr>
        <w:t xml:space="preserve">供应商（盖公章）：      </w:t>
      </w:r>
    </w:p>
    <w:p w14:paraId="5A5FF154">
      <w:pPr>
        <w:snapToGrid w:val="0"/>
        <w:spacing w:before="50" w:after="50" w:line="360" w:lineRule="auto"/>
        <w:ind w:right="-817" w:rightChars="-389" w:firstLine="2880" w:firstLineChars="1200"/>
        <w:rPr>
          <w:rFonts w:ascii="宋体" w:hAnsi="宋体" w:cs="仿宋_GB2312"/>
          <w:sz w:val="24"/>
        </w:rPr>
      </w:pPr>
      <w:r>
        <w:rPr>
          <w:rFonts w:hint="eastAsia" w:ascii="宋体" w:hAnsi="宋体" w:cs="仿宋_GB2312"/>
          <w:sz w:val="24"/>
        </w:rPr>
        <w:t>日期：   年   月   日</w:t>
      </w:r>
      <w:bookmarkEnd w:id="0"/>
    </w:p>
    <w:p w14:paraId="6B13579C">
      <w:pPr>
        <w:adjustRightInd w:val="0"/>
        <w:snapToGrid w:val="0"/>
        <w:spacing w:line="300" w:lineRule="auto"/>
        <w:jc w:val="center"/>
        <w:rPr>
          <w:rFonts w:ascii="方正小标宋简体" w:hAnsi="方正小标宋简体" w:eastAsia="方正小标宋简体" w:cs="方正小标宋简体"/>
          <w:bCs/>
          <w:sz w:val="44"/>
          <w:szCs w:val="44"/>
        </w:rPr>
      </w:pPr>
      <w:r>
        <w:rPr>
          <w:rFonts w:ascii="宋体" w:hAnsi="宋体" w:cs="仿宋_GB2312"/>
          <w:sz w:val="24"/>
        </w:rPr>
        <w:br w:type="page"/>
      </w:r>
      <w:r>
        <w:rPr>
          <w:rFonts w:hint="eastAsia" w:ascii="方正小标宋简体" w:hAnsi="方正小标宋简体" w:eastAsia="方正小标宋简体" w:cs="方正小标宋简体"/>
          <w:bCs/>
          <w:sz w:val="44"/>
          <w:szCs w:val="44"/>
        </w:rPr>
        <w:t>技术需求偏离表</w:t>
      </w:r>
    </w:p>
    <w:p w14:paraId="1EDCAEC2">
      <w:pPr>
        <w:spacing w:line="520" w:lineRule="exact"/>
        <w:rPr>
          <w:rFonts w:ascii="仿宋_GB2312" w:hAnsi="仿宋_GB2312" w:eastAsia="仿宋_GB2312" w:cs="仿宋_GB2312"/>
          <w:sz w:val="32"/>
          <w:szCs w:val="32"/>
        </w:rPr>
      </w:pPr>
    </w:p>
    <w:p w14:paraId="53792B2B">
      <w:pPr>
        <w:spacing w:line="360" w:lineRule="auto"/>
        <w:rPr>
          <w:rFonts w:ascii="宋体" w:hAnsi="宋体" w:cs="仿宋_GB2312"/>
          <w:sz w:val="24"/>
          <w:u w:val="single"/>
        </w:rPr>
      </w:pPr>
      <w:r>
        <w:rPr>
          <w:rFonts w:hint="eastAsia" w:ascii="宋体" w:hAnsi="宋体" w:cs="仿宋_GB2312"/>
          <w:sz w:val="24"/>
        </w:rPr>
        <w:t>采购项目编号：</w:t>
      </w:r>
    </w:p>
    <w:p w14:paraId="3BE1852B">
      <w:pPr>
        <w:spacing w:line="360" w:lineRule="auto"/>
        <w:rPr>
          <w:rFonts w:ascii="宋体" w:hAnsi="宋体" w:cs="仿宋_GB2312"/>
          <w:sz w:val="24"/>
        </w:rPr>
      </w:pPr>
      <w:r>
        <w:rPr>
          <w:rFonts w:hint="eastAsia" w:ascii="宋体" w:hAnsi="宋体" w:cs="仿宋_GB2312"/>
          <w:sz w:val="24"/>
        </w:rPr>
        <w:t>采购项目名称：</w:t>
      </w:r>
      <w:bookmarkStart w:id="2" w:name="_Hlk55980577"/>
    </w:p>
    <w:tbl>
      <w:tblPr>
        <w:tblStyle w:val="40"/>
        <w:tblW w:w="9206" w:type="dxa"/>
        <w:tblInd w:w="0" w:type="dxa"/>
        <w:tblLayout w:type="fixed"/>
        <w:tblCellMar>
          <w:top w:w="0" w:type="dxa"/>
          <w:left w:w="108" w:type="dxa"/>
          <w:bottom w:w="0" w:type="dxa"/>
          <w:right w:w="108" w:type="dxa"/>
        </w:tblCellMar>
      </w:tblPr>
      <w:tblGrid>
        <w:gridCol w:w="524"/>
        <w:gridCol w:w="1172"/>
        <w:gridCol w:w="1339"/>
        <w:gridCol w:w="674"/>
        <w:gridCol w:w="665"/>
        <w:gridCol w:w="2738"/>
        <w:gridCol w:w="838"/>
        <w:gridCol w:w="1256"/>
      </w:tblGrid>
      <w:tr w14:paraId="15008D06">
        <w:tblPrEx>
          <w:tblCellMar>
            <w:top w:w="0" w:type="dxa"/>
            <w:left w:w="108" w:type="dxa"/>
            <w:bottom w:w="0" w:type="dxa"/>
            <w:right w:w="108" w:type="dxa"/>
          </w:tblCellMar>
        </w:tblPrEx>
        <w:trPr>
          <w:trHeight w:val="435" w:hRule="atLeast"/>
        </w:trPr>
        <w:tc>
          <w:tcPr>
            <w:tcW w:w="524" w:type="dxa"/>
            <w:tcBorders>
              <w:top w:val="single" w:color="000000" w:sz="4" w:space="0"/>
              <w:left w:val="single" w:color="000000" w:sz="4" w:space="0"/>
              <w:bottom w:val="single" w:color="000000" w:sz="4" w:space="0"/>
              <w:right w:val="single" w:color="000000" w:sz="4" w:space="0"/>
            </w:tcBorders>
            <w:vAlign w:val="center"/>
          </w:tcPr>
          <w:p w14:paraId="5F3BB929">
            <w:pPr>
              <w:spacing w:line="360" w:lineRule="exact"/>
              <w:jc w:val="center"/>
              <w:rPr>
                <w:rFonts w:ascii="微软雅黑" w:hAnsi="微软雅黑" w:eastAsia="微软雅黑"/>
                <w:color w:val="000000"/>
                <w:szCs w:val="21"/>
              </w:rPr>
            </w:pPr>
            <w:r>
              <w:rPr>
                <w:rFonts w:hint="eastAsia" w:ascii="微软雅黑" w:hAnsi="微软雅黑" w:eastAsia="微软雅黑" w:cs="宋体"/>
                <w:color w:val="000000"/>
                <w:szCs w:val="21"/>
              </w:rPr>
              <w:t>序号</w:t>
            </w:r>
          </w:p>
        </w:tc>
        <w:tc>
          <w:tcPr>
            <w:tcW w:w="1172" w:type="dxa"/>
            <w:tcBorders>
              <w:top w:val="single" w:color="000000" w:sz="4" w:space="0"/>
              <w:left w:val="single" w:color="000000" w:sz="4" w:space="0"/>
              <w:bottom w:val="single" w:color="000000" w:sz="4" w:space="0"/>
              <w:right w:val="single" w:color="000000" w:sz="4" w:space="0"/>
            </w:tcBorders>
            <w:vAlign w:val="center"/>
          </w:tcPr>
          <w:p w14:paraId="046F3C55">
            <w:pPr>
              <w:spacing w:line="360" w:lineRule="exact"/>
              <w:jc w:val="center"/>
              <w:rPr>
                <w:rFonts w:ascii="微软雅黑" w:hAnsi="微软雅黑" w:eastAsia="微软雅黑"/>
                <w:color w:val="000000"/>
                <w:szCs w:val="21"/>
              </w:rPr>
            </w:pPr>
            <w:r>
              <w:rPr>
                <w:rFonts w:hint="eastAsia" w:ascii="微软雅黑" w:hAnsi="微软雅黑" w:eastAsia="微软雅黑"/>
                <w:color w:val="000000"/>
                <w:szCs w:val="21"/>
              </w:rPr>
              <w:t>采购标的</w:t>
            </w:r>
          </w:p>
        </w:tc>
        <w:tc>
          <w:tcPr>
            <w:tcW w:w="1339" w:type="dxa"/>
            <w:tcBorders>
              <w:top w:val="single" w:color="000000" w:sz="4" w:space="0"/>
              <w:left w:val="single" w:color="000000" w:sz="4" w:space="0"/>
              <w:bottom w:val="single" w:color="000000" w:sz="4" w:space="0"/>
              <w:right w:val="single" w:color="000000" w:sz="4" w:space="0"/>
            </w:tcBorders>
            <w:vAlign w:val="center"/>
          </w:tcPr>
          <w:p w14:paraId="08128E88">
            <w:pPr>
              <w:spacing w:line="360" w:lineRule="exact"/>
              <w:jc w:val="center"/>
              <w:rPr>
                <w:rFonts w:ascii="微软雅黑" w:hAnsi="微软雅黑" w:eastAsia="微软雅黑"/>
                <w:color w:val="000000"/>
                <w:szCs w:val="21"/>
              </w:rPr>
            </w:pPr>
            <w:r>
              <w:rPr>
                <w:rFonts w:hint="eastAsia" w:ascii="微软雅黑" w:hAnsi="微软雅黑" w:eastAsia="微软雅黑" w:cs="宋体"/>
                <w:color w:val="000000"/>
                <w:szCs w:val="21"/>
              </w:rPr>
              <w:t>品牌、型号规格、生产厂家</w:t>
            </w:r>
          </w:p>
        </w:tc>
        <w:tc>
          <w:tcPr>
            <w:tcW w:w="674" w:type="dxa"/>
            <w:tcBorders>
              <w:top w:val="single" w:color="000000" w:sz="4" w:space="0"/>
              <w:left w:val="single" w:color="000000" w:sz="4" w:space="0"/>
              <w:bottom w:val="single" w:color="000000" w:sz="4" w:space="0"/>
              <w:right w:val="single" w:color="000000" w:sz="4" w:space="0"/>
            </w:tcBorders>
            <w:vAlign w:val="center"/>
          </w:tcPr>
          <w:p w14:paraId="5F118835">
            <w:pPr>
              <w:spacing w:line="360" w:lineRule="exact"/>
              <w:jc w:val="center"/>
              <w:rPr>
                <w:rFonts w:ascii="微软雅黑" w:hAnsi="微软雅黑" w:eastAsia="微软雅黑" w:cs="宋体"/>
                <w:color w:val="000000"/>
                <w:szCs w:val="21"/>
              </w:rPr>
            </w:pPr>
            <w:r>
              <w:rPr>
                <w:rFonts w:hint="eastAsia" w:ascii="微软雅黑" w:hAnsi="微软雅黑" w:eastAsia="微软雅黑" w:cs="宋体"/>
                <w:color w:val="000000"/>
                <w:szCs w:val="21"/>
              </w:rPr>
              <w:t>数量</w:t>
            </w:r>
          </w:p>
        </w:tc>
        <w:tc>
          <w:tcPr>
            <w:tcW w:w="665" w:type="dxa"/>
            <w:tcBorders>
              <w:top w:val="single" w:color="000000" w:sz="4" w:space="0"/>
              <w:left w:val="single" w:color="000000" w:sz="4" w:space="0"/>
              <w:bottom w:val="single" w:color="000000" w:sz="4" w:space="0"/>
              <w:right w:val="single" w:color="000000" w:sz="4" w:space="0"/>
            </w:tcBorders>
            <w:vAlign w:val="center"/>
          </w:tcPr>
          <w:p w14:paraId="01DB6ADC">
            <w:pPr>
              <w:spacing w:line="360" w:lineRule="exact"/>
              <w:jc w:val="center"/>
              <w:rPr>
                <w:rFonts w:ascii="微软雅黑" w:hAnsi="微软雅黑" w:eastAsia="微软雅黑"/>
                <w:color w:val="000000"/>
                <w:szCs w:val="21"/>
              </w:rPr>
            </w:pPr>
            <w:r>
              <w:rPr>
                <w:rFonts w:hint="eastAsia" w:ascii="微软雅黑" w:hAnsi="微软雅黑" w:eastAsia="微软雅黑" w:cs="宋体"/>
                <w:color w:val="000000"/>
                <w:szCs w:val="21"/>
              </w:rPr>
              <w:t>单位</w:t>
            </w:r>
          </w:p>
        </w:tc>
        <w:tc>
          <w:tcPr>
            <w:tcW w:w="2738" w:type="dxa"/>
            <w:tcBorders>
              <w:top w:val="single" w:color="000000" w:sz="4" w:space="0"/>
              <w:left w:val="single" w:color="000000" w:sz="4" w:space="0"/>
              <w:bottom w:val="single" w:color="000000" w:sz="4" w:space="0"/>
              <w:right w:val="single" w:color="000000" w:sz="4" w:space="0"/>
            </w:tcBorders>
            <w:vAlign w:val="center"/>
          </w:tcPr>
          <w:p w14:paraId="1BACE7F5">
            <w:pPr>
              <w:spacing w:line="360" w:lineRule="exact"/>
              <w:jc w:val="center"/>
              <w:rPr>
                <w:rFonts w:ascii="微软雅黑" w:hAnsi="微软雅黑" w:eastAsia="微软雅黑"/>
                <w:color w:val="000000"/>
                <w:szCs w:val="21"/>
              </w:rPr>
            </w:pPr>
            <w:r>
              <w:rPr>
                <w:rFonts w:hint="eastAsia" w:ascii="微软雅黑" w:hAnsi="微软雅黑" w:eastAsia="微软雅黑" w:cs="宋体"/>
                <w:color w:val="000000"/>
                <w:szCs w:val="21"/>
              </w:rPr>
              <w:t>技术参数及性能配置、服务要求</w:t>
            </w:r>
          </w:p>
        </w:tc>
        <w:tc>
          <w:tcPr>
            <w:tcW w:w="838" w:type="dxa"/>
            <w:tcBorders>
              <w:top w:val="single" w:color="000000" w:sz="4" w:space="0"/>
              <w:left w:val="single" w:color="000000" w:sz="4" w:space="0"/>
              <w:bottom w:val="single" w:color="000000" w:sz="4" w:space="0"/>
              <w:right w:val="single" w:color="000000" w:sz="4" w:space="0"/>
            </w:tcBorders>
            <w:vAlign w:val="center"/>
          </w:tcPr>
          <w:p w14:paraId="3CD47B95">
            <w:pPr>
              <w:spacing w:line="360" w:lineRule="exact"/>
              <w:jc w:val="center"/>
              <w:rPr>
                <w:rFonts w:ascii="微软雅黑" w:hAnsi="微软雅黑" w:eastAsia="微软雅黑"/>
                <w:color w:val="000000"/>
                <w:szCs w:val="21"/>
              </w:rPr>
            </w:pPr>
            <w:r>
              <w:rPr>
                <w:rFonts w:hint="eastAsia" w:ascii="微软雅黑" w:hAnsi="微软雅黑" w:eastAsia="微软雅黑" w:cs="宋体"/>
                <w:color w:val="000000"/>
                <w:szCs w:val="21"/>
              </w:rPr>
              <w:t>质保期</w:t>
            </w:r>
          </w:p>
        </w:tc>
        <w:tc>
          <w:tcPr>
            <w:tcW w:w="1256" w:type="dxa"/>
            <w:tcBorders>
              <w:top w:val="single" w:color="000000" w:sz="4" w:space="0"/>
              <w:left w:val="single" w:color="000000" w:sz="4" w:space="0"/>
              <w:bottom w:val="single" w:color="000000" w:sz="4" w:space="0"/>
              <w:right w:val="single" w:color="000000" w:sz="4" w:space="0"/>
            </w:tcBorders>
            <w:vAlign w:val="center"/>
          </w:tcPr>
          <w:p w14:paraId="4F2808AD">
            <w:pPr>
              <w:spacing w:line="360" w:lineRule="exact"/>
              <w:jc w:val="center"/>
              <w:rPr>
                <w:rFonts w:ascii="微软雅黑" w:hAnsi="微软雅黑" w:eastAsia="微软雅黑" w:cs="宋体"/>
                <w:color w:val="000000"/>
                <w:szCs w:val="21"/>
              </w:rPr>
            </w:pPr>
            <w:r>
              <w:rPr>
                <w:rFonts w:hint="eastAsia" w:ascii="微软雅黑" w:hAnsi="微软雅黑" w:eastAsia="微软雅黑" w:cs="宋体"/>
                <w:color w:val="000000"/>
                <w:szCs w:val="21"/>
              </w:rPr>
              <w:t>偏离说明</w:t>
            </w:r>
          </w:p>
        </w:tc>
      </w:tr>
      <w:tr w14:paraId="3EA0A1A2">
        <w:tblPrEx>
          <w:tblCellMar>
            <w:top w:w="0" w:type="dxa"/>
            <w:left w:w="108" w:type="dxa"/>
            <w:bottom w:w="0" w:type="dxa"/>
            <w:right w:w="108" w:type="dxa"/>
          </w:tblCellMar>
        </w:tblPrEx>
        <w:trPr>
          <w:trHeight w:val="456" w:hRule="atLeast"/>
        </w:trPr>
        <w:tc>
          <w:tcPr>
            <w:tcW w:w="524" w:type="dxa"/>
            <w:tcBorders>
              <w:top w:val="single" w:color="000000" w:sz="4" w:space="0"/>
              <w:left w:val="single" w:color="000000" w:sz="4" w:space="0"/>
              <w:bottom w:val="single" w:color="000000" w:sz="4" w:space="0"/>
              <w:right w:val="single" w:color="000000" w:sz="4" w:space="0"/>
            </w:tcBorders>
            <w:vAlign w:val="center"/>
          </w:tcPr>
          <w:p w14:paraId="5AFB7A13">
            <w:pPr>
              <w:spacing w:line="360" w:lineRule="exact"/>
              <w:jc w:val="center"/>
              <w:rPr>
                <w:rFonts w:ascii="微软雅黑" w:hAnsi="微软雅黑" w:eastAsia="微软雅黑"/>
                <w:color w:val="000000"/>
                <w:szCs w:val="21"/>
              </w:rPr>
            </w:pPr>
            <w:r>
              <w:rPr>
                <w:rFonts w:hint="eastAsia" w:ascii="微软雅黑" w:hAnsi="微软雅黑" w:eastAsia="微软雅黑" w:cs="宋体"/>
                <w:color w:val="000000"/>
                <w:szCs w:val="21"/>
              </w:rPr>
              <w:t>1</w:t>
            </w:r>
          </w:p>
        </w:tc>
        <w:tc>
          <w:tcPr>
            <w:tcW w:w="1172" w:type="dxa"/>
            <w:tcBorders>
              <w:top w:val="single" w:color="000000" w:sz="4" w:space="0"/>
              <w:left w:val="single" w:color="000000" w:sz="4" w:space="0"/>
              <w:bottom w:val="single" w:color="000000" w:sz="4" w:space="0"/>
              <w:right w:val="single" w:color="000000" w:sz="4" w:space="0"/>
            </w:tcBorders>
            <w:vAlign w:val="center"/>
          </w:tcPr>
          <w:p w14:paraId="24D01C34">
            <w:pPr>
              <w:snapToGrid w:val="0"/>
              <w:spacing w:line="360" w:lineRule="exact"/>
              <w:rPr>
                <w:rFonts w:ascii="微软雅黑" w:hAnsi="微软雅黑" w:eastAsia="微软雅黑"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14:paraId="0ED6F63F">
            <w:pPr>
              <w:snapToGrid w:val="0"/>
              <w:spacing w:line="360" w:lineRule="exact"/>
              <w:rPr>
                <w:rFonts w:ascii="微软雅黑" w:hAnsi="微软雅黑" w:eastAsia="微软雅黑" w:cs="宋体"/>
                <w:color w:val="000000"/>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350B0846">
            <w:pPr>
              <w:snapToGrid w:val="0"/>
              <w:spacing w:line="360" w:lineRule="exact"/>
              <w:rPr>
                <w:rFonts w:ascii="微软雅黑" w:hAnsi="微软雅黑" w:eastAsia="微软雅黑" w:cs="宋体"/>
                <w:color w:val="000000"/>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6207A469">
            <w:pPr>
              <w:snapToGrid w:val="0"/>
              <w:spacing w:line="360" w:lineRule="exact"/>
              <w:rPr>
                <w:rFonts w:ascii="微软雅黑" w:hAnsi="微软雅黑" w:eastAsia="微软雅黑" w:cs="宋体"/>
                <w:color w:val="000000"/>
                <w:szCs w:val="21"/>
              </w:rPr>
            </w:pPr>
          </w:p>
        </w:tc>
        <w:tc>
          <w:tcPr>
            <w:tcW w:w="2738" w:type="dxa"/>
            <w:tcBorders>
              <w:top w:val="single" w:color="000000" w:sz="4" w:space="0"/>
              <w:left w:val="single" w:color="000000" w:sz="4" w:space="0"/>
              <w:bottom w:val="single" w:color="000000" w:sz="4" w:space="0"/>
              <w:right w:val="single" w:color="000000" w:sz="4" w:space="0"/>
            </w:tcBorders>
            <w:vAlign w:val="center"/>
          </w:tcPr>
          <w:p w14:paraId="39CE40FE">
            <w:pPr>
              <w:snapToGrid w:val="0"/>
              <w:spacing w:line="360" w:lineRule="exact"/>
              <w:rPr>
                <w:rFonts w:ascii="微软雅黑" w:hAnsi="微软雅黑" w:eastAsia="微软雅黑" w:cs="宋体"/>
                <w:color w:val="000000"/>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7853FB58">
            <w:pPr>
              <w:snapToGrid w:val="0"/>
              <w:spacing w:line="360" w:lineRule="exact"/>
              <w:rPr>
                <w:rFonts w:ascii="微软雅黑" w:hAnsi="微软雅黑" w:eastAsia="微软雅黑" w:cs="宋体"/>
                <w:color w:val="000000"/>
                <w:szCs w:val="21"/>
              </w:rPr>
            </w:pPr>
          </w:p>
        </w:tc>
        <w:tc>
          <w:tcPr>
            <w:tcW w:w="1256" w:type="dxa"/>
            <w:tcBorders>
              <w:top w:val="single" w:color="000000" w:sz="4" w:space="0"/>
              <w:left w:val="single" w:color="000000" w:sz="4" w:space="0"/>
              <w:bottom w:val="single" w:color="000000" w:sz="4" w:space="0"/>
              <w:right w:val="single" w:color="000000" w:sz="4" w:space="0"/>
            </w:tcBorders>
            <w:vAlign w:val="center"/>
          </w:tcPr>
          <w:p w14:paraId="041007BD">
            <w:pPr>
              <w:snapToGrid w:val="0"/>
              <w:spacing w:line="360" w:lineRule="exact"/>
              <w:rPr>
                <w:rFonts w:ascii="微软雅黑" w:hAnsi="微软雅黑" w:eastAsia="微软雅黑" w:cs="宋体"/>
                <w:color w:val="000000"/>
                <w:szCs w:val="21"/>
              </w:rPr>
            </w:pPr>
          </w:p>
        </w:tc>
      </w:tr>
      <w:tr w14:paraId="660952B9">
        <w:tblPrEx>
          <w:tblCellMar>
            <w:top w:w="0" w:type="dxa"/>
            <w:left w:w="108" w:type="dxa"/>
            <w:bottom w:w="0" w:type="dxa"/>
            <w:right w:w="108" w:type="dxa"/>
          </w:tblCellMar>
        </w:tblPrEx>
        <w:trPr>
          <w:trHeight w:val="456" w:hRule="atLeast"/>
        </w:trPr>
        <w:tc>
          <w:tcPr>
            <w:tcW w:w="524" w:type="dxa"/>
            <w:tcBorders>
              <w:top w:val="single" w:color="000000" w:sz="4" w:space="0"/>
              <w:left w:val="single" w:color="000000" w:sz="4" w:space="0"/>
              <w:bottom w:val="single" w:color="000000" w:sz="4" w:space="0"/>
              <w:right w:val="single" w:color="000000" w:sz="4" w:space="0"/>
            </w:tcBorders>
            <w:vAlign w:val="center"/>
          </w:tcPr>
          <w:p w14:paraId="6158B3EB">
            <w:pPr>
              <w:spacing w:line="360" w:lineRule="exact"/>
              <w:jc w:val="center"/>
              <w:rPr>
                <w:rFonts w:ascii="微软雅黑" w:hAnsi="微软雅黑" w:eastAsia="微软雅黑" w:cs="宋体"/>
                <w:color w:val="000000"/>
                <w:szCs w:val="21"/>
              </w:rPr>
            </w:pPr>
          </w:p>
        </w:tc>
        <w:tc>
          <w:tcPr>
            <w:tcW w:w="1172" w:type="dxa"/>
            <w:tcBorders>
              <w:top w:val="single" w:color="000000" w:sz="4" w:space="0"/>
              <w:left w:val="single" w:color="000000" w:sz="4" w:space="0"/>
              <w:bottom w:val="single" w:color="000000" w:sz="4" w:space="0"/>
              <w:right w:val="single" w:color="000000" w:sz="4" w:space="0"/>
            </w:tcBorders>
            <w:vAlign w:val="center"/>
          </w:tcPr>
          <w:p w14:paraId="3C166C52">
            <w:pPr>
              <w:snapToGrid w:val="0"/>
              <w:spacing w:line="360" w:lineRule="exact"/>
              <w:rPr>
                <w:rFonts w:ascii="微软雅黑" w:hAnsi="微软雅黑" w:eastAsia="微软雅黑"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14:paraId="3D85BF73">
            <w:pPr>
              <w:snapToGrid w:val="0"/>
              <w:spacing w:line="360" w:lineRule="exact"/>
              <w:rPr>
                <w:rFonts w:ascii="微软雅黑" w:hAnsi="微软雅黑" w:eastAsia="微软雅黑" w:cs="宋体"/>
                <w:color w:val="000000"/>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12E7AF80">
            <w:pPr>
              <w:snapToGrid w:val="0"/>
              <w:spacing w:line="360" w:lineRule="exact"/>
              <w:rPr>
                <w:rFonts w:ascii="微软雅黑" w:hAnsi="微软雅黑" w:eastAsia="微软雅黑" w:cs="宋体"/>
                <w:color w:val="000000"/>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6F7F1097">
            <w:pPr>
              <w:snapToGrid w:val="0"/>
              <w:spacing w:line="360" w:lineRule="exact"/>
              <w:rPr>
                <w:rFonts w:ascii="微软雅黑" w:hAnsi="微软雅黑" w:eastAsia="微软雅黑" w:cs="宋体"/>
                <w:color w:val="000000"/>
                <w:szCs w:val="21"/>
              </w:rPr>
            </w:pPr>
          </w:p>
        </w:tc>
        <w:tc>
          <w:tcPr>
            <w:tcW w:w="2738" w:type="dxa"/>
            <w:tcBorders>
              <w:top w:val="single" w:color="000000" w:sz="4" w:space="0"/>
              <w:left w:val="single" w:color="000000" w:sz="4" w:space="0"/>
              <w:bottom w:val="single" w:color="000000" w:sz="4" w:space="0"/>
              <w:right w:val="single" w:color="000000" w:sz="4" w:space="0"/>
            </w:tcBorders>
            <w:vAlign w:val="center"/>
          </w:tcPr>
          <w:p w14:paraId="62952B6E">
            <w:pPr>
              <w:snapToGrid w:val="0"/>
              <w:spacing w:line="360" w:lineRule="exact"/>
              <w:rPr>
                <w:rFonts w:ascii="微软雅黑" w:hAnsi="微软雅黑" w:eastAsia="微软雅黑" w:cs="宋体"/>
                <w:color w:val="000000"/>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008B15D8">
            <w:pPr>
              <w:snapToGrid w:val="0"/>
              <w:spacing w:line="360" w:lineRule="exact"/>
              <w:rPr>
                <w:rFonts w:ascii="微软雅黑" w:hAnsi="微软雅黑" w:eastAsia="微软雅黑" w:cs="宋体"/>
                <w:color w:val="000000"/>
                <w:szCs w:val="21"/>
              </w:rPr>
            </w:pPr>
          </w:p>
        </w:tc>
        <w:tc>
          <w:tcPr>
            <w:tcW w:w="1256" w:type="dxa"/>
            <w:tcBorders>
              <w:top w:val="single" w:color="000000" w:sz="4" w:space="0"/>
              <w:left w:val="single" w:color="000000" w:sz="4" w:space="0"/>
              <w:bottom w:val="single" w:color="000000" w:sz="4" w:space="0"/>
              <w:right w:val="single" w:color="000000" w:sz="4" w:space="0"/>
            </w:tcBorders>
            <w:vAlign w:val="center"/>
          </w:tcPr>
          <w:p w14:paraId="25367576">
            <w:pPr>
              <w:snapToGrid w:val="0"/>
              <w:spacing w:line="360" w:lineRule="exact"/>
              <w:rPr>
                <w:rFonts w:ascii="微软雅黑" w:hAnsi="微软雅黑" w:eastAsia="微软雅黑" w:cs="宋体"/>
                <w:color w:val="000000"/>
                <w:szCs w:val="21"/>
              </w:rPr>
            </w:pPr>
          </w:p>
        </w:tc>
      </w:tr>
      <w:tr w14:paraId="446900D8">
        <w:tblPrEx>
          <w:tblCellMar>
            <w:top w:w="0" w:type="dxa"/>
            <w:left w:w="108" w:type="dxa"/>
            <w:bottom w:w="0" w:type="dxa"/>
            <w:right w:w="108" w:type="dxa"/>
          </w:tblCellMar>
        </w:tblPrEx>
        <w:trPr>
          <w:trHeight w:val="456" w:hRule="atLeast"/>
        </w:trPr>
        <w:tc>
          <w:tcPr>
            <w:tcW w:w="524" w:type="dxa"/>
            <w:tcBorders>
              <w:top w:val="single" w:color="000000" w:sz="4" w:space="0"/>
              <w:left w:val="single" w:color="000000" w:sz="4" w:space="0"/>
              <w:bottom w:val="single" w:color="000000" w:sz="4" w:space="0"/>
              <w:right w:val="single" w:color="000000" w:sz="4" w:space="0"/>
            </w:tcBorders>
            <w:vAlign w:val="center"/>
          </w:tcPr>
          <w:p w14:paraId="44100B74">
            <w:pPr>
              <w:spacing w:line="360" w:lineRule="exact"/>
              <w:jc w:val="center"/>
              <w:rPr>
                <w:rFonts w:ascii="微软雅黑" w:hAnsi="微软雅黑" w:eastAsia="微软雅黑" w:cs="宋体"/>
                <w:color w:val="000000"/>
                <w:szCs w:val="21"/>
              </w:rPr>
            </w:pPr>
          </w:p>
        </w:tc>
        <w:tc>
          <w:tcPr>
            <w:tcW w:w="1172" w:type="dxa"/>
            <w:tcBorders>
              <w:top w:val="single" w:color="000000" w:sz="4" w:space="0"/>
              <w:left w:val="single" w:color="000000" w:sz="4" w:space="0"/>
              <w:bottom w:val="single" w:color="000000" w:sz="4" w:space="0"/>
              <w:right w:val="single" w:color="000000" w:sz="4" w:space="0"/>
            </w:tcBorders>
            <w:vAlign w:val="center"/>
          </w:tcPr>
          <w:p w14:paraId="29949C70">
            <w:pPr>
              <w:snapToGrid w:val="0"/>
              <w:spacing w:line="360" w:lineRule="exact"/>
              <w:rPr>
                <w:rFonts w:ascii="微软雅黑" w:hAnsi="微软雅黑" w:eastAsia="微软雅黑"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14:paraId="25789715">
            <w:pPr>
              <w:snapToGrid w:val="0"/>
              <w:spacing w:line="360" w:lineRule="exact"/>
              <w:rPr>
                <w:rFonts w:ascii="微软雅黑" w:hAnsi="微软雅黑" w:eastAsia="微软雅黑" w:cs="宋体"/>
                <w:color w:val="000000"/>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0FE68248">
            <w:pPr>
              <w:snapToGrid w:val="0"/>
              <w:spacing w:line="360" w:lineRule="exact"/>
              <w:rPr>
                <w:rFonts w:ascii="微软雅黑" w:hAnsi="微软雅黑" w:eastAsia="微软雅黑" w:cs="宋体"/>
                <w:color w:val="000000"/>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684FF920">
            <w:pPr>
              <w:snapToGrid w:val="0"/>
              <w:spacing w:line="360" w:lineRule="exact"/>
              <w:rPr>
                <w:rFonts w:ascii="微软雅黑" w:hAnsi="微软雅黑" w:eastAsia="微软雅黑" w:cs="宋体"/>
                <w:color w:val="000000"/>
                <w:szCs w:val="21"/>
              </w:rPr>
            </w:pPr>
          </w:p>
        </w:tc>
        <w:tc>
          <w:tcPr>
            <w:tcW w:w="2738" w:type="dxa"/>
            <w:tcBorders>
              <w:top w:val="single" w:color="000000" w:sz="4" w:space="0"/>
              <w:left w:val="single" w:color="000000" w:sz="4" w:space="0"/>
              <w:bottom w:val="single" w:color="000000" w:sz="4" w:space="0"/>
              <w:right w:val="single" w:color="000000" w:sz="4" w:space="0"/>
            </w:tcBorders>
            <w:vAlign w:val="center"/>
          </w:tcPr>
          <w:p w14:paraId="61951B5C">
            <w:pPr>
              <w:snapToGrid w:val="0"/>
              <w:spacing w:line="360" w:lineRule="exact"/>
              <w:rPr>
                <w:rFonts w:ascii="微软雅黑" w:hAnsi="微软雅黑" w:eastAsia="微软雅黑" w:cs="宋体"/>
                <w:color w:val="000000"/>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14:paraId="7DE5E216">
            <w:pPr>
              <w:snapToGrid w:val="0"/>
              <w:spacing w:line="360" w:lineRule="exact"/>
              <w:rPr>
                <w:rFonts w:ascii="微软雅黑" w:hAnsi="微软雅黑" w:eastAsia="微软雅黑" w:cs="宋体"/>
                <w:color w:val="000000"/>
                <w:szCs w:val="21"/>
              </w:rPr>
            </w:pPr>
          </w:p>
        </w:tc>
        <w:tc>
          <w:tcPr>
            <w:tcW w:w="1256" w:type="dxa"/>
            <w:tcBorders>
              <w:top w:val="single" w:color="000000" w:sz="4" w:space="0"/>
              <w:left w:val="single" w:color="000000" w:sz="4" w:space="0"/>
              <w:bottom w:val="single" w:color="000000" w:sz="4" w:space="0"/>
              <w:right w:val="single" w:color="000000" w:sz="4" w:space="0"/>
            </w:tcBorders>
            <w:vAlign w:val="center"/>
          </w:tcPr>
          <w:p w14:paraId="55B84C50">
            <w:pPr>
              <w:snapToGrid w:val="0"/>
              <w:spacing w:line="360" w:lineRule="exact"/>
              <w:rPr>
                <w:rFonts w:ascii="微软雅黑" w:hAnsi="微软雅黑" w:eastAsia="微软雅黑" w:cs="宋体"/>
                <w:color w:val="000000"/>
                <w:szCs w:val="21"/>
              </w:rPr>
            </w:pPr>
          </w:p>
        </w:tc>
      </w:tr>
      <w:tr w14:paraId="0BFEF588">
        <w:tblPrEx>
          <w:tblCellMar>
            <w:top w:w="0" w:type="dxa"/>
            <w:left w:w="108" w:type="dxa"/>
            <w:bottom w:w="0" w:type="dxa"/>
            <w:right w:w="108" w:type="dxa"/>
          </w:tblCellMar>
        </w:tblPrEx>
        <w:trPr>
          <w:trHeight w:val="419" w:hRule="atLeast"/>
        </w:trPr>
        <w:tc>
          <w:tcPr>
            <w:tcW w:w="9206" w:type="dxa"/>
            <w:gridSpan w:val="8"/>
            <w:tcBorders>
              <w:top w:val="single" w:color="000000" w:sz="4" w:space="0"/>
              <w:left w:val="single" w:color="000000" w:sz="4" w:space="0"/>
              <w:bottom w:val="single" w:color="000000" w:sz="4" w:space="0"/>
              <w:right w:val="single" w:color="000000" w:sz="4" w:space="0"/>
            </w:tcBorders>
            <w:vAlign w:val="center"/>
          </w:tcPr>
          <w:p w14:paraId="474C25D5">
            <w:pPr>
              <w:spacing w:line="360" w:lineRule="exact"/>
              <w:rPr>
                <w:rFonts w:ascii="微软雅黑" w:hAnsi="微软雅黑" w:eastAsia="微软雅黑" w:cs="宋体"/>
                <w:color w:val="000000"/>
                <w:szCs w:val="21"/>
              </w:rPr>
            </w:pPr>
            <w:r>
              <w:rPr>
                <w:rFonts w:hint="eastAsia" w:ascii="微软雅黑" w:hAnsi="微软雅黑" w:eastAsia="微软雅黑" w:cs="宋体"/>
                <w:color w:val="000000"/>
                <w:szCs w:val="21"/>
              </w:rPr>
              <w:t>交货期：</w:t>
            </w:r>
          </w:p>
        </w:tc>
      </w:tr>
    </w:tbl>
    <w:p w14:paraId="3BDCBE23">
      <w:pPr>
        <w:pStyle w:val="19"/>
        <w:spacing w:line="360" w:lineRule="auto"/>
        <w:ind w:firstLine="0" w:firstLineChars="0"/>
        <w:rPr>
          <w:rFonts w:ascii="宋体" w:hAnsi="宋体" w:eastAsia="宋体" w:cs="仿宋_GB2312"/>
          <w:sz w:val="24"/>
          <w:szCs w:val="24"/>
        </w:rPr>
      </w:pPr>
    </w:p>
    <w:p w14:paraId="22B1A0BA">
      <w:pPr>
        <w:pStyle w:val="19"/>
        <w:spacing w:line="360" w:lineRule="auto"/>
        <w:ind w:left="420" w:firstLine="0" w:firstLineChars="0"/>
        <w:rPr>
          <w:rFonts w:ascii="宋体" w:hAnsi="宋体" w:eastAsia="宋体" w:cs="仿宋_GB2312"/>
          <w:sz w:val="24"/>
          <w:szCs w:val="24"/>
        </w:rPr>
      </w:pPr>
      <w:r>
        <w:rPr>
          <w:rFonts w:hint="eastAsia" w:ascii="宋体" w:hAnsi="宋体" w:eastAsia="宋体" w:cs="仿宋_GB2312"/>
          <w:sz w:val="24"/>
          <w:szCs w:val="24"/>
        </w:rPr>
        <w:t>注：</w:t>
      </w:r>
    </w:p>
    <w:p w14:paraId="42E384D0">
      <w:pPr>
        <w:pStyle w:val="19"/>
        <w:spacing w:line="360" w:lineRule="auto"/>
        <w:ind w:left="420" w:firstLine="0" w:firstLineChars="0"/>
        <w:rPr>
          <w:rFonts w:ascii="宋体" w:hAnsi="宋体" w:eastAsia="宋体" w:cs="仿宋_GB2312"/>
          <w:sz w:val="24"/>
          <w:szCs w:val="24"/>
        </w:rPr>
      </w:pPr>
      <w:r>
        <w:rPr>
          <w:rFonts w:hint="eastAsia" w:ascii="宋体" w:hAnsi="宋体" w:eastAsia="宋体" w:cs="仿宋_GB2312"/>
          <w:sz w:val="24"/>
          <w:szCs w:val="24"/>
        </w:rPr>
        <w:t>1.说明：应对照在线</w:t>
      </w:r>
      <w:r>
        <w:rPr>
          <w:rFonts w:ascii="宋体" w:hAnsi="宋体" w:eastAsia="宋体" w:cs="仿宋_GB2312"/>
          <w:sz w:val="24"/>
          <w:szCs w:val="24"/>
        </w:rPr>
        <w:t>询价</w:t>
      </w:r>
      <w:r>
        <w:rPr>
          <w:rFonts w:hint="eastAsia" w:ascii="宋体" w:hAnsi="宋体" w:eastAsia="宋体" w:cs="仿宋_GB2312"/>
          <w:sz w:val="24"/>
          <w:szCs w:val="24"/>
        </w:rPr>
        <w:t>文件“项目需求”中的技术需求逐条实质性响应，并作出偏离说明，否则其响应文件按无效处理。</w:t>
      </w:r>
    </w:p>
    <w:p w14:paraId="24F2DA98">
      <w:pPr>
        <w:pStyle w:val="19"/>
        <w:spacing w:line="360" w:lineRule="auto"/>
        <w:ind w:left="420" w:firstLine="0" w:firstLineChars="0"/>
        <w:rPr>
          <w:rFonts w:ascii="宋体" w:hAnsi="宋体" w:eastAsia="宋体" w:cs="仿宋_GB2312"/>
          <w:sz w:val="24"/>
          <w:szCs w:val="24"/>
        </w:rPr>
      </w:pPr>
      <w:r>
        <w:rPr>
          <w:rFonts w:hint="eastAsia" w:ascii="宋体" w:hAnsi="宋体" w:eastAsia="宋体" w:cs="仿宋_GB2312"/>
          <w:sz w:val="24"/>
          <w:szCs w:val="24"/>
        </w:rPr>
        <w:t>2.表中的“采购标的”、“数量”、“单位”、“技术参数及性能配置、服务要求”、“质保期”、“偏离说明”列必须填写，“技术参数及性能配置、服务要求”如果篇幅过大可用附件说明；货物类标的“品牌、型号规格、生产厂家”列必须填写，定制产品可写“定制”，填写有缺漏的，其响应文件作无效处理。</w:t>
      </w:r>
    </w:p>
    <w:p w14:paraId="5DA0AED9">
      <w:pPr>
        <w:pStyle w:val="19"/>
        <w:spacing w:line="360" w:lineRule="auto"/>
        <w:ind w:left="420" w:firstLine="0" w:firstLineChars="0"/>
        <w:rPr>
          <w:rFonts w:ascii="宋体" w:hAnsi="宋体" w:eastAsia="宋体" w:cs="仿宋_GB2312"/>
          <w:sz w:val="24"/>
          <w:szCs w:val="24"/>
        </w:rPr>
      </w:pPr>
      <w:r>
        <w:rPr>
          <w:rFonts w:ascii="宋体" w:hAnsi="宋体" w:eastAsia="宋体" w:cs="仿宋_GB2312"/>
          <w:sz w:val="24"/>
          <w:szCs w:val="24"/>
        </w:rPr>
        <w:t>3.</w:t>
      </w:r>
      <w:r>
        <w:rPr>
          <w:rFonts w:hint="eastAsia" w:ascii="宋体" w:hAnsi="宋体" w:eastAsia="宋体" w:cs="仿宋_GB2312"/>
          <w:sz w:val="24"/>
          <w:szCs w:val="24"/>
        </w:rPr>
        <w:t>供应商应根据竞标设备的性能指标，对照在线询价文件要求，在“偏离说明”中注明“正偏离”、“负偏离”或者“无偏离”，完全响应即为“无偏离”。</w:t>
      </w:r>
      <w:bookmarkEnd w:id="2"/>
      <w:r>
        <w:rPr>
          <w:rFonts w:hint="eastAsia" w:ascii="宋体" w:hAnsi="宋体" w:eastAsia="宋体" w:cs="仿宋_GB2312"/>
          <w:sz w:val="24"/>
          <w:szCs w:val="24"/>
        </w:rPr>
        <w:t>填写有缺漏的，其响应文件作无效处理。</w:t>
      </w:r>
    </w:p>
    <w:p w14:paraId="4C973D4A">
      <w:pPr>
        <w:pStyle w:val="19"/>
        <w:spacing w:line="360" w:lineRule="auto"/>
        <w:ind w:left="420" w:firstLine="0" w:firstLineChars="0"/>
        <w:rPr>
          <w:rFonts w:ascii="宋体" w:hAnsi="宋体" w:eastAsia="宋体" w:cs="仿宋_GB2312"/>
          <w:sz w:val="24"/>
          <w:szCs w:val="24"/>
        </w:rPr>
      </w:pPr>
      <w:r>
        <w:rPr>
          <w:rFonts w:ascii="宋体" w:hAnsi="宋体" w:eastAsia="宋体" w:cs="仿宋_GB2312"/>
          <w:sz w:val="24"/>
          <w:szCs w:val="24"/>
        </w:rPr>
        <w:t>4.</w:t>
      </w:r>
      <w:r>
        <w:rPr>
          <w:rFonts w:hint="eastAsia" w:ascii="宋体" w:hAnsi="宋体" w:eastAsia="宋体" w:cs="仿宋_GB2312"/>
          <w:sz w:val="24"/>
          <w:szCs w:val="24"/>
        </w:rPr>
        <w:t>.本表必须加盖供应商公章并由法定代表人或者委托代理人签字，表格多于1页的，每页都应加盖公章，否则其响应文件按无效处理。</w:t>
      </w:r>
    </w:p>
    <w:p w14:paraId="1783D45C">
      <w:pPr>
        <w:pStyle w:val="19"/>
        <w:spacing w:line="360" w:lineRule="auto"/>
        <w:ind w:left="420" w:firstLine="0" w:firstLineChars="0"/>
        <w:rPr>
          <w:rFonts w:ascii="宋体" w:hAnsi="宋体" w:eastAsia="宋体" w:cs="仿宋_GB2312"/>
          <w:sz w:val="24"/>
          <w:szCs w:val="24"/>
        </w:rPr>
      </w:pPr>
      <w:r>
        <w:rPr>
          <w:rFonts w:ascii="宋体" w:hAnsi="宋体" w:eastAsia="宋体" w:cs="仿宋_GB2312"/>
          <w:sz w:val="24"/>
          <w:szCs w:val="24"/>
        </w:rPr>
        <w:t>5</w:t>
      </w:r>
      <w:r>
        <w:rPr>
          <w:rFonts w:hint="eastAsia" w:ascii="宋体" w:hAnsi="宋体" w:eastAsia="宋体" w:cs="仿宋_GB2312"/>
          <w:sz w:val="24"/>
          <w:szCs w:val="24"/>
        </w:rPr>
        <w:t>．本表内容一经涂改，应在涂改处加盖供应商公章或者由法定代表人或者授权委托人签字或者盖章，否则其响应文件按无效处理。</w:t>
      </w:r>
    </w:p>
    <w:p w14:paraId="7D351A2E">
      <w:pPr>
        <w:pStyle w:val="19"/>
        <w:spacing w:line="360" w:lineRule="auto"/>
        <w:ind w:left="420" w:firstLine="0" w:firstLineChars="0"/>
        <w:rPr>
          <w:rFonts w:ascii="宋体" w:hAnsi="宋体" w:eastAsia="宋体" w:cs="仿宋_GB2312"/>
          <w:sz w:val="24"/>
          <w:szCs w:val="24"/>
        </w:rPr>
      </w:pPr>
      <w:r>
        <w:rPr>
          <w:rFonts w:ascii="宋体" w:hAnsi="宋体" w:eastAsia="宋体" w:cs="仿宋_GB2312"/>
          <w:sz w:val="24"/>
          <w:szCs w:val="24"/>
        </w:rPr>
        <w:t>6</w:t>
      </w:r>
      <w:r>
        <w:rPr>
          <w:rFonts w:hint="eastAsia" w:ascii="宋体" w:hAnsi="宋体" w:eastAsia="宋体" w:cs="仿宋_GB2312"/>
          <w:sz w:val="24"/>
          <w:szCs w:val="24"/>
        </w:rPr>
        <w:t>．在线询价文件中列明采购专用耗材的，应按询价文件规定的耗材量或者按耗材的常规试用量提供报价。</w:t>
      </w:r>
    </w:p>
    <w:p w14:paraId="16B9B8C9">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14:paraId="637A9B4D">
      <w:pPr>
        <w:snapToGrid w:val="0"/>
        <w:spacing w:before="50" w:after="50" w:line="360" w:lineRule="auto"/>
        <w:ind w:right="-817" w:rightChars="-389" w:firstLine="2880" w:firstLineChars="1200"/>
        <w:rPr>
          <w:rFonts w:ascii="宋体" w:hAnsi="宋体" w:cs="仿宋_GB2312"/>
          <w:sz w:val="24"/>
        </w:rPr>
      </w:pPr>
      <w:r>
        <w:rPr>
          <w:rFonts w:hint="eastAsia" w:ascii="宋体" w:hAnsi="宋体" w:cs="仿宋_GB2312"/>
          <w:sz w:val="24"/>
        </w:rPr>
        <w:t xml:space="preserve">供应商（盖公章）：      </w:t>
      </w:r>
    </w:p>
    <w:p w14:paraId="01A6680D">
      <w:pPr>
        <w:adjustRightInd w:val="0"/>
        <w:snapToGrid w:val="0"/>
        <w:spacing w:line="520" w:lineRule="exact"/>
        <w:jc w:val="center"/>
        <w:rPr>
          <w:rFonts w:ascii="宋体" w:hAnsi="宋体" w:cs="仿宋_GB2312"/>
          <w:sz w:val="24"/>
        </w:rPr>
      </w:pPr>
      <w:r>
        <w:rPr>
          <w:rFonts w:hint="eastAsia" w:ascii="宋体" w:hAnsi="宋体" w:cs="仿宋_GB2312"/>
          <w:sz w:val="24"/>
        </w:rPr>
        <w:t>日期：   年   月   日</w:t>
      </w:r>
      <w:r>
        <w:rPr>
          <w:rFonts w:ascii="方正小标宋简体" w:hAnsi="方正小标宋简体" w:eastAsia="方正小标宋简体" w:cs="方正小标宋简体"/>
          <w:bCs/>
          <w:sz w:val="44"/>
          <w:szCs w:val="44"/>
        </w:rPr>
        <w:br w:type="page"/>
      </w:r>
    </w:p>
    <w:p w14:paraId="134B7B93">
      <w:pPr>
        <w:spacing w:line="360" w:lineRule="auto"/>
        <w:jc w:val="center"/>
        <w:rPr>
          <w:rFonts w:ascii="微软雅黑" w:hAnsi="微软雅黑" w:eastAsia="微软雅黑" w:cs="方正小标宋简体"/>
          <w:bCs/>
          <w:color w:val="000000"/>
          <w:sz w:val="44"/>
          <w:szCs w:val="44"/>
        </w:rPr>
      </w:pPr>
      <w:r>
        <w:rPr>
          <w:rFonts w:hint="eastAsia" w:ascii="微软雅黑" w:hAnsi="微软雅黑" w:eastAsia="微软雅黑" w:cs="方正小标宋简体"/>
          <w:bCs/>
          <w:color w:val="000000"/>
          <w:sz w:val="44"/>
          <w:szCs w:val="44"/>
        </w:rPr>
        <w:t>营 业 执 照</w:t>
      </w:r>
    </w:p>
    <w:p w14:paraId="5CE9B041">
      <w:pPr>
        <w:pStyle w:val="18"/>
      </w:pPr>
      <w:r>
        <w:rPr>
          <w:rFonts w:hint="eastAsia" w:hAnsi="宋体" w:cs="Arial"/>
        </w:rPr>
        <w:t>（有效的营业执照正本或副本扫描件，如营业执照不是三证合一或五证合一的还需提供有效的组织机构代码证副本、税务登记证扫描件，加盖单位公章）</w:t>
      </w:r>
    </w:p>
    <w:p w14:paraId="1FF96DEE">
      <w:pPr>
        <w:rPr>
          <w:rFonts w:ascii="微软雅黑" w:hAnsi="微软雅黑" w:eastAsia="微软雅黑" w:cs="方正小标宋简体"/>
          <w:color w:val="000000"/>
          <w:sz w:val="44"/>
          <w:szCs w:val="44"/>
        </w:rPr>
      </w:pPr>
      <w:r>
        <w:rPr>
          <w:rFonts w:hint="eastAsia" w:ascii="微软雅黑" w:hAnsi="微软雅黑" w:eastAsia="微软雅黑" w:cs="方正小标宋简体"/>
          <w:color w:val="000000"/>
          <w:sz w:val="44"/>
          <w:szCs w:val="44"/>
        </w:rPr>
        <w:br w:type="page"/>
      </w:r>
    </w:p>
    <w:p w14:paraId="3E0D26C1">
      <w:pPr>
        <w:spacing w:beforeLines="100" w:afterLines="50" w:line="520" w:lineRule="exact"/>
        <w:ind w:left="540"/>
        <w:jc w:val="center"/>
        <w:rPr>
          <w:rFonts w:ascii="宋体" w:hAnsi="宋体" w:cs="宋体"/>
          <w:color w:val="000000"/>
          <w:sz w:val="32"/>
          <w:szCs w:val="32"/>
        </w:rPr>
      </w:pPr>
      <w:r>
        <w:rPr>
          <w:rFonts w:hint="eastAsia" w:ascii="宋体" w:hAnsi="宋体" w:cs="宋体"/>
          <w:bCs/>
          <w:color w:val="000000"/>
          <w:sz w:val="44"/>
          <w:szCs w:val="44"/>
        </w:rPr>
        <w:t>法定代表人证明书（必须</w:t>
      </w:r>
      <w:r>
        <w:rPr>
          <w:rFonts w:ascii="宋体" w:hAnsi="宋体" w:cs="宋体"/>
          <w:bCs/>
          <w:color w:val="000000"/>
          <w:sz w:val="44"/>
          <w:szCs w:val="44"/>
        </w:rPr>
        <w:t>提供</w:t>
      </w:r>
      <w:r>
        <w:rPr>
          <w:rFonts w:hint="eastAsia" w:ascii="宋体" w:hAnsi="宋体" w:cs="宋体"/>
          <w:bCs/>
          <w:color w:val="000000"/>
          <w:sz w:val="44"/>
          <w:szCs w:val="44"/>
        </w:rPr>
        <w:t>）</w:t>
      </w:r>
    </w:p>
    <w:p w14:paraId="6AF4880E">
      <w:pPr>
        <w:spacing w:line="520" w:lineRule="exact"/>
        <w:ind w:left="540"/>
        <w:rPr>
          <w:rFonts w:ascii="宋体" w:hAnsi="宋体" w:cs="宋体"/>
          <w:color w:val="000000"/>
          <w:sz w:val="32"/>
          <w:szCs w:val="32"/>
        </w:rPr>
      </w:pPr>
    </w:p>
    <w:p w14:paraId="10D72314">
      <w:pPr>
        <w:spacing w:line="360" w:lineRule="auto"/>
        <w:ind w:left="540"/>
        <w:rPr>
          <w:rFonts w:ascii="宋体" w:hAnsi="宋体" w:cs="宋体"/>
          <w:color w:val="000000"/>
          <w:sz w:val="24"/>
        </w:rPr>
      </w:pPr>
      <w:r>
        <w:rPr>
          <w:rFonts w:hint="eastAsia" w:ascii="宋体" w:hAnsi="宋体" w:cs="宋体"/>
          <w:color w:val="000000"/>
          <w:sz w:val="24"/>
        </w:rPr>
        <w:t>供应商名称：</w:t>
      </w:r>
    </w:p>
    <w:p w14:paraId="4035D057">
      <w:pPr>
        <w:spacing w:line="360" w:lineRule="auto"/>
        <w:ind w:left="540"/>
        <w:rPr>
          <w:rFonts w:ascii="宋体" w:hAnsi="宋体" w:cs="宋体"/>
          <w:color w:val="000000"/>
          <w:sz w:val="24"/>
        </w:rPr>
      </w:pPr>
      <w:r>
        <w:rPr>
          <w:rFonts w:hint="eastAsia" w:ascii="宋体" w:hAnsi="宋体" w:cs="宋体"/>
          <w:color w:val="000000"/>
          <w:sz w:val="24"/>
        </w:rPr>
        <w:t>地    址：</w:t>
      </w:r>
    </w:p>
    <w:p w14:paraId="7107D803">
      <w:pPr>
        <w:spacing w:line="360" w:lineRule="auto"/>
        <w:ind w:left="540"/>
        <w:rPr>
          <w:rFonts w:ascii="宋体" w:hAnsi="宋体" w:cs="宋体"/>
          <w:color w:val="000000"/>
          <w:sz w:val="24"/>
        </w:rPr>
      </w:pPr>
      <w:r>
        <w:rPr>
          <w:rFonts w:hint="eastAsia" w:ascii="宋体" w:hAnsi="宋体" w:cs="宋体"/>
          <w:color w:val="000000"/>
          <w:sz w:val="24"/>
        </w:rPr>
        <w:t>姓    名：性      别：</w:t>
      </w:r>
    </w:p>
    <w:p w14:paraId="60E3EAD8">
      <w:pPr>
        <w:spacing w:line="360" w:lineRule="auto"/>
        <w:ind w:left="540"/>
        <w:rPr>
          <w:rFonts w:ascii="宋体" w:hAnsi="宋体" w:cs="宋体"/>
          <w:color w:val="000000"/>
          <w:sz w:val="24"/>
          <w:u w:val="single"/>
        </w:rPr>
      </w:pPr>
      <w:r>
        <w:rPr>
          <w:rFonts w:hint="eastAsia" w:ascii="宋体" w:hAnsi="宋体" w:cs="宋体"/>
          <w:color w:val="000000"/>
          <w:sz w:val="24"/>
        </w:rPr>
        <w:t>年    龄：职      务：</w:t>
      </w:r>
    </w:p>
    <w:p w14:paraId="3B5B1F9D">
      <w:pPr>
        <w:spacing w:line="360" w:lineRule="auto"/>
        <w:ind w:left="540"/>
        <w:rPr>
          <w:rFonts w:ascii="宋体" w:hAnsi="宋体" w:cs="宋体"/>
          <w:color w:val="000000"/>
          <w:sz w:val="24"/>
        </w:rPr>
      </w:pPr>
      <w:r>
        <w:rPr>
          <w:rFonts w:hint="eastAsia" w:ascii="宋体" w:hAnsi="宋体" w:cs="宋体"/>
          <w:color w:val="000000"/>
          <w:sz w:val="24"/>
        </w:rPr>
        <w:t>身份证号码：</w:t>
      </w:r>
    </w:p>
    <w:p w14:paraId="577840DB">
      <w:pPr>
        <w:spacing w:line="360" w:lineRule="auto"/>
        <w:ind w:left="540"/>
        <w:rPr>
          <w:rFonts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（供应商名称）   </w:t>
      </w:r>
      <w:r>
        <w:rPr>
          <w:rFonts w:hint="eastAsia" w:ascii="宋体" w:hAnsi="宋体" w:cs="宋体"/>
          <w:color w:val="000000"/>
          <w:sz w:val="24"/>
        </w:rPr>
        <w:t>的法定代表人，参加“</w:t>
      </w:r>
      <w:r>
        <w:rPr>
          <w:rFonts w:hint="eastAsia" w:ascii="宋体" w:hAnsi="宋体" w:cs="宋体"/>
          <w:color w:val="000000"/>
          <w:sz w:val="24"/>
          <w:u w:val="single"/>
        </w:rPr>
        <w:t xml:space="preserve">       （项目名称）              </w:t>
      </w:r>
      <w:r>
        <w:rPr>
          <w:rFonts w:hint="eastAsia" w:ascii="宋体" w:hAnsi="宋体" w:cs="宋体"/>
          <w:color w:val="000000"/>
          <w:sz w:val="24"/>
        </w:rPr>
        <w:t>”项目采购活动。</w:t>
      </w:r>
    </w:p>
    <w:p w14:paraId="2E299379">
      <w:pPr>
        <w:spacing w:line="360" w:lineRule="auto"/>
        <w:ind w:left="540"/>
        <w:rPr>
          <w:rFonts w:ascii="宋体" w:hAnsi="宋体" w:cs="宋体"/>
          <w:color w:val="000000"/>
          <w:sz w:val="24"/>
        </w:rPr>
      </w:pPr>
      <w:r>
        <w:rPr>
          <w:rFonts w:hint="eastAsia" w:ascii="宋体" w:hAnsi="宋体" w:cs="宋体"/>
          <w:color w:val="000000"/>
          <w:sz w:val="24"/>
        </w:rPr>
        <w:t>特此证明。</w:t>
      </w:r>
    </w:p>
    <w:p w14:paraId="5CE9E70D">
      <w:pPr>
        <w:spacing w:line="360" w:lineRule="auto"/>
        <w:rPr>
          <w:rFonts w:ascii="宋体" w:hAnsi="宋体" w:cs="宋体"/>
          <w:color w:val="000000"/>
          <w:sz w:val="24"/>
        </w:rPr>
      </w:pPr>
    </w:p>
    <w:p w14:paraId="4696C864">
      <w:pPr>
        <w:spacing w:line="360" w:lineRule="auto"/>
        <w:ind w:left="540"/>
        <w:rPr>
          <w:rFonts w:ascii="宋体" w:hAnsi="宋体" w:cs="宋体"/>
          <w:color w:val="000000"/>
          <w:sz w:val="24"/>
        </w:rPr>
      </w:pPr>
      <w:r>
        <w:rPr>
          <w:rFonts w:hint="eastAsia" w:ascii="宋体" w:hAnsi="宋体" w:cs="宋体"/>
          <w:color w:val="000000"/>
          <w:sz w:val="24"/>
        </w:rPr>
        <w:t>附件：法定代表人有效身份证正反面复印件</w:t>
      </w:r>
    </w:p>
    <w:p w14:paraId="537E056B">
      <w:pPr>
        <w:pStyle w:val="2"/>
        <w:rPr>
          <w:rFonts w:ascii="宋体" w:hAnsi="宋体" w:cs="宋体"/>
        </w:rPr>
      </w:pPr>
      <w:r>
        <w:rPr>
          <w:rFonts w:ascii="宋体" w:hAnsi="宋体" w:cs="宋体"/>
        </w:rPr>
        <w:pict>
          <v:rect id="_x0000_s1026" o:spid="_x0000_s1026" o:spt="1" style="position:absolute;left:0pt;margin-left:213.25pt;margin-top:18.15pt;height:153.05pt;width:242.6pt;z-index:251661312;v-text-anchor:middle;mso-width-relative:page;mso-height-relative:page;" fillcolor="#FFFFFF" filled="t" stroked="t" coordsize="21600,21600" o:gfxdata="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T93JE2AAAAAoBAAAPAAAAAAAAAAEAIAAAACIAAABkcnMv&#10;ZG93bnJldi54bWxQSwECFAAUAAAACACHTuJA+hqEAHUCAAAABQAADgAAAAAAAAABACAAAAAnAQAA&#10;ZHJzL2Uyb0RvYy54bWxQSwUGAAAAAAYABgBZAQAADgYAAAAA&#10;">
            <v:path/>
            <v:fill on="t" focussize="0,0"/>
            <v:stroke weight="1pt" color="#000000"/>
            <v:imagedata o:title=""/>
            <o:lock v:ext="edit"/>
            <v:textbox>
              <w:txbxContent>
                <w:p w14:paraId="08ACC0D4">
                  <w:pPr>
                    <w:jc w:val="center"/>
                    <w:rPr>
                      <w:rFonts w:ascii="宋体" w:hAnsi="宋体" w:cs="仿宋_GB2312"/>
                      <w:color w:val="000000"/>
                      <w:sz w:val="24"/>
                    </w:rPr>
                  </w:pPr>
                  <w:r>
                    <w:rPr>
                      <w:rFonts w:hint="eastAsia" w:ascii="宋体" w:hAnsi="宋体" w:cs="仿宋_GB2312"/>
                      <w:color w:val="000000"/>
                      <w:sz w:val="24"/>
                    </w:rPr>
                    <w:t>法定代表人有效身份证反面复印件</w:t>
                  </w:r>
                </w:p>
                <w:p w14:paraId="5B17F31F">
                  <w:pPr>
                    <w:pStyle w:val="18"/>
                    <w:jc w:val="center"/>
                  </w:pPr>
                  <w:r>
                    <w:rPr>
                      <w:rFonts w:hint="eastAsia"/>
                    </w:rPr>
                    <w:t>（国徽）</w:t>
                  </w:r>
                </w:p>
              </w:txbxContent>
            </v:textbox>
          </v:rect>
        </w:pict>
      </w:r>
      <w:r>
        <w:rPr>
          <w:rFonts w:ascii="宋体" w:hAnsi="宋体" w:cs="宋体"/>
        </w:rPr>
        <w:pict>
          <v:rect id="_x0000_s1029" o:spid="_x0000_s1029" o:spt="1" style="position:absolute;left:0pt;margin-left:-42pt;margin-top:18.15pt;height:153.05pt;width:242.65pt;z-index:251662336;v-text-anchor:middle;mso-width-relative:page;mso-height-relative:page;" fillcolor="#FFFFFF" filled="t" stroked="t" coordsize="21600,21600" o:gfxdata="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RVJ8rXAAAACgEAAA8AAAAAAAAAAQAgAAAAIgAAAGRycy9k&#10;b3ducmV2LnhtbFBLAQIUABQAAAAIAIdO4kC5XLX8dQIAAAAFAAAOAAAAAAAAAAEAIAAAACYBAABk&#10;cnMvZTJvRG9jLnhtbFBLBQYAAAAABgAGAFkBAAANBgAAAAA=&#10;">
            <v:path/>
            <v:fill on="t" focussize="0,0"/>
            <v:stroke weight="1pt" color="#000000"/>
            <v:imagedata o:title=""/>
            <o:lock v:ext="edit"/>
            <v:textbox>
              <w:txbxContent>
                <w:p w14:paraId="2F06995A">
                  <w:pPr>
                    <w:jc w:val="center"/>
                    <w:rPr>
                      <w:rFonts w:ascii="宋体" w:hAnsi="宋体" w:cs="仿宋_GB2312"/>
                      <w:color w:val="000000"/>
                      <w:sz w:val="24"/>
                    </w:rPr>
                  </w:pPr>
                  <w:r>
                    <w:rPr>
                      <w:rFonts w:hint="eastAsia" w:ascii="宋体" w:hAnsi="宋体" w:cs="仿宋_GB2312"/>
                      <w:color w:val="000000"/>
                      <w:sz w:val="24"/>
                    </w:rPr>
                    <w:t>法定代表人有效身份证正面复印件</w:t>
                  </w:r>
                </w:p>
                <w:p w14:paraId="0912C58D">
                  <w:pPr>
                    <w:pStyle w:val="18"/>
                    <w:jc w:val="center"/>
                  </w:pPr>
                  <w:r>
                    <w:rPr>
                      <w:rFonts w:hint="eastAsia"/>
                    </w:rPr>
                    <w:t>（人像）</w:t>
                  </w:r>
                </w:p>
              </w:txbxContent>
            </v:textbox>
          </v:rect>
        </w:pict>
      </w:r>
    </w:p>
    <w:p w14:paraId="670EB829">
      <w:pPr>
        <w:rPr>
          <w:rFonts w:ascii="宋体" w:hAnsi="宋体" w:cs="宋体"/>
        </w:rPr>
      </w:pPr>
    </w:p>
    <w:p w14:paraId="32478C17">
      <w:pPr>
        <w:pStyle w:val="2"/>
        <w:rPr>
          <w:rFonts w:ascii="宋体" w:hAnsi="宋体" w:cs="宋体"/>
        </w:rPr>
      </w:pPr>
    </w:p>
    <w:p w14:paraId="334F400F">
      <w:pPr>
        <w:rPr>
          <w:rFonts w:ascii="宋体" w:hAnsi="宋体" w:cs="宋体"/>
        </w:rPr>
      </w:pPr>
    </w:p>
    <w:p w14:paraId="11FE4FD1">
      <w:pPr>
        <w:spacing w:line="360" w:lineRule="auto"/>
        <w:ind w:left="540"/>
        <w:rPr>
          <w:rFonts w:ascii="宋体" w:hAnsi="宋体" w:cs="宋体"/>
          <w:color w:val="000000"/>
          <w:sz w:val="24"/>
        </w:rPr>
      </w:pPr>
    </w:p>
    <w:p w14:paraId="7EB1FC53">
      <w:pPr>
        <w:spacing w:line="360" w:lineRule="auto"/>
        <w:ind w:right="480" w:firstLine="3720" w:firstLineChars="1550"/>
        <w:rPr>
          <w:rFonts w:ascii="宋体" w:hAnsi="宋体" w:cs="宋体"/>
          <w:color w:val="000000"/>
          <w:sz w:val="24"/>
          <w:u w:val="single"/>
        </w:rPr>
      </w:pPr>
      <w:r>
        <w:rPr>
          <w:rFonts w:hint="eastAsia" w:ascii="宋体" w:hAnsi="宋体" w:cs="宋体"/>
          <w:color w:val="000000"/>
          <w:sz w:val="24"/>
        </w:rPr>
        <w:t>供应商（盖公章）：</w:t>
      </w:r>
    </w:p>
    <w:p w14:paraId="41859043">
      <w:pPr>
        <w:spacing w:line="360" w:lineRule="auto"/>
        <w:ind w:right="480" w:firstLine="3720" w:firstLineChars="1550"/>
        <w:rPr>
          <w:rFonts w:ascii="宋体" w:hAnsi="宋体" w:cs="宋体"/>
          <w:color w:val="000000"/>
          <w:sz w:val="24"/>
          <w:u w:val="single"/>
        </w:rPr>
      </w:pPr>
      <w:r>
        <w:rPr>
          <w:rFonts w:hint="eastAsia" w:ascii="宋体" w:hAnsi="宋体" w:cs="宋体"/>
          <w:color w:val="000000"/>
          <w:sz w:val="24"/>
        </w:rPr>
        <w:t>联系电话：</w:t>
      </w:r>
    </w:p>
    <w:p w14:paraId="199C6075">
      <w:pPr>
        <w:snapToGrid w:val="0"/>
        <w:spacing w:beforeLines="50" w:after="50" w:line="360" w:lineRule="auto"/>
        <w:ind w:firstLine="5040" w:firstLineChars="2100"/>
        <w:rPr>
          <w:rFonts w:ascii="宋体" w:hAnsi="宋体" w:cs="宋体"/>
          <w:color w:val="000000"/>
          <w:sz w:val="24"/>
        </w:rPr>
      </w:pPr>
      <w:r>
        <w:rPr>
          <w:rFonts w:hint="eastAsia" w:ascii="宋体" w:hAnsi="宋体" w:cs="宋体"/>
          <w:color w:val="000000"/>
          <w:sz w:val="24"/>
        </w:rPr>
        <w:t>年月日</w:t>
      </w:r>
    </w:p>
    <w:p w14:paraId="412FC687">
      <w:pPr>
        <w:snapToGrid w:val="0"/>
        <w:spacing w:beforeLines="50" w:after="50" w:line="360" w:lineRule="auto"/>
        <w:jc w:val="left"/>
        <w:rPr>
          <w:rFonts w:ascii="宋体" w:hAnsi="宋体" w:cs="宋体"/>
          <w:color w:val="000000"/>
          <w:sz w:val="24"/>
        </w:rPr>
      </w:pPr>
      <w:r>
        <w:rPr>
          <w:rFonts w:hint="eastAsia" w:ascii="宋体" w:hAnsi="宋体" w:cs="宋体"/>
          <w:color w:val="000000"/>
          <w:sz w:val="24"/>
        </w:rPr>
        <w:t>注：1.联合体竞标的只需牵头人出具。</w:t>
      </w:r>
    </w:p>
    <w:p w14:paraId="3481855F">
      <w:pPr>
        <w:snapToGrid w:val="0"/>
        <w:spacing w:beforeLines="50" w:after="50" w:line="360" w:lineRule="auto"/>
        <w:ind w:firstLine="480" w:firstLineChars="200"/>
        <w:jc w:val="left"/>
        <w:rPr>
          <w:rFonts w:ascii="微软雅黑" w:hAnsi="微软雅黑" w:eastAsia="微软雅黑" w:cs="方正小标宋简体"/>
          <w:color w:val="000000"/>
          <w:sz w:val="44"/>
          <w:szCs w:val="44"/>
        </w:rPr>
      </w:pPr>
      <w:r>
        <w:rPr>
          <w:rFonts w:hint="eastAsia" w:ascii="宋体" w:hAnsi="宋体" w:cs="宋体"/>
          <w:color w:val="000000"/>
          <w:sz w:val="24"/>
        </w:rPr>
        <w:t>2.供应商为其他组织或者自然人时，本文件规定的法定代表人指负责人或者自然人。本文件所称负责人是指参加竞标的其他组织营业执照上的负责人，本文件所称自然人指参与竞标的自然人本人。</w:t>
      </w:r>
      <w:r>
        <w:rPr>
          <w:rFonts w:hint="eastAsia" w:ascii="微软雅黑" w:hAnsi="微软雅黑" w:eastAsia="微软雅黑" w:cs="方正小标宋简体"/>
          <w:color w:val="000000"/>
          <w:sz w:val="44"/>
          <w:szCs w:val="44"/>
        </w:rPr>
        <w:br w:type="page"/>
      </w:r>
    </w:p>
    <w:p w14:paraId="2C73543B">
      <w:pPr>
        <w:spacing w:line="360" w:lineRule="auto"/>
        <w:jc w:val="center"/>
        <w:rPr>
          <w:rFonts w:ascii="微软雅黑" w:hAnsi="微软雅黑" w:eastAsia="微软雅黑" w:cs="方正小标宋简体"/>
          <w:color w:val="000000"/>
          <w:sz w:val="44"/>
          <w:szCs w:val="44"/>
        </w:rPr>
      </w:pPr>
      <w:r>
        <w:rPr>
          <w:rFonts w:hint="eastAsia" w:ascii="微软雅黑" w:hAnsi="微软雅黑" w:eastAsia="微软雅黑" w:cs="方正小标宋简体"/>
          <w:color w:val="000000"/>
          <w:sz w:val="44"/>
          <w:szCs w:val="44"/>
        </w:rPr>
        <w:t>授 权 委 托 书（委托</w:t>
      </w:r>
      <w:r>
        <w:rPr>
          <w:rFonts w:ascii="微软雅黑" w:hAnsi="微软雅黑" w:eastAsia="微软雅黑" w:cs="方正小标宋简体"/>
          <w:color w:val="000000"/>
          <w:sz w:val="44"/>
          <w:szCs w:val="44"/>
        </w:rPr>
        <w:t>时提供</w:t>
      </w:r>
      <w:r>
        <w:rPr>
          <w:rFonts w:hint="eastAsia" w:ascii="微软雅黑" w:hAnsi="微软雅黑" w:eastAsia="微软雅黑" w:cs="方正小标宋简体"/>
          <w:color w:val="000000"/>
          <w:sz w:val="44"/>
          <w:szCs w:val="44"/>
        </w:rPr>
        <w:t>）</w:t>
      </w:r>
    </w:p>
    <w:p w14:paraId="26F8BBF6">
      <w:pPr>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致：</w:t>
      </w:r>
      <w:r>
        <w:rPr>
          <w:rFonts w:hint="eastAsia" w:ascii="微软雅黑" w:hAnsi="微软雅黑" w:eastAsia="微软雅黑" w:cs="仿宋_GB2312"/>
          <w:color w:val="000000"/>
          <w:sz w:val="24"/>
          <w:u w:val="single"/>
        </w:rPr>
        <w:t>（采购人名称）</w:t>
      </w:r>
      <w:r>
        <w:rPr>
          <w:rFonts w:hint="eastAsia" w:ascii="微软雅黑" w:hAnsi="微软雅黑" w:eastAsia="微软雅黑" w:cs="仿宋_GB2312"/>
          <w:color w:val="000000"/>
          <w:sz w:val="24"/>
        </w:rPr>
        <w:t>：</w:t>
      </w:r>
    </w:p>
    <w:p w14:paraId="59EA2587">
      <w:pPr>
        <w:ind w:firstLine="480" w:firstLineChars="200"/>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我</w:t>
      </w:r>
      <w:r>
        <w:rPr>
          <w:rFonts w:hint="eastAsia" w:ascii="微软雅黑" w:hAnsi="微软雅黑" w:eastAsia="微软雅黑" w:cs="仿宋_GB2312"/>
          <w:color w:val="000000"/>
          <w:sz w:val="24"/>
          <w:u w:val="single"/>
        </w:rPr>
        <w:t xml:space="preserve">  （姓名）  </w:t>
      </w:r>
      <w:r>
        <w:rPr>
          <w:rFonts w:hint="eastAsia" w:ascii="微软雅黑" w:hAnsi="微软雅黑" w:eastAsia="微软雅黑" w:cs="仿宋_GB2312"/>
          <w:color w:val="000000"/>
          <w:sz w:val="24"/>
        </w:rPr>
        <w:t>系</w:t>
      </w:r>
      <w:r>
        <w:rPr>
          <w:rFonts w:hint="eastAsia" w:ascii="微软雅黑" w:hAnsi="微软雅黑" w:eastAsia="微软雅黑" w:cs="仿宋_GB2312"/>
          <w:color w:val="000000"/>
          <w:sz w:val="24"/>
          <w:u w:val="single"/>
        </w:rPr>
        <w:t xml:space="preserve">  （供应商名称）  </w:t>
      </w:r>
      <w:r>
        <w:rPr>
          <w:rFonts w:hint="eastAsia" w:ascii="微软雅黑" w:hAnsi="微软雅黑" w:eastAsia="微软雅黑" w:cs="仿宋_GB2312"/>
          <w:color w:val="000000"/>
          <w:sz w:val="24"/>
        </w:rPr>
        <w:t>的（</w:t>
      </w:r>
      <w:r>
        <w:rPr>
          <w:rFonts w:hint="eastAsia" w:ascii="微软雅黑" w:hAnsi="微软雅黑" w:eastAsia="微软雅黑" w:cs="仿宋_GB2312"/>
          <w:color w:val="000000"/>
          <w:sz w:val="24"/>
          <w:u w:val="single"/>
        </w:rPr>
        <w:sym w:font="Wingdings" w:char="00FE"/>
      </w:r>
      <w:r>
        <w:rPr>
          <w:rFonts w:hint="eastAsia" w:ascii="微软雅黑" w:hAnsi="微软雅黑" w:eastAsia="微软雅黑" w:cs="仿宋_GB2312"/>
          <w:color w:val="000000"/>
          <w:sz w:val="24"/>
          <w:u w:val="single"/>
        </w:rPr>
        <w:t>法定代表人/</w:t>
      </w:r>
      <w:r>
        <w:rPr>
          <w:rFonts w:hint="eastAsia" w:ascii="微软雅黑" w:hAnsi="微软雅黑" w:eastAsia="微软雅黑" w:cs="仿宋_GB2312"/>
          <w:color w:val="000000"/>
          <w:sz w:val="24"/>
          <w:u w:val="single"/>
        </w:rPr>
        <w:sym w:font="Wingdings" w:char="00A8"/>
      </w:r>
      <w:r>
        <w:rPr>
          <w:rFonts w:hint="eastAsia" w:ascii="微软雅黑" w:hAnsi="微软雅黑" w:eastAsia="微软雅黑" w:cs="仿宋_GB2312"/>
          <w:color w:val="000000"/>
          <w:sz w:val="24"/>
          <w:u w:val="single"/>
        </w:rPr>
        <w:t>负责人/</w:t>
      </w:r>
      <w:r>
        <w:rPr>
          <w:rFonts w:hint="eastAsia" w:ascii="微软雅黑" w:hAnsi="微软雅黑" w:eastAsia="微软雅黑" w:cs="仿宋_GB2312"/>
          <w:color w:val="000000"/>
          <w:sz w:val="24"/>
          <w:u w:val="single"/>
        </w:rPr>
        <w:sym w:font="Wingdings" w:char="00A8"/>
      </w:r>
      <w:r>
        <w:rPr>
          <w:rFonts w:hint="eastAsia" w:ascii="微软雅黑" w:hAnsi="微软雅黑" w:eastAsia="微软雅黑" w:cs="仿宋_GB2312"/>
          <w:color w:val="000000"/>
          <w:sz w:val="24"/>
          <w:u w:val="single"/>
        </w:rPr>
        <w:t>自然人本人</w:t>
      </w:r>
      <w:r>
        <w:rPr>
          <w:rFonts w:hint="eastAsia" w:ascii="微软雅黑" w:hAnsi="微软雅黑" w:eastAsia="微软雅黑" w:cs="仿宋_GB2312"/>
          <w:color w:val="000000"/>
          <w:sz w:val="24"/>
        </w:rPr>
        <w:t>），现授权</w:t>
      </w:r>
      <w:r>
        <w:rPr>
          <w:rFonts w:hint="eastAsia" w:ascii="微软雅黑" w:hAnsi="微软雅黑" w:eastAsia="微软雅黑" w:cs="仿宋_GB2312"/>
          <w:color w:val="000000"/>
          <w:sz w:val="24"/>
          <w:u w:val="single"/>
        </w:rPr>
        <w:t xml:space="preserve"> （姓名） </w:t>
      </w:r>
      <w:r>
        <w:rPr>
          <w:rFonts w:hint="eastAsia" w:ascii="微软雅黑" w:hAnsi="微软雅黑" w:eastAsia="微软雅黑" w:cs="仿宋_GB2312"/>
          <w:color w:val="000000"/>
          <w:sz w:val="24"/>
        </w:rPr>
        <w:t>以我方的名义参加项目的竞标活动，并代表我方全权办理针对上述项目的所有采购程序和环节的具体事务和签署相关文件。</w:t>
      </w:r>
    </w:p>
    <w:p w14:paraId="0F0B1DC2">
      <w:pPr>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 xml:space="preserve">    我方对委托代理人的签字事项负全部责任。</w:t>
      </w:r>
    </w:p>
    <w:p w14:paraId="5461FF3F">
      <w:pPr>
        <w:ind w:firstLine="480" w:firstLineChars="200"/>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本授权书自签署之日起生效，在撤销授权的书面通知以前，本授权书一直有效。委托代理人在授权书有效期内签署的所有文件不因授权的撤销而失效。</w:t>
      </w:r>
    </w:p>
    <w:p w14:paraId="21091B2D">
      <w:pPr>
        <w:ind w:firstLine="480" w:firstLineChars="200"/>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委托代理人无转委托权，特此委托。</w:t>
      </w:r>
    </w:p>
    <w:p w14:paraId="51331D02">
      <w:pPr>
        <w:ind w:firstLine="480" w:firstLineChars="200"/>
        <w:contextualSpacing/>
        <w:rPr>
          <w:rFonts w:ascii="微软雅黑" w:hAnsi="微软雅黑" w:eastAsia="微软雅黑" w:cs="仿宋_GB2312"/>
          <w:color w:val="000000"/>
          <w:sz w:val="24"/>
        </w:rPr>
      </w:pPr>
    </w:p>
    <w:p w14:paraId="25B8A98B">
      <w:pPr>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 xml:space="preserve">委托代理人（签字）：         法定代表人（签字或盖章）：                    </w:t>
      </w:r>
    </w:p>
    <w:p w14:paraId="1FB16F90">
      <w:pPr>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 xml:space="preserve">委托代理人身份证号码：                </w:t>
      </w:r>
    </w:p>
    <w:p w14:paraId="23D76426">
      <w:pPr>
        <w:spacing w:line="360" w:lineRule="auto"/>
        <w:rPr>
          <w:rFonts w:ascii="宋体" w:hAnsi="宋体" w:cs="宋体"/>
          <w:color w:val="000000"/>
          <w:sz w:val="24"/>
        </w:rPr>
      </w:pPr>
      <w:r>
        <w:rPr>
          <w:rFonts w:hint="eastAsia" w:ascii="宋体" w:hAnsi="宋体" w:cs="宋体"/>
          <w:color w:val="000000"/>
          <w:sz w:val="24"/>
        </w:rPr>
        <w:t>附：法定代表人身份证明书及委托代理人有效身份证正反面复印件</w:t>
      </w:r>
      <w:r>
        <w:rPr>
          <w:rFonts w:ascii="宋体" w:hAnsi="宋体" w:cs="宋体"/>
        </w:rPr>
        <w:pict>
          <v:rect id="_x0000_s1028" o:spid="_x0000_s1028" o:spt="1" style="position:absolute;left:0pt;margin-left:-41.85pt;margin-top:27.25pt;height:153.05pt;width:242.65pt;z-index:251660288;v-text-anchor:middle;mso-width-relative:page;mso-height-relative:page;" fillcolor="#FFFFFF" filled="t" stroked="t" coordsize="21600,21600" o:gfxdata="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xgBPn2AAAAAoBAAAPAAAAAAAAAAEAIAAAACIAAABkcnMv&#10;ZG93bnJldi54bWxQSwECFAAUAAAACACHTuJATeAN4nUCAAAABQAADgAAAAAAAAABACAAAAAnAQAA&#10;ZHJzL2Uyb0RvYy54bWxQSwUGAAAAAAYABgBZAQAADgYAAAAA&#10;">
            <v:path/>
            <v:fill on="t" focussize="0,0"/>
            <v:stroke weight="1pt" color="#000000"/>
            <v:imagedata o:title=""/>
            <o:lock v:ext="edit"/>
            <v:textbox>
              <w:txbxContent>
                <w:p w14:paraId="56CCFEB7">
                  <w:pPr>
                    <w:jc w:val="center"/>
                    <w:rPr>
                      <w:rFonts w:ascii="宋体" w:hAnsi="宋体" w:cs="仿宋_GB2312"/>
                      <w:color w:val="000000"/>
                      <w:sz w:val="24"/>
                    </w:rPr>
                  </w:pPr>
                  <w:r>
                    <w:rPr>
                      <w:rFonts w:hint="eastAsia" w:ascii="宋体" w:hAnsi="宋体" w:cs="仿宋_GB2312"/>
                      <w:color w:val="000000"/>
                      <w:sz w:val="24"/>
                    </w:rPr>
                    <w:t>委托代理人有效身份证正面复印件</w:t>
                  </w:r>
                </w:p>
                <w:p w14:paraId="1F85FC9B">
                  <w:pPr>
                    <w:jc w:val="center"/>
                  </w:pPr>
                  <w:r>
                    <w:rPr>
                      <w:rFonts w:hint="eastAsia" w:ascii="宋体" w:hAnsi="宋体" w:cs="仿宋_GB2312"/>
                      <w:color w:val="000000"/>
                      <w:sz w:val="24"/>
                    </w:rPr>
                    <w:t>（人像）</w:t>
                  </w:r>
                </w:p>
              </w:txbxContent>
            </v:textbox>
          </v:rect>
        </w:pict>
      </w:r>
    </w:p>
    <w:p w14:paraId="5265BF40">
      <w:pPr>
        <w:pStyle w:val="2"/>
        <w:rPr>
          <w:rFonts w:ascii="宋体" w:hAnsi="宋体" w:cs="宋体"/>
        </w:rPr>
      </w:pPr>
      <w:r>
        <w:rPr>
          <w:rFonts w:ascii="宋体" w:hAnsi="宋体" w:cs="宋体"/>
        </w:rPr>
        <w:pict>
          <v:rect id="_x0000_s1027" o:spid="_x0000_s1027" o:spt="1" style="position:absolute;left:0pt;margin-left:213.4pt;margin-top:3pt;height:153.05pt;width:242.65pt;z-index:251659264;v-text-anchor:middle;mso-width-relative:page;mso-height-relative:page;" fillcolor="#FFFFFF" filled="t" stroked="t" coordsize="21600,21600" o:gfxdata="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WrIbVAAAACQEAAA8AAAAAAAAAAQAgAAAAIgAAAGRycy9kb3du&#10;cmV2LnhtbFBLAQIUABQAAAAIAIdO4kDDAunzdAIAAAAFAAAOAAAAAAAAAAEAIAAAACQBAABkcnMv&#10;ZTJvRG9jLnhtbFBLBQYAAAAABgAGAFkBAAAKBgAAAAA=&#10;">
            <v:path/>
            <v:fill on="t" focussize="0,0"/>
            <v:stroke weight="1pt" color="#000000"/>
            <v:imagedata o:title=""/>
            <o:lock v:ext="edit"/>
            <v:textbox>
              <w:txbxContent>
                <w:p w14:paraId="3790CE6A">
                  <w:pPr>
                    <w:jc w:val="center"/>
                    <w:rPr>
                      <w:rFonts w:ascii="宋体" w:hAnsi="宋体" w:cs="仿宋_GB2312"/>
                      <w:color w:val="000000"/>
                      <w:sz w:val="24"/>
                    </w:rPr>
                  </w:pPr>
                  <w:r>
                    <w:rPr>
                      <w:rFonts w:hint="eastAsia" w:ascii="宋体" w:hAnsi="宋体" w:cs="仿宋_GB2312"/>
                      <w:color w:val="000000"/>
                      <w:sz w:val="24"/>
                    </w:rPr>
                    <w:t>委托代理人有效身份证反面复印件</w:t>
                  </w:r>
                </w:p>
                <w:p w14:paraId="6EC2BA77">
                  <w:pPr>
                    <w:jc w:val="center"/>
                  </w:pPr>
                  <w:r>
                    <w:rPr>
                      <w:rFonts w:hint="eastAsia" w:ascii="宋体" w:hAnsi="宋体" w:cs="仿宋_GB2312"/>
                      <w:color w:val="000000"/>
                      <w:sz w:val="24"/>
                    </w:rPr>
                    <w:t>（国徽）</w:t>
                  </w:r>
                </w:p>
              </w:txbxContent>
            </v:textbox>
          </v:rect>
        </w:pict>
      </w:r>
    </w:p>
    <w:p w14:paraId="2F18222F">
      <w:pPr>
        <w:contextualSpacing/>
        <w:rPr>
          <w:rFonts w:ascii="微软雅黑" w:hAnsi="微软雅黑" w:eastAsia="微软雅黑" w:cs="仿宋_GB2312"/>
          <w:color w:val="000000"/>
          <w:sz w:val="24"/>
        </w:rPr>
      </w:pPr>
    </w:p>
    <w:p w14:paraId="3B7B7337">
      <w:pPr>
        <w:pStyle w:val="18"/>
      </w:pPr>
    </w:p>
    <w:p w14:paraId="75BF93EF"/>
    <w:p w14:paraId="763D4E35">
      <w:pPr>
        <w:contextualSpacing/>
        <w:rPr>
          <w:rFonts w:ascii="微软雅黑" w:hAnsi="微软雅黑" w:eastAsia="微软雅黑" w:cs="仿宋_GB2312"/>
          <w:color w:val="000000"/>
          <w:sz w:val="24"/>
        </w:rPr>
      </w:pPr>
    </w:p>
    <w:p w14:paraId="1A636F6F">
      <w:pPr>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 xml:space="preserve">                                 供应商名称（盖公章）：     </w:t>
      </w:r>
    </w:p>
    <w:p w14:paraId="4713A586">
      <w:pPr>
        <w:ind w:firstLine="3960" w:firstLineChars="1650"/>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供应商委托</w:t>
      </w:r>
      <w:r>
        <w:rPr>
          <w:rFonts w:ascii="微软雅黑" w:hAnsi="微软雅黑" w:eastAsia="微软雅黑" w:cs="仿宋_GB2312"/>
          <w:color w:val="000000"/>
          <w:sz w:val="24"/>
        </w:rPr>
        <w:t>代理人</w:t>
      </w:r>
      <w:r>
        <w:rPr>
          <w:rFonts w:hint="eastAsia" w:ascii="微软雅黑" w:hAnsi="微软雅黑" w:eastAsia="微软雅黑" w:cs="仿宋_GB2312"/>
          <w:color w:val="000000"/>
          <w:sz w:val="24"/>
        </w:rPr>
        <w:t>联系</w:t>
      </w:r>
      <w:r>
        <w:rPr>
          <w:rFonts w:ascii="微软雅黑" w:hAnsi="微软雅黑" w:eastAsia="微软雅黑" w:cs="仿宋_GB2312"/>
          <w:color w:val="000000"/>
          <w:sz w:val="24"/>
        </w:rPr>
        <w:t>电话</w:t>
      </w:r>
      <w:r>
        <w:rPr>
          <w:rFonts w:hint="eastAsia" w:ascii="微软雅黑" w:hAnsi="微软雅黑" w:eastAsia="微软雅黑" w:cs="仿宋_GB2312"/>
          <w:color w:val="000000"/>
          <w:sz w:val="24"/>
        </w:rPr>
        <w:t xml:space="preserve">：                </w:t>
      </w:r>
    </w:p>
    <w:p w14:paraId="68B38CCC">
      <w:pPr>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 xml:space="preserve">     年    月    日</w:t>
      </w:r>
    </w:p>
    <w:p w14:paraId="49B6C62A">
      <w:pPr>
        <w:pStyle w:val="18"/>
      </w:pPr>
    </w:p>
    <w:p w14:paraId="22BAF763">
      <w:pPr>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注：1. 本授权委托书如有委托时必须提供。</w:t>
      </w:r>
    </w:p>
    <w:p w14:paraId="3C4076F2">
      <w:pPr>
        <w:numPr>
          <w:ilvl w:val="0"/>
          <w:numId w:val="15"/>
        </w:numPr>
        <w:ind w:firstLine="480"/>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法定代表人必须在授权委托书上亲笔签字或盖章，委托代理人必须在授权委托书上亲笔签字，不得使用印章、签名章或者其他电子制版签名代替，</w:t>
      </w:r>
      <w:r>
        <w:rPr>
          <w:rFonts w:hint="eastAsia" w:ascii="微软雅黑" w:hAnsi="微软雅黑" w:eastAsia="微软雅黑" w:cs="仿宋_GB2312"/>
          <w:b/>
          <w:color w:val="000000"/>
          <w:sz w:val="24"/>
        </w:rPr>
        <w:t>否则其响应文件按无效响应处理。</w:t>
      </w:r>
    </w:p>
    <w:p w14:paraId="4F08920F">
      <w:pPr>
        <w:numPr>
          <w:ilvl w:val="0"/>
          <w:numId w:val="15"/>
        </w:numPr>
        <w:ind w:firstLine="480" w:firstLineChars="200"/>
        <w:contextualSpacing/>
        <w:jc w:val="left"/>
        <w:rPr>
          <w:rFonts w:ascii="微软雅黑" w:hAnsi="微软雅黑" w:eastAsia="微软雅黑" w:cs="仿宋_GB2312"/>
          <w:color w:val="000000"/>
          <w:sz w:val="24"/>
        </w:rPr>
      </w:pPr>
      <w:r>
        <w:rPr>
          <w:rFonts w:hint="eastAsia" w:ascii="微软雅黑" w:hAnsi="微软雅黑" w:eastAsia="微软雅黑" w:cs="仿宋_GB2312"/>
          <w:color w:val="000000"/>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AAD7E20">
      <w:pPr>
        <w:numPr>
          <w:ilvl w:val="0"/>
          <w:numId w:val="15"/>
        </w:numPr>
        <w:ind w:firstLine="480" w:firstLineChars="200"/>
        <w:contextualSpacing/>
        <w:jc w:val="left"/>
        <w:rPr>
          <w:rFonts w:ascii="微软雅黑" w:hAnsi="微软雅黑" w:eastAsia="微软雅黑" w:cs="仿宋_GB2312"/>
          <w:color w:val="000000"/>
          <w:sz w:val="24"/>
        </w:rPr>
      </w:pPr>
      <w:r>
        <w:rPr>
          <w:rFonts w:hint="eastAsia" w:ascii="微软雅黑" w:hAnsi="微软雅黑" w:eastAsia="微软雅黑" w:cs="仿宋_GB2312"/>
          <w:color w:val="000000"/>
          <w:sz w:val="24"/>
        </w:rPr>
        <w:t>法人、其他组织竞标时“我方”是指“我单位”，自然人竞标时“我方”是指“本人”。</w:t>
      </w:r>
    </w:p>
    <w:p w14:paraId="69FCDCC0">
      <w:pPr>
        <w:pStyle w:val="164"/>
        <w:spacing w:line="506" w:lineRule="exact"/>
        <w:ind w:firstLine="0"/>
        <w:jc w:val="center"/>
        <w:rPr>
          <w:sz w:val="21"/>
          <w:szCs w:val="21"/>
        </w:rPr>
      </w:pPr>
      <w:r>
        <w:t>中小企业声明函</w:t>
      </w:r>
    </w:p>
    <w:p w14:paraId="5C258278">
      <w:pPr>
        <w:pStyle w:val="164"/>
        <w:spacing w:line="506" w:lineRule="exact"/>
        <w:ind w:firstLine="640"/>
        <w:jc w:val="both"/>
        <w:rPr>
          <w:sz w:val="21"/>
          <w:szCs w:val="21"/>
        </w:rPr>
      </w:pPr>
    </w:p>
    <w:p w14:paraId="597D6925">
      <w:pPr>
        <w:pStyle w:val="164"/>
        <w:spacing w:line="506" w:lineRule="exact"/>
        <w:ind w:firstLine="640"/>
        <w:jc w:val="both"/>
        <w:rPr>
          <w:sz w:val="21"/>
          <w:szCs w:val="21"/>
        </w:rPr>
      </w:pPr>
      <w:r>
        <w:rPr>
          <w:sz w:val="21"/>
          <w:szCs w:val="21"/>
        </w:rPr>
        <w:t>本公司郑重声明，根据《政府采购促进中小企业发展管理办法》（财库〔2020〕46号）的规定，本公司 参加</w:t>
      </w:r>
      <w:r>
        <w:rPr>
          <w:sz w:val="21"/>
          <w:szCs w:val="21"/>
          <w:u w:val="single"/>
        </w:rPr>
        <w:t>（单位名称）</w:t>
      </w:r>
      <w:r>
        <w:rPr>
          <w:sz w:val="21"/>
          <w:szCs w:val="21"/>
        </w:rPr>
        <w:t>的</w:t>
      </w:r>
      <w:r>
        <w:rPr>
          <w:sz w:val="21"/>
          <w:szCs w:val="21"/>
          <w:u w:val="single"/>
        </w:rPr>
        <w:t>（项目名称）</w:t>
      </w:r>
      <w:r>
        <w:rPr>
          <w:sz w:val="21"/>
          <w:szCs w:val="21"/>
        </w:rPr>
        <w:t>釆购活动,</w:t>
      </w:r>
      <w:r>
        <w:rPr>
          <w:b/>
          <w:bCs/>
          <w:sz w:val="21"/>
          <w:szCs w:val="21"/>
        </w:rPr>
        <w:t>提供的货物全部由符合政策要求的中小企业制造</w:t>
      </w:r>
      <w:r>
        <w:rPr>
          <w:sz w:val="21"/>
          <w:szCs w:val="21"/>
        </w:rPr>
        <w:t>。相关企业（含联合体中的中小企业、签订分包意向协议的中小企业）的具体情况如下</w:t>
      </w:r>
      <w:bookmarkStart w:id="3" w:name="bookmark1"/>
      <w:bookmarkEnd w:id="3"/>
      <w:r>
        <w:rPr>
          <w:rFonts w:hint="eastAsia"/>
          <w:sz w:val="21"/>
          <w:szCs w:val="21"/>
        </w:rPr>
        <w:t>：</w:t>
      </w:r>
    </w:p>
    <w:p w14:paraId="4B82314A">
      <w:pPr>
        <w:pStyle w:val="164"/>
        <w:spacing w:line="506" w:lineRule="exact"/>
        <w:ind w:firstLine="640"/>
        <w:jc w:val="both"/>
        <w:rPr>
          <w:sz w:val="21"/>
          <w:szCs w:val="21"/>
        </w:rPr>
      </w:pPr>
      <w:r>
        <w:rPr>
          <w:rFonts w:hint="eastAsia"/>
          <w:sz w:val="21"/>
          <w:szCs w:val="21"/>
        </w:rPr>
        <w:t>1.</w:t>
      </w:r>
      <w:r>
        <w:rPr>
          <w:rFonts w:hint="eastAsia"/>
          <w:sz w:val="21"/>
          <w:szCs w:val="21"/>
          <w:u w:val="single"/>
        </w:rPr>
        <w:t xml:space="preserve">     （</w:t>
      </w:r>
      <w:r>
        <w:rPr>
          <w:sz w:val="21"/>
          <w:szCs w:val="21"/>
          <w:u w:val="single"/>
        </w:rPr>
        <w:t>标的名称</w:t>
      </w:r>
      <w:r>
        <w:rPr>
          <w:rFonts w:hint="eastAsia"/>
          <w:sz w:val="21"/>
          <w:szCs w:val="21"/>
          <w:u w:val="single"/>
        </w:rPr>
        <w:t>）</w:t>
      </w:r>
      <w:r>
        <w:rPr>
          <w:rFonts w:hint="eastAsia"/>
          <w:sz w:val="21"/>
          <w:szCs w:val="21"/>
        </w:rPr>
        <w:t>，</w:t>
      </w:r>
      <w:r>
        <w:rPr>
          <w:sz w:val="21"/>
          <w:szCs w:val="21"/>
        </w:rPr>
        <w:t>属于</w:t>
      </w:r>
      <w:r>
        <w:rPr>
          <w:sz w:val="21"/>
          <w:szCs w:val="21"/>
          <w:u w:val="single"/>
        </w:rPr>
        <w:t>（釆购文件中明确的所属行业）行业</w:t>
      </w:r>
      <w:r>
        <w:rPr>
          <w:rFonts w:hint="eastAsia"/>
          <w:sz w:val="21"/>
          <w:szCs w:val="21"/>
        </w:rPr>
        <w:t>；</w:t>
      </w:r>
      <w:r>
        <w:rPr>
          <w:sz w:val="21"/>
          <w:szCs w:val="21"/>
        </w:rPr>
        <w:t>制造商为</w:t>
      </w:r>
      <w:r>
        <w:rPr>
          <w:sz w:val="21"/>
          <w:szCs w:val="21"/>
          <w:u w:val="single"/>
        </w:rPr>
        <w:t>（企业名称）</w:t>
      </w:r>
      <w:r>
        <w:rPr>
          <w:rFonts w:hint="eastAsia"/>
          <w:sz w:val="21"/>
          <w:szCs w:val="21"/>
        </w:rPr>
        <w:t>，</w:t>
      </w:r>
      <w:r>
        <w:rPr>
          <w:sz w:val="21"/>
          <w:szCs w:val="21"/>
        </w:rPr>
        <w:t>从业人员</w:t>
      </w:r>
      <w:r>
        <w:rPr>
          <w:sz w:val="21"/>
          <w:szCs w:val="21"/>
          <w:u w:val="single"/>
        </w:rPr>
        <w:tab/>
      </w:r>
      <w:r>
        <w:rPr>
          <w:sz w:val="21"/>
          <w:szCs w:val="21"/>
        </w:rPr>
        <w:t>人，营业收入为万元，资产总额为万元</w:t>
      </w:r>
      <w:r>
        <w:rPr>
          <w:rFonts w:hint="eastAsia"/>
          <w:sz w:val="21"/>
          <w:szCs w:val="21"/>
        </w:rPr>
        <w:t>，</w:t>
      </w:r>
      <w:r>
        <w:rPr>
          <w:sz w:val="21"/>
          <w:szCs w:val="21"/>
        </w:rPr>
        <w:t>属于</w:t>
      </w:r>
      <w:r>
        <w:rPr>
          <w:sz w:val="21"/>
          <w:szCs w:val="21"/>
          <w:u w:val="single"/>
        </w:rPr>
        <w:t>（中型企业、小型企业、微型企业）</w:t>
      </w:r>
      <w:r>
        <w:rPr>
          <w:rFonts w:hint="eastAsia"/>
          <w:sz w:val="21"/>
          <w:szCs w:val="21"/>
        </w:rPr>
        <w:t>；</w:t>
      </w:r>
    </w:p>
    <w:p w14:paraId="69BFE663">
      <w:pPr>
        <w:pStyle w:val="164"/>
        <w:spacing w:line="506" w:lineRule="exact"/>
        <w:ind w:firstLine="640"/>
        <w:jc w:val="both"/>
        <w:rPr>
          <w:sz w:val="21"/>
          <w:szCs w:val="21"/>
        </w:rPr>
      </w:pPr>
      <w:r>
        <w:rPr>
          <w:rFonts w:hint="eastAsia"/>
          <w:sz w:val="21"/>
          <w:szCs w:val="21"/>
        </w:rPr>
        <w:t>2.</w:t>
      </w:r>
      <w:r>
        <w:rPr>
          <w:sz w:val="21"/>
          <w:szCs w:val="21"/>
          <w:u w:val="single"/>
        </w:rPr>
        <w:t>（标的名称）</w:t>
      </w:r>
      <w:r>
        <w:rPr>
          <w:rFonts w:hint="eastAsia"/>
          <w:sz w:val="21"/>
          <w:szCs w:val="21"/>
        </w:rPr>
        <w:t>，</w:t>
      </w:r>
      <w:r>
        <w:rPr>
          <w:sz w:val="21"/>
          <w:szCs w:val="21"/>
        </w:rPr>
        <w:t>属于</w:t>
      </w:r>
      <w:r>
        <w:rPr>
          <w:sz w:val="21"/>
          <w:szCs w:val="21"/>
          <w:u w:val="single"/>
        </w:rPr>
        <w:t>（釆购文件中明确的所属行业）行业</w:t>
      </w:r>
      <w:r>
        <w:rPr>
          <w:rFonts w:hint="eastAsia"/>
          <w:sz w:val="21"/>
          <w:szCs w:val="21"/>
        </w:rPr>
        <w:t>；</w:t>
      </w:r>
      <w:r>
        <w:rPr>
          <w:sz w:val="21"/>
          <w:szCs w:val="21"/>
        </w:rPr>
        <w:t>制造商为</w:t>
      </w:r>
      <w:r>
        <w:rPr>
          <w:sz w:val="21"/>
          <w:szCs w:val="21"/>
          <w:u w:val="single"/>
        </w:rPr>
        <w:t>（企业名称）</w:t>
      </w:r>
      <w:r>
        <w:rPr>
          <w:sz w:val="21"/>
          <w:szCs w:val="21"/>
        </w:rPr>
        <w:t>、从业人员</w:t>
      </w:r>
      <w:r>
        <w:rPr>
          <w:sz w:val="21"/>
          <w:szCs w:val="21"/>
          <w:u w:val="single"/>
        </w:rPr>
        <w:tab/>
      </w:r>
      <w:r>
        <w:rPr>
          <w:sz w:val="21"/>
          <w:szCs w:val="21"/>
        </w:rPr>
        <w:t>人，营业收入为万元，资产总额为万元，属于</w:t>
      </w:r>
      <w:r>
        <w:rPr>
          <w:sz w:val="21"/>
          <w:szCs w:val="21"/>
          <w:u w:val="single"/>
        </w:rPr>
        <w:t>（中型企业、小型 企业、微型企业）</w:t>
      </w:r>
      <w:r>
        <w:rPr>
          <w:rFonts w:hint="eastAsia"/>
          <w:sz w:val="21"/>
          <w:szCs w:val="21"/>
        </w:rPr>
        <w:t>；</w:t>
      </w:r>
    </w:p>
    <w:p w14:paraId="04D0351B">
      <w:pPr>
        <w:pStyle w:val="164"/>
        <w:spacing w:line="506" w:lineRule="exact"/>
        <w:ind w:firstLine="640"/>
        <w:jc w:val="both"/>
        <w:rPr>
          <w:sz w:val="21"/>
          <w:szCs w:val="21"/>
        </w:rPr>
      </w:pPr>
      <w:r>
        <w:rPr>
          <w:rFonts w:hint="eastAsia"/>
          <w:sz w:val="21"/>
          <w:szCs w:val="21"/>
        </w:rPr>
        <w:t>......</w:t>
      </w:r>
    </w:p>
    <w:p w14:paraId="749EFA25">
      <w:pPr>
        <w:pStyle w:val="164"/>
        <w:spacing w:line="499" w:lineRule="exact"/>
        <w:ind w:firstLine="640"/>
        <w:jc w:val="both"/>
        <w:rPr>
          <w:sz w:val="21"/>
          <w:szCs w:val="21"/>
        </w:rPr>
      </w:pPr>
      <w:r>
        <w:rPr>
          <w:sz w:val="21"/>
          <w:szCs w:val="21"/>
        </w:rPr>
        <w:t>以上企业，不属于大企业的分支机构，不存在控股股东为大企业的情形，也不存在与大企业的负责人为同一人的情形。</w:t>
      </w:r>
    </w:p>
    <w:p w14:paraId="2E9DAC89">
      <w:pPr>
        <w:pStyle w:val="164"/>
        <w:spacing w:after="40" w:line="499" w:lineRule="exact"/>
        <w:ind w:firstLine="640"/>
        <w:jc w:val="both"/>
        <w:rPr>
          <w:sz w:val="21"/>
          <w:szCs w:val="21"/>
        </w:rPr>
      </w:pPr>
      <w:r>
        <w:rPr>
          <w:sz w:val="21"/>
          <w:szCs w:val="21"/>
        </w:rPr>
        <w:t>本企业对上述声明内容的真实性</w:t>
      </w:r>
      <w:r>
        <w:rPr>
          <w:rFonts w:hint="eastAsia"/>
          <w:sz w:val="21"/>
          <w:szCs w:val="21"/>
        </w:rPr>
        <w:t>负责</w:t>
      </w:r>
      <w:r>
        <w:rPr>
          <w:sz w:val="21"/>
          <w:szCs w:val="21"/>
        </w:rPr>
        <w:t>。如有虚假，将依法承担相应责任。</w:t>
      </w:r>
    </w:p>
    <w:p w14:paraId="2A27CDF6">
      <w:pPr>
        <w:pStyle w:val="164"/>
        <w:spacing w:after="40" w:line="499" w:lineRule="exact"/>
        <w:ind w:firstLine="640"/>
        <w:jc w:val="both"/>
        <w:rPr>
          <w:sz w:val="21"/>
          <w:szCs w:val="21"/>
        </w:rPr>
      </w:pPr>
    </w:p>
    <w:p w14:paraId="52E0E270">
      <w:pPr>
        <w:pStyle w:val="164"/>
        <w:spacing w:line="506" w:lineRule="exact"/>
        <w:ind w:firstLine="640"/>
        <w:jc w:val="both"/>
        <w:rPr>
          <w:sz w:val="21"/>
          <w:szCs w:val="21"/>
        </w:rPr>
      </w:pPr>
      <w:r>
        <w:rPr>
          <w:sz w:val="21"/>
          <w:szCs w:val="21"/>
        </w:rPr>
        <w:t>企业名称（盖章）：</w:t>
      </w:r>
    </w:p>
    <w:p w14:paraId="622C04E1">
      <w:pPr>
        <w:pStyle w:val="164"/>
        <w:spacing w:line="506" w:lineRule="exact"/>
        <w:ind w:firstLine="640"/>
        <w:jc w:val="both"/>
        <w:rPr>
          <w:sz w:val="21"/>
          <w:szCs w:val="21"/>
        </w:rPr>
      </w:pPr>
      <w:r>
        <w:rPr>
          <w:rFonts w:hint="eastAsia"/>
          <w:sz w:val="21"/>
          <w:szCs w:val="21"/>
        </w:rPr>
        <w:t xml:space="preserve">                          日期：</w:t>
      </w:r>
    </w:p>
    <w:p w14:paraId="71D14F91">
      <w:pPr>
        <w:pStyle w:val="165"/>
        <w:spacing w:after="0"/>
        <w:rPr>
          <w:sz w:val="21"/>
          <w:szCs w:val="21"/>
        </w:rPr>
      </w:pPr>
    </w:p>
    <w:p w14:paraId="76FC9CE1">
      <w:pPr>
        <w:pStyle w:val="165"/>
        <w:spacing w:after="0"/>
      </w:pPr>
    </w:p>
    <w:p w14:paraId="035C8321">
      <w:pPr>
        <w:pStyle w:val="165"/>
        <w:adjustRightInd w:val="0"/>
        <w:snapToGrid w:val="0"/>
        <w:spacing w:after="0" w:line="360" w:lineRule="exact"/>
        <w:jc w:val="left"/>
        <w:rPr>
          <w:sz w:val="21"/>
          <w:szCs w:val="21"/>
        </w:rPr>
      </w:pPr>
      <w:r>
        <w:rPr>
          <w:sz w:val="21"/>
          <w:szCs w:val="21"/>
        </w:rPr>
        <w:t>备注：</w:t>
      </w:r>
    </w:p>
    <w:p w14:paraId="6F960609">
      <w:pPr>
        <w:pStyle w:val="165"/>
        <w:adjustRightInd w:val="0"/>
        <w:snapToGrid w:val="0"/>
        <w:spacing w:after="0" w:line="360" w:lineRule="exact"/>
        <w:jc w:val="left"/>
        <w:rPr>
          <w:sz w:val="21"/>
          <w:szCs w:val="21"/>
        </w:rPr>
      </w:pPr>
      <w:r>
        <w:rPr>
          <w:rFonts w:hint="eastAsia"/>
          <w:sz w:val="21"/>
          <w:szCs w:val="21"/>
        </w:rPr>
        <w:t>1、</w:t>
      </w:r>
      <w:r>
        <w:rPr>
          <w:sz w:val="21"/>
          <w:szCs w:val="21"/>
        </w:rPr>
        <w:t>从业人员、营业收入、资产总额填报上一年度数据，无上一年度数据的新成立企业可不填报</w:t>
      </w:r>
      <w:r>
        <w:rPr>
          <w:rFonts w:hint="eastAsia"/>
          <w:sz w:val="21"/>
          <w:szCs w:val="21"/>
        </w:rPr>
        <w:t>相关数据。</w:t>
      </w:r>
    </w:p>
    <w:p w14:paraId="4D4B1648">
      <w:pPr>
        <w:pStyle w:val="165"/>
        <w:adjustRightInd w:val="0"/>
        <w:snapToGrid w:val="0"/>
        <w:spacing w:after="0" w:line="360" w:lineRule="exact"/>
        <w:jc w:val="left"/>
        <w:rPr>
          <w:sz w:val="21"/>
          <w:szCs w:val="21"/>
        </w:rPr>
      </w:pPr>
      <w:r>
        <w:rPr>
          <w:rFonts w:hint="eastAsia"/>
          <w:sz w:val="21"/>
          <w:szCs w:val="21"/>
        </w:rPr>
        <w:t>2、供应商须依据《采购需求》中明确的标的所属行业进行填报。</w:t>
      </w:r>
    </w:p>
    <w:p w14:paraId="327092BE">
      <w:pPr>
        <w:pStyle w:val="165"/>
        <w:adjustRightInd w:val="0"/>
        <w:snapToGrid w:val="0"/>
        <w:spacing w:after="0" w:line="360" w:lineRule="exact"/>
        <w:jc w:val="left"/>
        <w:rPr>
          <w:sz w:val="21"/>
          <w:szCs w:val="21"/>
        </w:rPr>
      </w:pPr>
      <w:r>
        <w:rPr>
          <w:rFonts w:hint="eastAsia"/>
          <w:sz w:val="21"/>
          <w:szCs w:val="21"/>
        </w:rPr>
        <w:t>3、填报依据：《政府采购促进中小企业发展管理办法》（财库[2020]46号）；</w:t>
      </w:r>
    </w:p>
    <w:p w14:paraId="539F80C3">
      <w:pPr>
        <w:pStyle w:val="165"/>
        <w:adjustRightInd w:val="0"/>
        <w:snapToGrid w:val="0"/>
        <w:spacing w:after="0" w:line="360" w:lineRule="exact"/>
        <w:jc w:val="left"/>
        <w:rPr>
          <w:sz w:val="21"/>
          <w:szCs w:val="21"/>
        </w:rPr>
      </w:pPr>
      <w:r>
        <w:rPr>
          <w:rFonts w:hint="eastAsia"/>
          <w:sz w:val="21"/>
          <w:szCs w:val="21"/>
        </w:rPr>
        <w:t xml:space="preserve">             《关于印发中小企业划型标准规定的通知》（工信部联企业[2011]300号）</w:t>
      </w:r>
    </w:p>
    <w:p w14:paraId="65CA8246">
      <w:pPr>
        <w:spacing w:line="300" w:lineRule="auto"/>
        <w:ind w:left="420" w:hanging="420"/>
        <w:rPr>
          <w:rFonts w:ascii="黑体" w:hAnsi="黑体" w:eastAsia="黑体"/>
          <w:b/>
          <w:sz w:val="32"/>
          <w:szCs w:val="32"/>
        </w:rPr>
      </w:pPr>
    </w:p>
    <w:p w14:paraId="69878320">
      <w:pPr>
        <w:spacing w:line="300" w:lineRule="auto"/>
        <w:ind w:left="420" w:hanging="420"/>
        <w:jc w:val="center"/>
        <w:rPr>
          <w:rFonts w:ascii="黑体" w:hAnsi="黑体" w:eastAsia="黑体"/>
          <w:b/>
          <w:sz w:val="32"/>
          <w:szCs w:val="32"/>
        </w:rPr>
      </w:pPr>
    </w:p>
    <w:p w14:paraId="37864D65">
      <w:pPr>
        <w:pStyle w:val="18"/>
      </w:pPr>
    </w:p>
    <w:sectPr>
      <w:footerReference r:id="rId4" w:type="first"/>
      <w:footerReference r:id="rId3" w:type="default"/>
      <w:pgSz w:w="11906" w:h="16838"/>
      <w:pgMar w:top="907" w:right="1469" w:bottom="907" w:left="1440" w:header="851" w:footer="283"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swiss"/>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Trebuchet MS">
    <w:panose1 w:val="020B0603020202020204"/>
    <w:charset w:val="00"/>
    <w:family w:val="swiss"/>
    <w:pitch w:val="default"/>
    <w:sig w:usb0="000006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94775">
    <w:pPr>
      <w:pStyle w:val="28"/>
      <w:jc w:val="center"/>
    </w:pPr>
    <w:r>
      <w:fldChar w:fldCharType="begin"/>
    </w:r>
    <w:r>
      <w:instrText xml:space="preserve">PAGE   \* MERGEFORMAT</w:instrText>
    </w:r>
    <w:r>
      <w:fldChar w:fldCharType="separate"/>
    </w:r>
    <w:r>
      <w:rPr>
        <w:lang w:val="zh-CN"/>
      </w:rPr>
      <w:t>19</w:t>
    </w:r>
    <w:r>
      <w:fldChar w:fldCharType="end"/>
    </w:r>
  </w:p>
  <w:p w14:paraId="777997EA">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C76FB">
    <w:pPr>
      <w:pStyle w:val="28"/>
      <w:jc w:val="center"/>
    </w:pPr>
    <w:r>
      <w:fldChar w:fldCharType="begin"/>
    </w:r>
    <w:r>
      <w:rPr>
        <w:rStyle w:val="44"/>
      </w:rPr>
      <w:instrText xml:space="preserve"> PAGE </w:instrText>
    </w:r>
    <w:r>
      <w:fldChar w:fldCharType="separate"/>
    </w:r>
    <w:r>
      <w:rPr>
        <w:rStyle w:val="44"/>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9893B"/>
    <w:multiLevelType w:val="singleLevel"/>
    <w:tmpl w:val="9CB9893B"/>
    <w:lvl w:ilvl="0" w:tentative="0">
      <w:start w:val="1"/>
      <w:numFmt w:val="decimal"/>
      <w:lvlText w:val="%1."/>
      <w:lvlJc w:val="left"/>
      <w:pPr>
        <w:ind w:left="425" w:hanging="425"/>
      </w:pPr>
      <w:rPr>
        <w:rFonts w:hint="default" w:ascii="宋体" w:hAnsi="宋体" w:eastAsia="宋体" w:cs="宋体"/>
      </w:rPr>
    </w:lvl>
  </w:abstractNum>
  <w:abstractNum w:abstractNumId="1">
    <w:nsid w:val="9D2E6C61"/>
    <w:multiLevelType w:val="singleLevel"/>
    <w:tmpl w:val="9D2E6C61"/>
    <w:lvl w:ilvl="0" w:tentative="0">
      <w:start w:val="2"/>
      <w:numFmt w:val="decimal"/>
      <w:suff w:val="space"/>
      <w:lvlText w:val="%1."/>
      <w:lvlJc w:val="left"/>
    </w:lvl>
  </w:abstractNum>
  <w:abstractNum w:abstractNumId="2">
    <w:nsid w:val="A86AC7DE"/>
    <w:multiLevelType w:val="singleLevel"/>
    <w:tmpl w:val="A86AC7DE"/>
    <w:lvl w:ilvl="0" w:tentative="0">
      <w:start w:val="1"/>
      <w:numFmt w:val="decimal"/>
      <w:lvlText w:val="%1."/>
      <w:lvlJc w:val="left"/>
      <w:pPr>
        <w:ind w:left="425" w:hanging="425"/>
      </w:pPr>
      <w:rPr>
        <w:rFonts w:hint="default" w:ascii="宋体" w:hAnsi="宋体" w:eastAsia="宋体" w:cs="宋体"/>
      </w:rPr>
    </w:lvl>
  </w:abstractNum>
  <w:abstractNum w:abstractNumId="3">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4">
    <w:nsid w:val="076C7C35"/>
    <w:multiLevelType w:val="multilevel"/>
    <w:tmpl w:val="076C7C35"/>
    <w:lvl w:ilvl="0" w:tentative="0">
      <w:start w:val="1"/>
      <w:numFmt w:val="decimal"/>
      <w:pStyle w:val="135"/>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1209410B"/>
    <w:multiLevelType w:val="singleLevel"/>
    <w:tmpl w:val="1209410B"/>
    <w:lvl w:ilvl="0" w:tentative="0">
      <w:start w:val="1"/>
      <w:numFmt w:val="decimal"/>
      <w:lvlText w:val="%1."/>
      <w:lvlJc w:val="left"/>
      <w:pPr>
        <w:ind w:left="425" w:hanging="425"/>
      </w:pPr>
      <w:rPr>
        <w:rFonts w:hint="default" w:ascii="宋体" w:hAnsi="宋体" w:eastAsia="宋体" w:cs="宋体"/>
      </w:rPr>
    </w:lvl>
  </w:abstractNum>
  <w:abstractNum w:abstractNumId="6">
    <w:nsid w:val="2357098D"/>
    <w:multiLevelType w:val="singleLevel"/>
    <w:tmpl w:val="2357098D"/>
    <w:lvl w:ilvl="0" w:tentative="0">
      <w:start w:val="1"/>
      <w:numFmt w:val="decimal"/>
      <w:lvlText w:val="(%1)"/>
      <w:lvlJc w:val="left"/>
      <w:pPr>
        <w:ind w:left="425" w:hanging="425"/>
      </w:pPr>
      <w:rPr>
        <w:rFonts w:hint="default"/>
      </w:rPr>
    </w:lvl>
  </w:abstractNum>
  <w:abstractNum w:abstractNumId="7">
    <w:nsid w:val="32714F5E"/>
    <w:multiLevelType w:val="multilevel"/>
    <w:tmpl w:val="32714F5E"/>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pStyle w:val="6"/>
      <w:suff w:val="nothing"/>
      <w:lvlText w:val=""/>
      <w:lvlJc w:val="left"/>
      <w:pPr>
        <w:tabs>
          <w:tab w:val="left" w:pos="0"/>
        </w:tabs>
        <w:ind w:left="0" w:firstLine="0"/>
      </w:pPr>
      <w:rPr>
        <w:rFonts w:hint="eastAsia"/>
      </w:rPr>
    </w:lvl>
    <w:lvl w:ilvl="5" w:tentative="0">
      <w:start w:val="1"/>
      <w:numFmt w:val="none"/>
      <w:pStyle w:val="8"/>
      <w:suff w:val="nothing"/>
      <w:lvlText w:val=""/>
      <w:lvlJc w:val="left"/>
      <w:pPr>
        <w:tabs>
          <w:tab w:val="left" w:pos="0"/>
        </w:tabs>
        <w:ind w:left="0" w:firstLine="0"/>
      </w:pPr>
      <w:rPr>
        <w:rFonts w:hint="eastAsia"/>
      </w:rPr>
    </w:lvl>
    <w:lvl w:ilvl="6" w:tentative="0">
      <w:start w:val="1"/>
      <w:numFmt w:val="none"/>
      <w:pStyle w:val="9"/>
      <w:suff w:val="nothing"/>
      <w:lvlText w:val=""/>
      <w:lvlJc w:val="left"/>
      <w:pPr>
        <w:tabs>
          <w:tab w:val="left" w:pos="0"/>
        </w:tabs>
        <w:ind w:left="0" w:firstLine="0"/>
      </w:pPr>
      <w:rPr>
        <w:rFonts w:hint="eastAsia"/>
      </w:rPr>
    </w:lvl>
    <w:lvl w:ilvl="7" w:tentative="0">
      <w:start w:val="1"/>
      <w:numFmt w:val="none"/>
      <w:pStyle w:val="10"/>
      <w:suff w:val="nothing"/>
      <w:lvlText w:val=""/>
      <w:lvlJc w:val="left"/>
      <w:pPr>
        <w:tabs>
          <w:tab w:val="left" w:pos="0"/>
        </w:tabs>
        <w:ind w:left="0" w:firstLine="0"/>
      </w:pPr>
      <w:rPr>
        <w:rFonts w:hint="eastAsia"/>
      </w:rPr>
    </w:lvl>
    <w:lvl w:ilvl="8" w:tentative="0">
      <w:start w:val="1"/>
      <w:numFmt w:val="none"/>
      <w:pStyle w:val="11"/>
      <w:suff w:val="nothing"/>
      <w:lvlText w:val=""/>
      <w:lvlJc w:val="left"/>
      <w:pPr>
        <w:tabs>
          <w:tab w:val="left" w:pos="0"/>
        </w:tabs>
        <w:ind w:left="0" w:firstLine="0"/>
      </w:pPr>
      <w:rPr>
        <w:rFonts w:hint="eastAsia"/>
      </w:rPr>
    </w:lvl>
  </w:abstractNum>
  <w:abstractNum w:abstractNumId="8">
    <w:nsid w:val="4304EA86"/>
    <w:multiLevelType w:val="singleLevel"/>
    <w:tmpl w:val="4304EA86"/>
    <w:lvl w:ilvl="0" w:tentative="0">
      <w:start w:val="1"/>
      <w:numFmt w:val="decimal"/>
      <w:suff w:val="nothing"/>
      <w:lvlText w:val="%1．"/>
      <w:lvlJc w:val="left"/>
      <w:pPr>
        <w:ind w:left="0" w:firstLine="400"/>
      </w:pPr>
      <w:rPr>
        <w:rFonts w:hint="default"/>
      </w:rPr>
    </w:lvl>
  </w:abstractNum>
  <w:abstractNum w:abstractNumId="9">
    <w:nsid w:val="4F886337"/>
    <w:multiLevelType w:val="multilevel"/>
    <w:tmpl w:val="4F886337"/>
    <w:lvl w:ilvl="0" w:tentative="0">
      <w:start w:val="1"/>
      <w:numFmt w:val="decimal"/>
      <w:pStyle w:val="126"/>
      <w:lvlText w:val="（%1）"/>
      <w:lvlJc w:val="left"/>
      <w:pPr>
        <w:tabs>
          <w:tab w:val="left" w:pos="0"/>
        </w:tabs>
        <w:ind w:left="1275" w:hanging="750"/>
      </w:pPr>
      <w:rPr>
        <w:rFonts w:hint="default"/>
      </w:r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10">
    <w:nsid w:val="4FF1187F"/>
    <w:multiLevelType w:val="multilevel"/>
    <w:tmpl w:val="4FF1187F"/>
    <w:lvl w:ilvl="0" w:tentative="0">
      <w:start w:val="1"/>
      <w:numFmt w:val="decimal"/>
      <w:pStyle w:val="147"/>
      <w:lvlText w:val="%1．"/>
      <w:lvlJc w:val="left"/>
      <w:pPr>
        <w:tabs>
          <w:tab w:val="left" w:pos="0"/>
        </w:tabs>
        <w:ind w:left="1004" w:hanging="720"/>
      </w:pPr>
      <w:rPr>
        <w:rFonts w:hint="default"/>
      </w:r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11">
    <w:nsid w:val="53D8FA3B"/>
    <w:multiLevelType w:val="singleLevel"/>
    <w:tmpl w:val="53D8FA3B"/>
    <w:lvl w:ilvl="0" w:tentative="0">
      <w:start w:val="1"/>
      <w:numFmt w:val="decimal"/>
      <w:lvlText w:val="%1."/>
      <w:lvlJc w:val="left"/>
      <w:pPr>
        <w:ind w:left="425" w:hanging="425"/>
      </w:pPr>
      <w:rPr>
        <w:rFonts w:hint="default" w:ascii="宋体" w:hAnsi="宋体" w:eastAsia="宋体" w:cs="宋体"/>
      </w:rPr>
    </w:lvl>
  </w:abstractNum>
  <w:abstractNum w:abstractNumId="12">
    <w:nsid w:val="56692B5F"/>
    <w:multiLevelType w:val="multilevel"/>
    <w:tmpl w:val="56692B5F"/>
    <w:lvl w:ilvl="0" w:tentative="0">
      <w:start w:val="1"/>
      <w:numFmt w:val="decimal"/>
      <w:pStyle w:val="110"/>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2D3353D"/>
    <w:multiLevelType w:val="singleLevel"/>
    <w:tmpl w:val="62D3353D"/>
    <w:lvl w:ilvl="0" w:tentative="0">
      <w:start w:val="1"/>
      <w:numFmt w:val="decimal"/>
      <w:lvlText w:val="%1."/>
      <w:lvlJc w:val="left"/>
      <w:pPr>
        <w:ind w:left="425" w:hanging="425"/>
      </w:pPr>
      <w:rPr>
        <w:rFonts w:hint="default" w:ascii="宋体" w:hAnsi="宋体" w:eastAsia="宋体" w:cs="宋体"/>
      </w:rPr>
    </w:lvl>
  </w:abstractNum>
  <w:abstractNum w:abstractNumId="14">
    <w:nsid w:val="6D279828"/>
    <w:multiLevelType w:val="singleLevel"/>
    <w:tmpl w:val="6D279828"/>
    <w:lvl w:ilvl="0" w:tentative="0">
      <w:start w:val="1"/>
      <w:numFmt w:val="decimal"/>
      <w:lvlText w:val="%1."/>
      <w:lvlJc w:val="left"/>
      <w:pPr>
        <w:ind w:left="425" w:hanging="425"/>
      </w:pPr>
      <w:rPr>
        <w:rFonts w:hint="default" w:ascii="宋体" w:hAnsi="宋体" w:eastAsia="宋体" w:cs="宋体"/>
      </w:rPr>
    </w:lvl>
  </w:abstractNum>
  <w:num w:numId="1">
    <w:abstractNumId w:val="7"/>
  </w:num>
  <w:num w:numId="2">
    <w:abstractNumId w:val="3"/>
  </w:num>
  <w:num w:numId="3">
    <w:abstractNumId w:val="12"/>
  </w:num>
  <w:num w:numId="4">
    <w:abstractNumId w:val="9"/>
  </w:num>
  <w:num w:numId="5">
    <w:abstractNumId w:val="4"/>
  </w:num>
  <w:num w:numId="6">
    <w:abstractNumId w:val="10"/>
  </w:num>
  <w:num w:numId="7">
    <w:abstractNumId w:val="2"/>
  </w:num>
  <w:num w:numId="8">
    <w:abstractNumId w:val="13"/>
  </w:num>
  <w:num w:numId="9">
    <w:abstractNumId w:val="14"/>
  </w:num>
  <w:num w:numId="10">
    <w:abstractNumId w:val="0"/>
  </w:num>
  <w:num w:numId="11">
    <w:abstractNumId w:val="5"/>
  </w:num>
  <w:num w:numId="12">
    <w:abstractNumId w:val="11"/>
  </w:num>
  <w:num w:numId="13">
    <w:abstractNumId w:val="8"/>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hNjBmOGI0N2FmMjU5Mjk5YTI0ODkxM2Q3NzhkYmQifQ=="/>
  </w:docVars>
  <w:rsids>
    <w:rsidRoot w:val="00F34B14"/>
    <w:rsid w:val="0000107C"/>
    <w:rsid w:val="000011B8"/>
    <w:rsid w:val="000026A6"/>
    <w:rsid w:val="00002C09"/>
    <w:rsid w:val="00003398"/>
    <w:rsid w:val="00004F65"/>
    <w:rsid w:val="0000508C"/>
    <w:rsid w:val="00010792"/>
    <w:rsid w:val="00011784"/>
    <w:rsid w:val="0001229F"/>
    <w:rsid w:val="00013C37"/>
    <w:rsid w:val="000143D1"/>
    <w:rsid w:val="000155F3"/>
    <w:rsid w:val="0001579B"/>
    <w:rsid w:val="000172AE"/>
    <w:rsid w:val="000172BD"/>
    <w:rsid w:val="00017C9A"/>
    <w:rsid w:val="0002013E"/>
    <w:rsid w:val="00020C33"/>
    <w:rsid w:val="000212B7"/>
    <w:rsid w:val="0002259A"/>
    <w:rsid w:val="00025A4E"/>
    <w:rsid w:val="00026087"/>
    <w:rsid w:val="00026A87"/>
    <w:rsid w:val="00026F3C"/>
    <w:rsid w:val="00027231"/>
    <w:rsid w:val="00030267"/>
    <w:rsid w:val="00030467"/>
    <w:rsid w:val="00032678"/>
    <w:rsid w:val="000332FF"/>
    <w:rsid w:val="00033730"/>
    <w:rsid w:val="00033D04"/>
    <w:rsid w:val="00034008"/>
    <w:rsid w:val="00034C60"/>
    <w:rsid w:val="00034E10"/>
    <w:rsid w:val="00034EF2"/>
    <w:rsid w:val="000352DA"/>
    <w:rsid w:val="000360BE"/>
    <w:rsid w:val="0003699B"/>
    <w:rsid w:val="00042591"/>
    <w:rsid w:val="0004259C"/>
    <w:rsid w:val="00042686"/>
    <w:rsid w:val="000428FC"/>
    <w:rsid w:val="00042D75"/>
    <w:rsid w:val="0004313D"/>
    <w:rsid w:val="000437B0"/>
    <w:rsid w:val="000443D3"/>
    <w:rsid w:val="00045B1F"/>
    <w:rsid w:val="000467A1"/>
    <w:rsid w:val="00047716"/>
    <w:rsid w:val="0005045A"/>
    <w:rsid w:val="0005101C"/>
    <w:rsid w:val="00053666"/>
    <w:rsid w:val="00053B43"/>
    <w:rsid w:val="00055A3A"/>
    <w:rsid w:val="00055E65"/>
    <w:rsid w:val="0005641F"/>
    <w:rsid w:val="00057834"/>
    <w:rsid w:val="00057C99"/>
    <w:rsid w:val="00060827"/>
    <w:rsid w:val="00060BBD"/>
    <w:rsid w:val="0006234D"/>
    <w:rsid w:val="000627EC"/>
    <w:rsid w:val="00062D17"/>
    <w:rsid w:val="00063E13"/>
    <w:rsid w:val="00064CC4"/>
    <w:rsid w:val="00065E3B"/>
    <w:rsid w:val="00066A12"/>
    <w:rsid w:val="00066A4C"/>
    <w:rsid w:val="00066A8D"/>
    <w:rsid w:val="00070197"/>
    <w:rsid w:val="00070231"/>
    <w:rsid w:val="00070742"/>
    <w:rsid w:val="000713E9"/>
    <w:rsid w:val="0007165F"/>
    <w:rsid w:val="000726BD"/>
    <w:rsid w:val="00072CDF"/>
    <w:rsid w:val="00072DB5"/>
    <w:rsid w:val="00074A85"/>
    <w:rsid w:val="00076421"/>
    <w:rsid w:val="00076E36"/>
    <w:rsid w:val="00076FC7"/>
    <w:rsid w:val="0008056D"/>
    <w:rsid w:val="00080A21"/>
    <w:rsid w:val="00080D26"/>
    <w:rsid w:val="00081BD7"/>
    <w:rsid w:val="0008347E"/>
    <w:rsid w:val="000847F0"/>
    <w:rsid w:val="00092918"/>
    <w:rsid w:val="00092C1F"/>
    <w:rsid w:val="00092D28"/>
    <w:rsid w:val="000930F8"/>
    <w:rsid w:val="00094A94"/>
    <w:rsid w:val="00095F42"/>
    <w:rsid w:val="000963ED"/>
    <w:rsid w:val="00097C0F"/>
    <w:rsid w:val="000A7132"/>
    <w:rsid w:val="000A7FCC"/>
    <w:rsid w:val="000B04B1"/>
    <w:rsid w:val="000B0E86"/>
    <w:rsid w:val="000B1D2E"/>
    <w:rsid w:val="000B1F0B"/>
    <w:rsid w:val="000B2746"/>
    <w:rsid w:val="000B2A79"/>
    <w:rsid w:val="000B2B9B"/>
    <w:rsid w:val="000B3B19"/>
    <w:rsid w:val="000B3FC7"/>
    <w:rsid w:val="000B4544"/>
    <w:rsid w:val="000B4A4D"/>
    <w:rsid w:val="000B4DC9"/>
    <w:rsid w:val="000B66B4"/>
    <w:rsid w:val="000B6D99"/>
    <w:rsid w:val="000B7355"/>
    <w:rsid w:val="000B7EFF"/>
    <w:rsid w:val="000C078E"/>
    <w:rsid w:val="000C1093"/>
    <w:rsid w:val="000C181F"/>
    <w:rsid w:val="000C5387"/>
    <w:rsid w:val="000C5392"/>
    <w:rsid w:val="000C5676"/>
    <w:rsid w:val="000C5C80"/>
    <w:rsid w:val="000C5DD8"/>
    <w:rsid w:val="000C695D"/>
    <w:rsid w:val="000C6A08"/>
    <w:rsid w:val="000C790B"/>
    <w:rsid w:val="000D1A20"/>
    <w:rsid w:val="000D3A76"/>
    <w:rsid w:val="000D6499"/>
    <w:rsid w:val="000D7B04"/>
    <w:rsid w:val="000E0BDE"/>
    <w:rsid w:val="000E1401"/>
    <w:rsid w:val="000E1A86"/>
    <w:rsid w:val="000E356C"/>
    <w:rsid w:val="000E5175"/>
    <w:rsid w:val="000E57EC"/>
    <w:rsid w:val="000E66FC"/>
    <w:rsid w:val="000E7770"/>
    <w:rsid w:val="000E7E59"/>
    <w:rsid w:val="000F075B"/>
    <w:rsid w:val="000F0C37"/>
    <w:rsid w:val="000F102C"/>
    <w:rsid w:val="000F36DE"/>
    <w:rsid w:val="000F58D7"/>
    <w:rsid w:val="000F5A22"/>
    <w:rsid w:val="000F5AC1"/>
    <w:rsid w:val="000F6F80"/>
    <w:rsid w:val="000F7219"/>
    <w:rsid w:val="000F7DDD"/>
    <w:rsid w:val="001010D8"/>
    <w:rsid w:val="00102AA4"/>
    <w:rsid w:val="00103037"/>
    <w:rsid w:val="001040E5"/>
    <w:rsid w:val="001052CE"/>
    <w:rsid w:val="0010570F"/>
    <w:rsid w:val="001058C6"/>
    <w:rsid w:val="00105A91"/>
    <w:rsid w:val="001060CC"/>
    <w:rsid w:val="00106E5C"/>
    <w:rsid w:val="00110832"/>
    <w:rsid w:val="00110DCC"/>
    <w:rsid w:val="00112764"/>
    <w:rsid w:val="001128BD"/>
    <w:rsid w:val="00113637"/>
    <w:rsid w:val="00115509"/>
    <w:rsid w:val="001163B6"/>
    <w:rsid w:val="00116902"/>
    <w:rsid w:val="00116CD6"/>
    <w:rsid w:val="00120024"/>
    <w:rsid w:val="00121B78"/>
    <w:rsid w:val="001220B0"/>
    <w:rsid w:val="00122A03"/>
    <w:rsid w:val="00122A31"/>
    <w:rsid w:val="0012334E"/>
    <w:rsid w:val="00123E56"/>
    <w:rsid w:val="00123FF0"/>
    <w:rsid w:val="00124C96"/>
    <w:rsid w:val="00126817"/>
    <w:rsid w:val="0012735E"/>
    <w:rsid w:val="00127614"/>
    <w:rsid w:val="001300CF"/>
    <w:rsid w:val="00131890"/>
    <w:rsid w:val="0013232E"/>
    <w:rsid w:val="001325AA"/>
    <w:rsid w:val="00132ED7"/>
    <w:rsid w:val="00134BA0"/>
    <w:rsid w:val="001354D7"/>
    <w:rsid w:val="0013554B"/>
    <w:rsid w:val="00135823"/>
    <w:rsid w:val="00135C9D"/>
    <w:rsid w:val="00136A26"/>
    <w:rsid w:val="0013731B"/>
    <w:rsid w:val="001409BE"/>
    <w:rsid w:val="00140A12"/>
    <w:rsid w:val="0014157A"/>
    <w:rsid w:val="00142139"/>
    <w:rsid w:val="001421B4"/>
    <w:rsid w:val="00142E54"/>
    <w:rsid w:val="0014735B"/>
    <w:rsid w:val="001473A7"/>
    <w:rsid w:val="00152B4A"/>
    <w:rsid w:val="001533A1"/>
    <w:rsid w:val="001537C2"/>
    <w:rsid w:val="0015532E"/>
    <w:rsid w:val="00155A8C"/>
    <w:rsid w:val="00156E9E"/>
    <w:rsid w:val="00157A78"/>
    <w:rsid w:val="001606EC"/>
    <w:rsid w:val="001608D4"/>
    <w:rsid w:val="00160ADE"/>
    <w:rsid w:val="001626F8"/>
    <w:rsid w:val="00166EC3"/>
    <w:rsid w:val="00167503"/>
    <w:rsid w:val="0017045B"/>
    <w:rsid w:val="00170A25"/>
    <w:rsid w:val="00170F42"/>
    <w:rsid w:val="001717F1"/>
    <w:rsid w:val="001724CF"/>
    <w:rsid w:val="00172FA4"/>
    <w:rsid w:val="001741F1"/>
    <w:rsid w:val="001758F9"/>
    <w:rsid w:val="0017593A"/>
    <w:rsid w:val="00175B54"/>
    <w:rsid w:val="00175DA8"/>
    <w:rsid w:val="00176FFA"/>
    <w:rsid w:val="001770E0"/>
    <w:rsid w:val="001775E5"/>
    <w:rsid w:val="00177BAB"/>
    <w:rsid w:val="00177C2A"/>
    <w:rsid w:val="0018457F"/>
    <w:rsid w:val="00184D8B"/>
    <w:rsid w:val="00185240"/>
    <w:rsid w:val="0018606B"/>
    <w:rsid w:val="00187261"/>
    <w:rsid w:val="00192398"/>
    <w:rsid w:val="001928A0"/>
    <w:rsid w:val="00192B2D"/>
    <w:rsid w:val="00192FC1"/>
    <w:rsid w:val="001935D9"/>
    <w:rsid w:val="001947B5"/>
    <w:rsid w:val="001958E4"/>
    <w:rsid w:val="001959CF"/>
    <w:rsid w:val="00197075"/>
    <w:rsid w:val="001A033B"/>
    <w:rsid w:val="001A05D4"/>
    <w:rsid w:val="001A091E"/>
    <w:rsid w:val="001A14AB"/>
    <w:rsid w:val="001A1B92"/>
    <w:rsid w:val="001A2CDB"/>
    <w:rsid w:val="001A3C4E"/>
    <w:rsid w:val="001A5069"/>
    <w:rsid w:val="001A5583"/>
    <w:rsid w:val="001A58BB"/>
    <w:rsid w:val="001A5C21"/>
    <w:rsid w:val="001A5E4C"/>
    <w:rsid w:val="001A6C23"/>
    <w:rsid w:val="001A76B3"/>
    <w:rsid w:val="001A7B0A"/>
    <w:rsid w:val="001B03EE"/>
    <w:rsid w:val="001B1D51"/>
    <w:rsid w:val="001B2387"/>
    <w:rsid w:val="001B26C6"/>
    <w:rsid w:val="001B300A"/>
    <w:rsid w:val="001B3FB1"/>
    <w:rsid w:val="001B5354"/>
    <w:rsid w:val="001B6C40"/>
    <w:rsid w:val="001B6CE7"/>
    <w:rsid w:val="001B72CD"/>
    <w:rsid w:val="001B7602"/>
    <w:rsid w:val="001C0021"/>
    <w:rsid w:val="001C0F0E"/>
    <w:rsid w:val="001C177B"/>
    <w:rsid w:val="001C2DDF"/>
    <w:rsid w:val="001C3384"/>
    <w:rsid w:val="001C4073"/>
    <w:rsid w:val="001C7123"/>
    <w:rsid w:val="001C76FE"/>
    <w:rsid w:val="001D0C7F"/>
    <w:rsid w:val="001D1D3D"/>
    <w:rsid w:val="001D20AF"/>
    <w:rsid w:val="001D2F09"/>
    <w:rsid w:val="001D2FE6"/>
    <w:rsid w:val="001D46F5"/>
    <w:rsid w:val="001D47BE"/>
    <w:rsid w:val="001D4D3C"/>
    <w:rsid w:val="001D4ECB"/>
    <w:rsid w:val="001D55BA"/>
    <w:rsid w:val="001D5A19"/>
    <w:rsid w:val="001D5F41"/>
    <w:rsid w:val="001D65FA"/>
    <w:rsid w:val="001E1648"/>
    <w:rsid w:val="001E2053"/>
    <w:rsid w:val="001E3EBB"/>
    <w:rsid w:val="001E5910"/>
    <w:rsid w:val="001E6347"/>
    <w:rsid w:val="001E77BA"/>
    <w:rsid w:val="001E79A0"/>
    <w:rsid w:val="001E79E3"/>
    <w:rsid w:val="001E7B32"/>
    <w:rsid w:val="001F1CD0"/>
    <w:rsid w:val="001F2581"/>
    <w:rsid w:val="001F2718"/>
    <w:rsid w:val="001F2DBE"/>
    <w:rsid w:val="001F2F66"/>
    <w:rsid w:val="001F362F"/>
    <w:rsid w:val="001F380C"/>
    <w:rsid w:val="001F3C15"/>
    <w:rsid w:val="001F4669"/>
    <w:rsid w:val="001F63E9"/>
    <w:rsid w:val="002001B6"/>
    <w:rsid w:val="00200D9E"/>
    <w:rsid w:val="002011DB"/>
    <w:rsid w:val="0020160B"/>
    <w:rsid w:val="00201D06"/>
    <w:rsid w:val="00201EF1"/>
    <w:rsid w:val="00203A09"/>
    <w:rsid w:val="0020470C"/>
    <w:rsid w:val="00206291"/>
    <w:rsid w:val="00206ACB"/>
    <w:rsid w:val="002077D7"/>
    <w:rsid w:val="00207A3B"/>
    <w:rsid w:val="002109B7"/>
    <w:rsid w:val="002109D5"/>
    <w:rsid w:val="0021129E"/>
    <w:rsid w:val="00211A1D"/>
    <w:rsid w:val="00211D2A"/>
    <w:rsid w:val="00213C42"/>
    <w:rsid w:val="00213D9A"/>
    <w:rsid w:val="0021446C"/>
    <w:rsid w:val="00214D63"/>
    <w:rsid w:val="00215BB2"/>
    <w:rsid w:val="00215E48"/>
    <w:rsid w:val="00220487"/>
    <w:rsid w:val="002209B0"/>
    <w:rsid w:val="002212F6"/>
    <w:rsid w:val="00223DAA"/>
    <w:rsid w:val="00224C0A"/>
    <w:rsid w:val="00225A7F"/>
    <w:rsid w:val="00225AA9"/>
    <w:rsid w:val="0023067E"/>
    <w:rsid w:val="0023094B"/>
    <w:rsid w:val="00232562"/>
    <w:rsid w:val="00232937"/>
    <w:rsid w:val="00232A2B"/>
    <w:rsid w:val="00233151"/>
    <w:rsid w:val="0023428C"/>
    <w:rsid w:val="002344C9"/>
    <w:rsid w:val="00235006"/>
    <w:rsid w:val="00236879"/>
    <w:rsid w:val="00237D50"/>
    <w:rsid w:val="00240326"/>
    <w:rsid w:val="00246952"/>
    <w:rsid w:val="002470E4"/>
    <w:rsid w:val="00247A62"/>
    <w:rsid w:val="00247BB9"/>
    <w:rsid w:val="00247C79"/>
    <w:rsid w:val="00250C0A"/>
    <w:rsid w:val="0025166F"/>
    <w:rsid w:val="00252204"/>
    <w:rsid w:val="00252C3A"/>
    <w:rsid w:val="00253BFE"/>
    <w:rsid w:val="00253E6E"/>
    <w:rsid w:val="00253F81"/>
    <w:rsid w:val="00254328"/>
    <w:rsid w:val="0025539F"/>
    <w:rsid w:val="00255F73"/>
    <w:rsid w:val="00256328"/>
    <w:rsid w:val="00256C56"/>
    <w:rsid w:val="002605F9"/>
    <w:rsid w:val="00261342"/>
    <w:rsid w:val="002637F4"/>
    <w:rsid w:val="00264C13"/>
    <w:rsid w:val="00264DEB"/>
    <w:rsid w:val="00265188"/>
    <w:rsid w:val="002656B6"/>
    <w:rsid w:val="0026597F"/>
    <w:rsid w:val="002663A1"/>
    <w:rsid w:val="00266A19"/>
    <w:rsid w:val="00266D39"/>
    <w:rsid w:val="00267178"/>
    <w:rsid w:val="0027173C"/>
    <w:rsid w:val="00273A77"/>
    <w:rsid w:val="00274DBE"/>
    <w:rsid w:val="00275679"/>
    <w:rsid w:val="00276534"/>
    <w:rsid w:val="00276874"/>
    <w:rsid w:val="0027790E"/>
    <w:rsid w:val="002800C1"/>
    <w:rsid w:val="00281150"/>
    <w:rsid w:val="002816EA"/>
    <w:rsid w:val="00282095"/>
    <w:rsid w:val="0028397D"/>
    <w:rsid w:val="00283D81"/>
    <w:rsid w:val="00285B16"/>
    <w:rsid w:val="00285F08"/>
    <w:rsid w:val="002866DC"/>
    <w:rsid w:val="00290A8A"/>
    <w:rsid w:val="00291EC7"/>
    <w:rsid w:val="002922BF"/>
    <w:rsid w:val="00293296"/>
    <w:rsid w:val="00293305"/>
    <w:rsid w:val="00294A7B"/>
    <w:rsid w:val="002950F8"/>
    <w:rsid w:val="00296A5E"/>
    <w:rsid w:val="00296BD5"/>
    <w:rsid w:val="002A027D"/>
    <w:rsid w:val="002A0586"/>
    <w:rsid w:val="002A12DF"/>
    <w:rsid w:val="002A1514"/>
    <w:rsid w:val="002A2471"/>
    <w:rsid w:val="002A28D0"/>
    <w:rsid w:val="002A3312"/>
    <w:rsid w:val="002A4030"/>
    <w:rsid w:val="002A43CC"/>
    <w:rsid w:val="002A4A77"/>
    <w:rsid w:val="002A5959"/>
    <w:rsid w:val="002A5E64"/>
    <w:rsid w:val="002A78E4"/>
    <w:rsid w:val="002B0603"/>
    <w:rsid w:val="002B0768"/>
    <w:rsid w:val="002B13F2"/>
    <w:rsid w:val="002B3A25"/>
    <w:rsid w:val="002B5897"/>
    <w:rsid w:val="002B5931"/>
    <w:rsid w:val="002B625E"/>
    <w:rsid w:val="002B6694"/>
    <w:rsid w:val="002B7A2A"/>
    <w:rsid w:val="002C030A"/>
    <w:rsid w:val="002C22B6"/>
    <w:rsid w:val="002C246F"/>
    <w:rsid w:val="002C264D"/>
    <w:rsid w:val="002C5729"/>
    <w:rsid w:val="002C64F2"/>
    <w:rsid w:val="002C7689"/>
    <w:rsid w:val="002D091E"/>
    <w:rsid w:val="002D1606"/>
    <w:rsid w:val="002D1EBE"/>
    <w:rsid w:val="002D2B25"/>
    <w:rsid w:val="002D31E1"/>
    <w:rsid w:val="002D74CB"/>
    <w:rsid w:val="002D78D1"/>
    <w:rsid w:val="002E0A2A"/>
    <w:rsid w:val="002E167C"/>
    <w:rsid w:val="002E2040"/>
    <w:rsid w:val="002E2F26"/>
    <w:rsid w:val="002E3A7D"/>
    <w:rsid w:val="002E41C1"/>
    <w:rsid w:val="002E515D"/>
    <w:rsid w:val="002E55F5"/>
    <w:rsid w:val="002E62B6"/>
    <w:rsid w:val="002E6C66"/>
    <w:rsid w:val="002E7614"/>
    <w:rsid w:val="002E7BF9"/>
    <w:rsid w:val="002F193A"/>
    <w:rsid w:val="002F27D6"/>
    <w:rsid w:val="002F5004"/>
    <w:rsid w:val="002F61C4"/>
    <w:rsid w:val="002F6D0F"/>
    <w:rsid w:val="003006BE"/>
    <w:rsid w:val="00301C4E"/>
    <w:rsid w:val="00302205"/>
    <w:rsid w:val="00302A9B"/>
    <w:rsid w:val="00303983"/>
    <w:rsid w:val="00303AED"/>
    <w:rsid w:val="00303B34"/>
    <w:rsid w:val="00303E5E"/>
    <w:rsid w:val="00304006"/>
    <w:rsid w:val="003050C5"/>
    <w:rsid w:val="00305816"/>
    <w:rsid w:val="00306A2F"/>
    <w:rsid w:val="0030722E"/>
    <w:rsid w:val="00310E59"/>
    <w:rsid w:val="00311310"/>
    <w:rsid w:val="00311531"/>
    <w:rsid w:val="003124BB"/>
    <w:rsid w:val="00313994"/>
    <w:rsid w:val="00313D40"/>
    <w:rsid w:val="00314E24"/>
    <w:rsid w:val="00315579"/>
    <w:rsid w:val="00315AB7"/>
    <w:rsid w:val="00315B8A"/>
    <w:rsid w:val="0031656C"/>
    <w:rsid w:val="0031673C"/>
    <w:rsid w:val="00320D23"/>
    <w:rsid w:val="0032276F"/>
    <w:rsid w:val="003241B6"/>
    <w:rsid w:val="003249B5"/>
    <w:rsid w:val="0032534D"/>
    <w:rsid w:val="0032546A"/>
    <w:rsid w:val="003256E3"/>
    <w:rsid w:val="00325979"/>
    <w:rsid w:val="003264EA"/>
    <w:rsid w:val="00330139"/>
    <w:rsid w:val="0033086B"/>
    <w:rsid w:val="0033262A"/>
    <w:rsid w:val="00332C80"/>
    <w:rsid w:val="00332F1D"/>
    <w:rsid w:val="0033360C"/>
    <w:rsid w:val="00333FB8"/>
    <w:rsid w:val="00334BF2"/>
    <w:rsid w:val="00334C01"/>
    <w:rsid w:val="00334F10"/>
    <w:rsid w:val="00335E68"/>
    <w:rsid w:val="00337A5E"/>
    <w:rsid w:val="00340285"/>
    <w:rsid w:val="003413E0"/>
    <w:rsid w:val="003427B2"/>
    <w:rsid w:val="00345B52"/>
    <w:rsid w:val="00345C3A"/>
    <w:rsid w:val="00345FAA"/>
    <w:rsid w:val="0034694E"/>
    <w:rsid w:val="00346C22"/>
    <w:rsid w:val="00350136"/>
    <w:rsid w:val="00350D57"/>
    <w:rsid w:val="00353290"/>
    <w:rsid w:val="00353DD5"/>
    <w:rsid w:val="003559B2"/>
    <w:rsid w:val="00357204"/>
    <w:rsid w:val="0035797F"/>
    <w:rsid w:val="00357E4E"/>
    <w:rsid w:val="00361D62"/>
    <w:rsid w:val="003627A7"/>
    <w:rsid w:val="0036374B"/>
    <w:rsid w:val="00365953"/>
    <w:rsid w:val="00370622"/>
    <w:rsid w:val="00371E3E"/>
    <w:rsid w:val="0037397C"/>
    <w:rsid w:val="003740DE"/>
    <w:rsid w:val="00377D4B"/>
    <w:rsid w:val="00381575"/>
    <w:rsid w:val="00381DA3"/>
    <w:rsid w:val="00381E15"/>
    <w:rsid w:val="00381F4B"/>
    <w:rsid w:val="003822CD"/>
    <w:rsid w:val="00383413"/>
    <w:rsid w:val="003837CD"/>
    <w:rsid w:val="003838B3"/>
    <w:rsid w:val="003848A3"/>
    <w:rsid w:val="00385330"/>
    <w:rsid w:val="0038562D"/>
    <w:rsid w:val="0038662D"/>
    <w:rsid w:val="00386C04"/>
    <w:rsid w:val="0039072D"/>
    <w:rsid w:val="00390897"/>
    <w:rsid w:val="00390E4D"/>
    <w:rsid w:val="00391561"/>
    <w:rsid w:val="003915AA"/>
    <w:rsid w:val="00391C4F"/>
    <w:rsid w:val="003933C0"/>
    <w:rsid w:val="003950DB"/>
    <w:rsid w:val="00395884"/>
    <w:rsid w:val="003A0892"/>
    <w:rsid w:val="003A1A22"/>
    <w:rsid w:val="003A1A43"/>
    <w:rsid w:val="003A231D"/>
    <w:rsid w:val="003A25FE"/>
    <w:rsid w:val="003A2B5B"/>
    <w:rsid w:val="003A2B67"/>
    <w:rsid w:val="003A2BEC"/>
    <w:rsid w:val="003A3614"/>
    <w:rsid w:val="003A36D5"/>
    <w:rsid w:val="003A44AC"/>
    <w:rsid w:val="003A4A9B"/>
    <w:rsid w:val="003A6E2C"/>
    <w:rsid w:val="003A78C1"/>
    <w:rsid w:val="003B0457"/>
    <w:rsid w:val="003B0847"/>
    <w:rsid w:val="003B0FA9"/>
    <w:rsid w:val="003B2CB1"/>
    <w:rsid w:val="003B344F"/>
    <w:rsid w:val="003B34B6"/>
    <w:rsid w:val="003B3F5D"/>
    <w:rsid w:val="003B4213"/>
    <w:rsid w:val="003B4569"/>
    <w:rsid w:val="003B4C76"/>
    <w:rsid w:val="003C0081"/>
    <w:rsid w:val="003C076C"/>
    <w:rsid w:val="003C1374"/>
    <w:rsid w:val="003C175C"/>
    <w:rsid w:val="003C1B83"/>
    <w:rsid w:val="003C2A44"/>
    <w:rsid w:val="003C351D"/>
    <w:rsid w:val="003C3D72"/>
    <w:rsid w:val="003C3E13"/>
    <w:rsid w:val="003C40AD"/>
    <w:rsid w:val="003C6D8B"/>
    <w:rsid w:val="003C775B"/>
    <w:rsid w:val="003D1930"/>
    <w:rsid w:val="003D1941"/>
    <w:rsid w:val="003D272E"/>
    <w:rsid w:val="003D283B"/>
    <w:rsid w:val="003D482F"/>
    <w:rsid w:val="003D4D62"/>
    <w:rsid w:val="003D52D9"/>
    <w:rsid w:val="003D5426"/>
    <w:rsid w:val="003D5C69"/>
    <w:rsid w:val="003D5D9F"/>
    <w:rsid w:val="003E0CC5"/>
    <w:rsid w:val="003E1F6A"/>
    <w:rsid w:val="003E2EF0"/>
    <w:rsid w:val="003E49E6"/>
    <w:rsid w:val="003E4D75"/>
    <w:rsid w:val="003E5563"/>
    <w:rsid w:val="003E55E7"/>
    <w:rsid w:val="003E60E1"/>
    <w:rsid w:val="003E63A6"/>
    <w:rsid w:val="003F08C0"/>
    <w:rsid w:val="003F0BCF"/>
    <w:rsid w:val="003F0C3B"/>
    <w:rsid w:val="003F1B20"/>
    <w:rsid w:val="003F231F"/>
    <w:rsid w:val="003F272B"/>
    <w:rsid w:val="003F3006"/>
    <w:rsid w:val="003F304E"/>
    <w:rsid w:val="003F39E3"/>
    <w:rsid w:val="003F4892"/>
    <w:rsid w:val="003F5709"/>
    <w:rsid w:val="003F59AA"/>
    <w:rsid w:val="003F5B10"/>
    <w:rsid w:val="003F5B1A"/>
    <w:rsid w:val="003F63DA"/>
    <w:rsid w:val="003F6B0A"/>
    <w:rsid w:val="003F713A"/>
    <w:rsid w:val="00400A3C"/>
    <w:rsid w:val="00400AFB"/>
    <w:rsid w:val="0040158D"/>
    <w:rsid w:val="00401B0E"/>
    <w:rsid w:val="00401FE7"/>
    <w:rsid w:val="00402065"/>
    <w:rsid w:val="004023B2"/>
    <w:rsid w:val="00403483"/>
    <w:rsid w:val="00404244"/>
    <w:rsid w:val="0040448D"/>
    <w:rsid w:val="00406961"/>
    <w:rsid w:val="00407213"/>
    <w:rsid w:val="00407BF2"/>
    <w:rsid w:val="00407DB6"/>
    <w:rsid w:val="0041161C"/>
    <w:rsid w:val="00411BF5"/>
    <w:rsid w:val="00411D55"/>
    <w:rsid w:val="00411FF3"/>
    <w:rsid w:val="0041360B"/>
    <w:rsid w:val="00415D56"/>
    <w:rsid w:val="0041633F"/>
    <w:rsid w:val="0042297D"/>
    <w:rsid w:val="00425ED0"/>
    <w:rsid w:val="00426A86"/>
    <w:rsid w:val="00426DDE"/>
    <w:rsid w:val="00427333"/>
    <w:rsid w:val="004278DD"/>
    <w:rsid w:val="00427D33"/>
    <w:rsid w:val="00430705"/>
    <w:rsid w:val="00430775"/>
    <w:rsid w:val="004328B3"/>
    <w:rsid w:val="004340DE"/>
    <w:rsid w:val="0043557F"/>
    <w:rsid w:val="00435889"/>
    <w:rsid w:val="00435BBB"/>
    <w:rsid w:val="0043662F"/>
    <w:rsid w:val="004367B3"/>
    <w:rsid w:val="00436DB8"/>
    <w:rsid w:val="0044062D"/>
    <w:rsid w:val="00440CB2"/>
    <w:rsid w:val="00441452"/>
    <w:rsid w:val="0044198E"/>
    <w:rsid w:val="0044273E"/>
    <w:rsid w:val="00442F49"/>
    <w:rsid w:val="00443764"/>
    <w:rsid w:val="00444473"/>
    <w:rsid w:val="00444F49"/>
    <w:rsid w:val="00445F2B"/>
    <w:rsid w:val="00446646"/>
    <w:rsid w:val="00446D3D"/>
    <w:rsid w:val="00447AE6"/>
    <w:rsid w:val="00451CB9"/>
    <w:rsid w:val="00453939"/>
    <w:rsid w:val="00453A26"/>
    <w:rsid w:val="00454DDE"/>
    <w:rsid w:val="004579A0"/>
    <w:rsid w:val="0046252A"/>
    <w:rsid w:val="00462D62"/>
    <w:rsid w:val="00463A91"/>
    <w:rsid w:val="00465D69"/>
    <w:rsid w:val="00465ED5"/>
    <w:rsid w:val="00466356"/>
    <w:rsid w:val="004676D2"/>
    <w:rsid w:val="004678C1"/>
    <w:rsid w:val="00470403"/>
    <w:rsid w:val="00470C1E"/>
    <w:rsid w:val="004711C9"/>
    <w:rsid w:val="0047153C"/>
    <w:rsid w:val="00471DE9"/>
    <w:rsid w:val="00471F41"/>
    <w:rsid w:val="00472801"/>
    <w:rsid w:val="00472C39"/>
    <w:rsid w:val="0047315F"/>
    <w:rsid w:val="00473A1B"/>
    <w:rsid w:val="00474F8F"/>
    <w:rsid w:val="004753EE"/>
    <w:rsid w:val="00475724"/>
    <w:rsid w:val="0047581D"/>
    <w:rsid w:val="0047656F"/>
    <w:rsid w:val="00480DB3"/>
    <w:rsid w:val="00481F7F"/>
    <w:rsid w:val="00483C67"/>
    <w:rsid w:val="00484774"/>
    <w:rsid w:val="00484B78"/>
    <w:rsid w:val="00485133"/>
    <w:rsid w:val="00487C7B"/>
    <w:rsid w:val="004904A3"/>
    <w:rsid w:val="0049170A"/>
    <w:rsid w:val="0049191C"/>
    <w:rsid w:val="00491E2E"/>
    <w:rsid w:val="00492015"/>
    <w:rsid w:val="00492768"/>
    <w:rsid w:val="00494F19"/>
    <w:rsid w:val="00495413"/>
    <w:rsid w:val="00495934"/>
    <w:rsid w:val="004969A3"/>
    <w:rsid w:val="0049739D"/>
    <w:rsid w:val="00497452"/>
    <w:rsid w:val="004A0045"/>
    <w:rsid w:val="004A01CE"/>
    <w:rsid w:val="004A0BF7"/>
    <w:rsid w:val="004A15A0"/>
    <w:rsid w:val="004A2962"/>
    <w:rsid w:val="004A3BB9"/>
    <w:rsid w:val="004A4E8C"/>
    <w:rsid w:val="004A5193"/>
    <w:rsid w:val="004A51C8"/>
    <w:rsid w:val="004A62F6"/>
    <w:rsid w:val="004A7100"/>
    <w:rsid w:val="004A7666"/>
    <w:rsid w:val="004B01DC"/>
    <w:rsid w:val="004B103F"/>
    <w:rsid w:val="004B1BED"/>
    <w:rsid w:val="004B2880"/>
    <w:rsid w:val="004B3A98"/>
    <w:rsid w:val="004B4333"/>
    <w:rsid w:val="004B47D2"/>
    <w:rsid w:val="004B51A9"/>
    <w:rsid w:val="004B5200"/>
    <w:rsid w:val="004B5334"/>
    <w:rsid w:val="004C1A8A"/>
    <w:rsid w:val="004C1CCC"/>
    <w:rsid w:val="004C2419"/>
    <w:rsid w:val="004C319D"/>
    <w:rsid w:val="004C3888"/>
    <w:rsid w:val="004C3D08"/>
    <w:rsid w:val="004C5E8B"/>
    <w:rsid w:val="004C6E35"/>
    <w:rsid w:val="004C6EB2"/>
    <w:rsid w:val="004C7541"/>
    <w:rsid w:val="004C758E"/>
    <w:rsid w:val="004C79B5"/>
    <w:rsid w:val="004D040B"/>
    <w:rsid w:val="004D19A0"/>
    <w:rsid w:val="004D4F36"/>
    <w:rsid w:val="004D5144"/>
    <w:rsid w:val="004D6DC6"/>
    <w:rsid w:val="004D7058"/>
    <w:rsid w:val="004D7D7B"/>
    <w:rsid w:val="004E0537"/>
    <w:rsid w:val="004E0D6A"/>
    <w:rsid w:val="004E0D9F"/>
    <w:rsid w:val="004E0F3C"/>
    <w:rsid w:val="004E140E"/>
    <w:rsid w:val="004E163D"/>
    <w:rsid w:val="004E173D"/>
    <w:rsid w:val="004E1A54"/>
    <w:rsid w:val="004E1B51"/>
    <w:rsid w:val="004E210D"/>
    <w:rsid w:val="004E2862"/>
    <w:rsid w:val="004E2FD5"/>
    <w:rsid w:val="004E3675"/>
    <w:rsid w:val="004E41D7"/>
    <w:rsid w:val="004E59D2"/>
    <w:rsid w:val="004E5DCD"/>
    <w:rsid w:val="004E6195"/>
    <w:rsid w:val="004E7184"/>
    <w:rsid w:val="004F1E9B"/>
    <w:rsid w:val="004F2607"/>
    <w:rsid w:val="004F2FB9"/>
    <w:rsid w:val="004F3039"/>
    <w:rsid w:val="004F343A"/>
    <w:rsid w:val="004F5347"/>
    <w:rsid w:val="004F56D1"/>
    <w:rsid w:val="004F56F6"/>
    <w:rsid w:val="004F5919"/>
    <w:rsid w:val="004F6664"/>
    <w:rsid w:val="004F7520"/>
    <w:rsid w:val="0050011B"/>
    <w:rsid w:val="005007C8"/>
    <w:rsid w:val="00501534"/>
    <w:rsid w:val="00501C36"/>
    <w:rsid w:val="0050244D"/>
    <w:rsid w:val="005026B6"/>
    <w:rsid w:val="005028CE"/>
    <w:rsid w:val="00502958"/>
    <w:rsid w:val="00502EB4"/>
    <w:rsid w:val="005040BC"/>
    <w:rsid w:val="005049D7"/>
    <w:rsid w:val="005066DC"/>
    <w:rsid w:val="005069B8"/>
    <w:rsid w:val="00506CFD"/>
    <w:rsid w:val="00506DFA"/>
    <w:rsid w:val="00506FE4"/>
    <w:rsid w:val="00507145"/>
    <w:rsid w:val="0050727E"/>
    <w:rsid w:val="00507D60"/>
    <w:rsid w:val="005101A5"/>
    <w:rsid w:val="00512A15"/>
    <w:rsid w:val="00513D00"/>
    <w:rsid w:val="00513FEA"/>
    <w:rsid w:val="0051494D"/>
    <w:rsid w:val="00514980"/>
    <w:rsid w:val="00515B11"/>
    <w:rsid w:val="005160B3"/>
    <w:rsid w:val="00516D18"/>
    <w:rsid w:val="005201BC"/>
    <w:rsid w:val="005205E1"/>
    <w:rsid w:val="005248BE"/>
    <w:rsid w:val="005249A0"/>
    <w:rsid w:val="0052509C"/>
    <w:rsid w:val="00525CE8"/>
    <w:rsid w:val="0052646F"/>
    <w:rsid w:val="005273FD"/>
    <w:rsid w:val="0053031A"/>
    <w:rsid w:val="00531504"/>
    <w:rsid w:val="00532A34"/>
    <w:rsid w:val="00532E21"/>
    <w:rsid w:val="0053304B"/>
    <w:rsid w:val="0053330A"/>
    <w:rsid w:val="00533538"/>
    <w:rsid w:val="0053392D"/>
    <w:rsid w:val="00533CA0"/>
    <w:rsid w:val="00535147"/>
    <w:rsid w:val="00535D47"/>
    <w:rsid w:val="00536B6F"/>
    <w:rsid w:val="005372DD"/>
    <w:rsid w:val="0053758F"/>
    <w:rsid w:val="00537AC7"/>
    <w:rsid w:val="00540762"/>
    <w:rsid w:val="005412AF"/>
    <w:rsid w:val="005417B3"/>
    <w:rsid w:val="00542215"/>
    <w:rsid w:val="00543947"/>
    <w:rsid w:val="00544FFB"/>
    <w:rsid w:val="00546B0D"/>
    <w:rsid w:val="0054715A"/>
    <w:rsid w:val="00550437"/>
    <w:rsid w:val="005504F6"/>
    <w:rsid w:val="0055060B"/>
    <w:rsid w:val="00550E6A"/>
    <w:rsid w:val="0055135F"/>
    <w:rsid w:val="00551BBB"/>
    <w:rsid w:val="005523D6"/>
    <w:rsid w:val="00554B80"/>
    <w:rsid w:val="00555063"/>
    <w:rsid w:val="005558A8"/>
    <w:rsid w:val="005600E2"/>
    <w:rsid w:val="00561D41"/>
    <w:rsid w:val="00562405"/>
    <w:rsid w:val="00563427"/>
    <w:rsid w:val="00563932"/>
    <w:rsid w:val="005643BF"/>
    <w:rsid w:val="00565466"/>
    <w:rsid w:val="005663FC"/>
    <w:rsid w:val="00567276"/>
    <w:rsid w:val="005675DE"/>
    <w:rsid w:val="00567BD3"/>
    <w:rsid w:val="00571672"/>
    <w:rsid w:val="00572289"/>
    <w:rsid w:val="005734B0"/>
    <w:rsid w:val="00573ABA"/>
    <w:rsid w:val="00574C23"/>
    <w:rsid w:val="00574FFD"/>
    <w:rsid w:val="0057596F"/>
    <w:rsid w:val="005764A7"/>
    <w:rsid w:val="00576EE4"/>
    <w:rsid w:val="005770EF"/>
    <w:rsid w:val="00577975"/>
    <w:rsid w:val="0058125D"/>
    <w:rsid w:val="00581DCE"/>
    <w:rsid w:val="005827CF"/>
    <w:rsid w:val="00582CC8"/>
    <w:rsid w:val="0058381A"/>
    <w:rsid w:val="005852B7"/>
    <w:rsid w:val="005855CA"/>
    <w:rsid w:val="005864C8"/>
    <w:rsid w:val="00586B2C"/>
    <w:rsid w:val="00586FD1"/>
    <w:rsid w:val="00587356"/>
    <w:rsid w:val="005874D7"/>
    <w:rsid w:val="00587F0B"/>
    <w:rsid w:val="005900D5"/>
    <w:rsid w:val="0059056C"/>
    <w:rsid w:val="00591BCD"/>
    <w:rsid w:val="00592A3B"/>
    <w:rsid w:val="00592AE7"/>
    <w:rsid w:val="00592DA4"/>
    <w:rsid w:val="00592F20"/>
    <w:rsid w:val="005938A7"/>
    <w:rsid w:val="00593EC4"/>
    <w:rsid w:val="00594C68"/>
    <w:rsid w:val="00596180"/>
    <w:rsid w:val="005968D1"/>
    <w:rsid w:val="00596FFB"/>
    <w:rsid w:val="005A0860"/>
    <w:rsid w:val="005A18FA"/>
    <w:rsid w:val="005A1C39"/>
    <w:rsid w:val="005A1E29"/>
    <w:rsid w:val="005A2C4E"/>
    <w:rsid w:val="005A36AB"/>
    <w:rsid w:val="005A55EB"/>
    <w:rsid w:val="005A6412"/>
    <w:rsid w:val="005A7DA2"/>
    <w:rsid w:val="005A7DAC"/>
    <w:rsid w:val="005B0235"/>
    <w:rsid w:val="005B0907"/>
    <w:rsid w:val="005B11A9"/>
    <w:rsid w:val="005B15A2"/>
    <w:rsid w:val="005B1A36"/>
    <w:rsid w:val="005B1BE1"/>
    <w:rsid w:val="005B1CA1"/>
    <w:rsid w:val="005B2115"/>
    <w:rsid w:val="005B2274"/>
    <w:rsid w:val="005B2525"/>
    <w:rsid w:val="005B3DF9"/>
    <w:rsid w:val="005B4312"/>
    <w:rsid w:val="005B5218"/>
    <w:rsid w:val="005B57CC"/>
    <w:rsid w:val="005B5E92"/>
    <w:rsid w:val="005C06C6"/>
    <w:rsid w:val="005C0E8E"/>
    <w:rsid w:val="005C2C8F"/>
    <w:rsid w:val="005C3A22"/>
    <w:rsid w:val="005C3AB2"/>
    <w:rsid w:val="005C5C64"/>
    <w:rsid w:val="005C7415"/>
    <w:rsid w:val="005D2BF0"/>
    <w:rsid w:val="005D2F19"/>
    <w:rsid w:val="005D37C6"/>
    <w:rsid w:val="005D4607"/>
    <w:rsid w:val="005D4FF0"/>
    <w:rsid w:val="005D5670"/>
    <w:rsid w:val="005D5AC1"/>
    <w:rsid w:val="005E01CA"/>
    <w:rsid w:val="005E0431"/>
    <w:rsid w:val="005E0A0F"/>
    <w:rsid w:val="005E0F07"/>
    <w:rsid w:val="005E10CF"/>
    <w:rsid w:val="005E1866"/>
    <w:rsid w:val="005E3DCA"/>
    <w:rsid w:val="005E4425"/>
    <w:rsid w:val="005E4610"/>
    <w:rsid w:val="005E4748"/>
    <w:rsid w:val="005E4EFD"/>
    <w:rsid w:val="005E6D28"/>
    <w:rsid w:val="005E778B"/>
    <w:rsid w:val="005F0478"/>
    <w:rsid w:val="005F20BB"/>
    <w:rsid w:val="005F220E"/>
    <w:rsid w:val="005F5785"/>
    <w:rsid w:val="005F5B55"/>
    <w:rsid w:val="005F5CB8"/>
    <w:rsid w:val="005F5FCA"/>
    <w:rsid w:val="005F6D6D"/>
    <w:rsid w:val="005F75F7"/>
    <w:rsid w:val="005F7F13"/>
    <w:rsid w:val="006011B2"/>
    <w:rsid w:val="00602419"/>
    <w:rsid w:val="00603DC9"/>
    <w:rsid w:val="00605C37"/>
    <w:rsid w:val="00606266"/>
    <w:rsid w:val="00606999"/>
    <w:rsid w:val="00611FF5"/>
    <w:rsid w:val="00612C5B"/>
    <w:rsid w:val="00613848"/>
    <w:rsid w:val="0061420C"/>
    <w:rsid w:val="00614D66"/>
    <w:rsid w:val="006154C2"/>
    <w:rsid w:val="00616E95"/>
    <w:rsid w:val="00616FD0"/>
    <w:rsid w:val="00617304"/>
    <w:rsid w:val="0061742C"/>
    <w:rsid w:val="006174F1"/>
    <w:rsid w:val="0061764F"/>
    <w:rsid w:val="00617F60"/>
    <w:rsid w:val="00620432"/>
    <w:rsid w:val="00621508"/>
    <w:rsid w:val="006228A6"/>
    <w:rsid w:val="006238BA"/>
    <w:rsid w:val="0062499A"/>
    <w:rsid w:val="006249B8"/>
    <w:rsid w:val="006249E5"/>
    <w:rsid w:val="00624C1A"/>
    <w:rsid w:val="00627FAF"/>
    <w:rsid w:val="006312C1"/>
    <w:rsid w:val="006319E9"/>
    <w:rsid w:val="00631FFD"/>
    <w:rsid w:val="00632B23"/>
    <w:rsid w:val="006355D6"/>
    <w:rsid w:val="006367AB"/>
    <w:rsid w:val="00636E04"/>
    <w:rsid w:val="006371EA"/>
    <w:rsid w:val="006378E2"/>
    <w:rsid w:val="006411FD"/>
    <w:rsid w:val="0064139A"/>
    <w:rsid w:val="0064265A"/>
    <w:rsid w:val="00642853"/>
    <w:rsid w:val="00642C19"/>
    <w:rsid w:val="006433DA"/>
    <w:rsid w:val="00643A78"/>
    <w:rsid w:val="00643B6E"/>
    <w:rsid w:val="00643CF0"/>
    <w:rsid w:val="00644287"/>
    <w:rsid w:val="00645A79"/>
    <w:rsid w:val="00645B4D"/>
    <w:rsid w:val="006461DB"/>
    <w:rsid w:val="006474F3"/>
    <w:rsid w:val="00647ADB"/>
    <w:rsid w:val="0065034F"/>
    <w:rsid w:val="00650590"/>
    <w:rsid w:val="006508E5"/>
    <w:rsid w:val="00650AA8"/>
    <w:rsid w:val="0065120C"/>
    <w:rsid w:val="00652A89"/>
    <w:rsid w:val="0065488C"/>
    <w:rsid w:val="00654C77"/>
    <w:rsid w:val="0065792C"/>
    <w:rsid w:val="00657C12"/>
    <w:rsid w:val="00660D91"/>
    <w:rsid w:val="00661D84"/>
    <w:rsid w:val="00662D3C"/>
    <w:rsid w:val="006632A2"/>
    <w:rsid w:val="00663DBC"/>
    <w:rsid w:val="00663E6F"/>
    <w:rsid w:val="00663F2D"/>
    <w:rsid w:val="00665E88"/>
    <w:rsid w:val="0066608A"/>
    <w:rsid w:val="006668D1"/>
    <w:rsid w:val="00670018"/>
    <w:rsid w:val="006703E3"/>
    <w:rsid w:val="00670555"/>
    <w:rsid w:val="00670995"/>
    <w:rsid w:val="00670AC6"/>
    <w:rsid w:val="00670B64"/>
    <w:rsid w:val="006727CB"/>
    <w:rsid w:val="00673D70"/>
    <w:rsid w:val="00673F65"/>
    <w:rsid w:val="0067520C"/>
    <w:rsid w:val="006755F7"/>
    <w:rsid w:val="00675649"/>
    <w:rsid w:val="00676346"/>
    <w:rsid w:val="006769AC"/>
    <w:rsid w:val="00677C0D"/>
    <w:rsid w:val="00680333"/>
    <w:rsid w:val="00680658"/>
    <w:rsid w:val="00680DDD"/>
    <w:rsid w:val="00681B45"/>
    <w:rsid w:val="00681D0A"/>
    <w:rsid w:val="00683A78"/>
    <w:rsid w:val="00683AC7"/>
    <w:rsid w:val="00683F0C"/>
    <w:rsid w:val="006845D3"/>
    <w:rsid w:val="00684D94"/>
    <w:rsid w:val="00684ED1"/>
    <w:rsid w:val="006855DB"/>
    <w:rsid w:val="00686DAF"/>
    <w:rsid w:val="006901C0"/>
    <w:rsid w:val="006915E8"/>
    <w:rsid w:val="006931A2"/>
    <w:rsid w:val="0069346E"/>
    <w:rsid w:val="0069377E"/>
    <w:rsid w:val="00694CC7"/>
    <w:rsid w:val="006A0521"/>
    <w:rsid w:val="006A18DD"/>
    <w:rsid w:val="006A1E83"/>
    <w:rsid w:val="006A2C8C"/>
    <w:rsid w:val="006A3089"/>
    <w:rsid w:val="006A53D6"/>
    <w:rsid w:val="006A58E2"/>
    <w:rsid w:val="006A5B75"/>
    <w:rsid w:val="006A5B76"/>
    <w:rsid w:val="006A5F16"/>
    <w:rsid w:val="006A691B"/>
    <w:rsid w:val="006A6F99"/>
    <w:rsid w:val="006A7F90"/>
    <w:rsid w:val="006B0A1A"/>
    <w:rsid w:val="006B1BFE"/>
    <w:rsid w:val="006B1C0E"/>
    <w:rsid w:val="006B3C10"/>
    <w:rsid w:val="006B4CCC"/>
    <w:rsid w:val="006B7EDA"/>
    <w:rsid w:val="006C0BDE"/>
    <w:rsid w:val="006C0F76"/>
    <w:rsid w:val="006C18AB"/>
    <w:rsid w:val="006C1FEA"/>
    <w:rsid w:val="006C29F0"/>
    <w:rsid w:val="006C29F2"/>
    <w:rsid w:val="006C2B9D"/>
    <w:rsid w:val="006C3B5B"/>
    <w:rsid w:val="006C4445"/>
    <w:rsid w:val="006C575D"/>
    <w:rsid w:val="006C5C71"/>
    <w:rsid w:val="006C6961"/>
    <w:rsid w:val="006C70BE"/>
    <w:rsid w:val="006C7714"/>
    <w:rsid w:val="006D00A3"/>
    <w:rsid w:val="006D07CB"/>
    <w:rsid w:val="006D23A3"/>
    <w:rsid w:val="006D23BC"/>
    <w:rsid w:val="006D2C4A"/>
    <w:rsid w:val="006D364C"/>
    <w:rsid w:val="006D4793"/>
    <w:rsid w:val="006D4B35"/>
    <w:rsid w:val="006D5054"/>
    <w:rsid w:val="006D53EA"/>
    <w:rsid w:val="006D572F"/>
    <w:rsid w:val="006D57A6"/>
    <w:rsid w:val="006D70D5"/>
    <w:rsid w:val="006E0D67"/>
    <w:rsid w:val="006E3104"/>
    <w:rsid w:val="006E3838"/>
    <w:rsid w:val="006E408E"/>
    <w:rsid w:val="006E5D49"/>
    <w:rsid w:val="006E6AA1"/>
    <w:rsid w:val="006E79AC"/>
    <w:rsid w:val="006F06F0"/>
    <w:rsid w:val="006F0EE2"/>
    <w:rsid w:val="006F1728"/>
    <w:rsid w:val="006F1F24"/>
    <w:rsid w:val="006F462B"/>
    <w:rsid w:val="006F4C60"/>
    <w:rsid w:val="006F5BA4"/>
    <w:rsid w:val="006F6740"/>
    <w:rsid w:val="00700B6F"/>
    <w:rsid w:val="00701461"/>
    <w:rsid w:val="007014DE"/>
    <w:rsid w:val="00701990"/>
    <w:rsid w:val="00701BFF"/>
    <w:rsid w:val="00704683"/>
    <w:rsid w:val="00704C53"/>
    <w:rsid w:val="00704EDD"/>
    <w:rsid w:val="00705C1A"/>
    <w:rsid w:val="00705D42"/>
    <w:rsid w:val="007064E1"/>
    <w:rsid w:val="00707FE4"/>
    <w:rsid w:val="00711FA2"/>
    <w:rsid w:val="007126E6"/>
    <w:rsid w:val="00712C18"/>
    <w:rsid w:val="00714A54"/>
    <w:rsid w:val="00715C88"/>
    <w:rsid w:val="00716EE0"/>
    <w:rsid w:val="00717B6E"/>
    <w:rsid w:val="00720564"/>
    <w:rsid w:val="00721425"/>
    <w:rsid w:val="0072288F"/>
    <w:rsid w:val="00722AB1"/>
    <w:rsid w:val="00722FC9"/>
    <w:rsid w:val="00723203"/>
    <w:rsid w:val="007237AF"/>
    <w:rsid w:val="00723867"/>
    <w:rsid w:val="00723A84"/>
    <w:rsid w:val="00723E85"/>
    <w:rsid w:val="00723F4D"/>
    <w:rsid w:val="00725571"/>
    <w:rsid w:val="007259D2"/>
    <w:rsid w:val="00725F7D"/>
    <w:rsid w:val="0072679A"/>
    <w:rsid w:val="0072759F"/>
    <w:rsid w:val="00727AE5"/>
    <w:rsid w:val="00727D41"/>
    <w:rsid w:val="00730952"/>
    <w:rsid w:val="00730A38"/>
    <w:rsid w:val="00730B80"/>
    <w:rsid w:val="00730DE1"/>
    <w:rsid w:val="00731EA9"/>
    <w:rsid w:val="00732329"/>
    <w:rsid w:val="00734201"/>
    <w:rsid w:val="00734223"/>
    <w:rsid w:val="0073424C"/>
    <w:rsid w:val="0073550A"/>
    <w:rsid w:val="0073560E"/>
    <w:rsid w:val="007370DA"/>
    <w:rsid w:val="007405FC"/>
    <w:rsid w:val="00744E26"/>
    <w:rsid w:val="00745664"/>
    <w:rsid w:val="007456B2"/>
    <w:rsid w:val="00745F91"/>
    <w:rsid w:val="00746483"/>
    <w:rsid w:val="007466FF"/>
    <w:rsid w:val="007478BE"/>
    <w:rsid w:val="007508EF"/>
    <w:rsid w:val="0075112A"/>
    <w:rsid w:val="0076142B"/>
    <w:rsid w:val="00762EB8"/>
    <w:rsid w:val="007640FF"/>
    <w:rsid w:val="00764D8D"/>
    <w:rsid w:val="007666E8"/>
    <w:rsid w:val="007678E5"/>
    <w:rsid w:val="00767AF0"/>
    <w:rsid w:val="00771275"/>
    <w:rsid w:val="00772648"/>
    <w:rsid w:val="007733C7"/>
    <w:rsid w:val="007740FA"/>
    <w:rsid w:val="007750C2"/>
    <w:rsid w:val="00775C50"/>
    <w:rsid w:val="00775D9C"/>
    <w:rsid w:val="007776BE"/>
    <w:rsid w:val="00777BA9"/>
    <w:rsid w:val="00777D92"/>
    <w:rsid w:val="00777F0D"/>
    <w:rsid w:val="007811EC"/>
    <w:rsid w:val="007825B3"/>
    <w:rsid w:val="00782C58"/>
    <w:rsid w:val="00782EDA"/>
    <w:rsid w:val="00785CA0"/>
    <w:rsid w:val="007862EB"/>
    <w:rsid w:val="007865C0"/>
    <w:rsid w:val="0078673A"/>
    <w:rsid w:val="00787CB6"/>
    <w:rsid w:val="00787DB1"/>
    <w:rsid w:val="00790A2C"/>
    <w:rsid w:val="00790DDA"/>
    <w:rsid w:val="007922A9"/>
    <w:rsid w:val="00792A24"/>
    <w:rsid w:val="0079302C"/>
    <w:rsid w:val="007950D3"/>
    <w:rsid w:val="007966AB"/>
    <w:rsid w:val="007A0ECF"/>
    <w:rsid w:val="007A12DC"/>
    <w:rsid w:val="007A197D"/>
    <w:rsid w:val="007A23EA"/>
    <w:rsid w:val="007A2F07"/>
    <w:rsid w:val="007A3FB5"/>
    <w:rsid w:val="007A63D1"/>
    <w:rsid w:val="007A77D8"/>
    <w:rsid w:val="007B00E5"/>
    <w:rsid w:val="007B0392"/>
    <w:rsid w:val="007B260D"/>
    <w:rsid w:val="007B4621"/>
    <w:rsid w:val="007B46F9"/>
    <w:rsid w:val="007B570B"/>
    <w:rsid w:val="007B622C"/>
    <w:rsid w:val="007B70E5"/>
    <w:rsid w:val="007C1DDA"/>
    <w:rsid w:val="007C20AC"/>
    <w:rsid w:val="007C3A8A"/>
    <w:rsid w:val="007C3D5A"/>
    <w:rsid w:val="007C3EA1"/>
    <w:rsid w:val="007C4B08"/>
    <w:rsid w:val="007C4CFA"/>
    <w:rsid w:val="007C6062"/>
    <w:rsid w:val="007C65DD"/>
    <w:rsid w:val="007D0808"/>
    <w:rsid w:val="007D0842"/>
    <w:rsid w:val="007D1A2A"/>
    <w:rsid w:val="007D3A8A"/>
    <w:rsid w:val="007D4148"/>
    <w:rsid w:val="007D4BA6"/>
    <w:rsid w:val="007D5D78"/>
    <w:rsid w:val="007D60F2"/>
    <w:rsid w:val="007D6376"/>
    <w:rsid w:val="007D6CF9"/>
    <w:rsid w:val="007D6D0A"/>
    <w:rsid w:val="007E0037"/>
    <w:rsid w:val="007E04AA"/>
    <w:rsid w:val="007E0868"/>
    <w:rsid w:val="007E0C22"/>
    <w:rsid w:val="007E0C80"/>
    <w:rsid w:val="007E34E8"/>
    <w:rsid w:val="007E3944"/>
    <w:rsid w:val="007E39B2"/>
    <w:rsid w:val="007E3C81"/>
    <w:rsid w:val="007E4D01"/>
    <w:rsid w:val="007E61F9"/>
    <w:rsid w:val="007E68C7"/>
    <w:rsid w:val="007E7F65"/>
    <w:rsid w:val="007F0305"/>
    <w:rsid w:val="007F0393"/>
    <w:rsid w:val="007F1273"/>
    <w:rsid w:val="007F1988"/>
    <w:rsid w:val="007F1B21"/>
    <w:rsid w:val="007F24B8"/>
    <w:rsid w:val="007F3520"/>
    <w:rsid w:val="007F4566"/>
    <w:rsid w:val="007F55C4"/>
    <w:rsid w:val="007F6343"/>
    <w:rsid w:val="007F7B4B"/>
    <w:rsid w:val="007F7E6E"/>
    <w:rsid w:val="00800C0D"/>
    <w:rsid w:val="0080162E"/>
    <w:rsid w:val="00801B55"/>
    <w:rsid w:val="00801EA2"/>
    <w:rsid w:val="008025F3"/>
    <w:rsid w:val="0080290C"/>
    <w:rsid w:val="00802FB8"/>
    <w:rsid w:val="00802FD9"/>
    <w:rsid w:val="00803EE6"/>
    <w:rsid w:val="008062A2"/>
    <w:rsid w:val="008063E2"/>
    <w:rsid w:val="008063E8"/>
    <w:rsid w:val="00807834"/>
    <w:rsid w:val="00810911"/>
    <w:rsid w:val="0081207E"/>
    <w:rsid w:val="0081260A"/>
    <w:rsid w:val="00813437"/>
    <w:rsid w:val="00814A87"/>
    <w:rsid w:val="008155B2"/>
    <w:rsid w:val="008163C9"/>
    <w:rsid w:val="0081651D"/>
    <w:rsid w:val="008217D0"/>
    <w:rsid w:val="008219B2"/>
    <w:rsid w:val="00822F8C"/>
    <w:rsid w:val="00823034"/>
    <w:rsid w:val="00823184"/>
    <w:rsid w:val="008241BC"/>
    <w:rsid w:val="00825D2A"/>
    <w:rsid w:val="00825D9F"/>
    <w:rsid w:val="0082631F"/>
    <w:rsid w:val="00826890"/>
    <w:rsid w:val="00826D6A"/>
    <w:rsid w:val="00827F6D"/>
    <w:rsid w:val="00830740"/>
    <w:rsid w:val="00830DFA"/>
    <w:rsid w:val="00831D50"/>
    <w:rsid w:val="00831E27"/>
    <w:rsid w:val="008328BC"/>
    <w:rsid w:val="008334A8"/>
    <w:rsid w:val="00833519"/>
    <w:rsid w:val="00833D9B"/>
    <w:rsid w:val="00835171"/>
    <w:rsid w:val="00836121"/>
    <w:rsid w:val="0083767E"/>
    <w:rsid w:val="0084025E"/>
    <w:rsid w:val="008429B6"/>
    <w:rsid w:val="00842D7F"/>
    <w:rsid w:val="0084309B"/>
    <w:rsid w:val="00843791"/>
    <w:rsid w:val="00843C5A"/>
    <w:rsid w:val="00843CD3"/>
    <w:rsid w:val="00843DA3"/>
    <w:rsid w:val="00846E8F"/>
    <w:rsid w:val="008473AE"/>
    <w:rsid w:val="008524D8"/>
    <w:rsid w:val="00852683"/>
    <w:rsid w:val="00852A89"/>
    <w:rsid w:val="00852B02"/>
    <w:rsid w:val="00855191"/>
    <w:rsid w:val="00855697"/>
    <w:rsid w:val="008557D4"/>
    <w:rsid w:val="00855D06"/>
    <w:rsid w:val="00855D6A"/>
    <w:rsid w:val="00856071"/>
    <w:rsid w:val="00856EF6"/>
    <w:rsid w:val="0085773B"/>
    <w:rsid w:val="00862116"/>
    <w:rsid w:val="00862FE0"/>
    <w:rsid w:val="0086316A"/>
    <w:rsid w:val="008639FC"/>
    <w:rsid w:val="008647CE"/>
    <w:rsid w:val="00865273"/>
    <w:rsid w:val="00865974"/>
    <w:rsid w:val="0086608C"/>
    <w:rsid w:val="00866932"/>
    <w:rsid w:val="0087027E"/>
    <w:rsid w:val="00870417"/>
    <w:rsid w:val="00871E21"/>
    <w:rsid w:val="008735E2"/>
    <w:rsid w:val="00873F66"/>
    <w:rsid w:val="00876655"/>
    <w:rsid w:val="0087770D"/>
    <w:rsid w:val="00881417"/>
    <w:rsid w:val="008816CD"/>
    <w:rsid w:val="008820BE"/>
    <w:rsid w:val="0088213E"/>
    <w:rsid w:val="00883B6E"/>
    <w:rsid w:val="00883D36"/>
    <w:rsid w:val="0088464C"/>
    <w:rsid w:val="008858FF"/>
    <w:rsid w:val="00887571"/>
    <w:rsid w:val="00890341"/>
    <w:rsid w:val="00891D98"/>
    <w:rsid w:val="00892336"/>
    <w:rsid w:val="00892D7A"/>
    <w:rsid w:val="00893748"/>
    <w:rsid w:val="008939F5"/>
    <w:rsid w:val="00893EFC"/>
    <w:rsid w:val="008947E0"/>
    <w:rsid w:val="00894E4A"/>
    <w:rsid w:val="00895119"/>
    <w:rsid w:val="00895742"/>
    <w:rsid w:val="008967E0"/>
    <w:rsid w:val="008977E4"/>
    <w:rsid w:val="008A04A0"/>
    <w:rsid w:val="008A2994"/>
    <w:rsid w:val="008A2A65"/>
    <w:rsid w:val="008A34E1"/>
    <w:rsid w:val="008A42BF"/>
    <w:rsid w:val="008A5934"/>
    <w:rsid w:val="008A68E6"/>
    <w:rsid w:val="008A705D"/>
    <w:rsid w:val="008A7D13"/>
    <w:rsid w:val="008B0861"/>
    <w:rsid w:val="008B1490"/>
    <w:rsid w:val="008B4640"/>
    <w:rsid w:val="008B644D"/>
    <w:rsid w:val="008B7E1C"/>
    <w:rsid w:val="008C34BE"/>
    <w:rsid w:val="008C45D5"/>
    <w:rsid w:val="008C4ADA"/>
    <w:rsid w:val="008C5B82"/>
    <w:rsid w:val="008D24BD"/>
    <w:rsid w:val="008D2975"/>
    <w:rsid w:val="008D2EF0"/>
    <w:rsid w:val="008D3019"/>
    <w:rsid w:val="008D4C74"/>
    <w:rsid w:val="008D4E14"/>
    <w:rsid w:val="008D4EC9"/>
    <w:rsid w:val="008D5744"/>
    <w:rsid w:val="008D58A4"/>
    <w:rsid w:val="008D5942"/>
    <w:rsid w:val="008D5E56"/>
    <w:rsid w:val="008D72AA"/>
    <w:rsid w:val="008E0720"/>
    <w:rsid w:val="008E15AD"/>
    <w:rsid w:val="008E166C"/>
    <w:rsid w:val="008E1DB2"/>
    <w:rsid w:val="008E2E60"/>
    <w:rsid w:val="008E43EE"/>
    <w:rsid w:val="008E4411"/>
    <w:rsid w:val="008E7AEB"/>
    <w:rsid w:val="008E7C2E"/>
    <w:rsid w:val="008F007F"/>
    <w:rsid w:val="008F0DFD"/>
    <w:rsid w:val="008F1FF6"/>
    <w:rsid w:val="008F36EF"/>
    <w:rsid w:val="008F6B9B"/>
    <w:rsid w:val="008F7C76"/>
    <w:rsid w:val="00900527"/>
    <w:rsid w:val="00900C7B"/>
    <w:rsid w:val="00901E4F"/>
    <w:rsid w:val="00902974"/>
    <w:rsid w:val="00902F4B"/>
    <w:rsid w:val="0090303C"/>
    <w:rsid w:val="00903194"/>
    <w:rsid w:val="00903923"/>
    <w:rsid w:val="00903AE8"/>
    <w:rsid w:val="009044AE"/>
    <w:rsid w:val="00904EF2"/>
    <w:rsid w:val="0090528E"/>
    <w:rsid w:val="009053D0"/>
    <w:rsid w:val="00905A01"/>
    <w:rsid w:val="00906E8B"/>
    <w:rsid w:val="00910834"/>
    <w:rsid w:val="00910A97"/>
    <w:rsid w:val="0091129F"/>
    <w:rsid w:val="00913320"/>
    <w:rsid w:val="00913411"/>
    <w:rsid w:val="009140C5"/>
    <w:rsid w:val="00914647"/>
    <w:rsid w:val="0091662C"/>
    <w:rsid w:val="009177C0"/>
    <w:rsid w:val="0092175E"/>
    <w:rsid w:val="0092226B"/>
    <w:rsid w:val="00922D7A"/>
    <w:rsid w:val="00923A40"/>
    <w:rsid w:val="009260AA"/>
    <w:rsid w:val="00926CFD"/>
    <w:rsid w:val="009274D7"/>
    <w:rsid w:val="00931850"/>
    <w:rsid w:val="00931B28"/>
    <w:rsid w:val="00931FA7"/>
    <w:rsid w:val="0093279E"/>
    <w:rsid w:val="009327AB"/>
    <w:rsid w:val="00932892"/>
    <w:rsid w:val="0093294A"/>
    <w:rsid w:val="00934BB1"/>
    <w:rsid w:val="009366D4"/>
    <w:rsid w:val="0093740C"/>
    <w:rsid w:val="00940315"/>
    <w:rsid w:val="009422E3"/>
    <w:rsid w:val="00943840"/>
    <w:rsid w:val="00944BCA"/>
    <w:rsid w:val="009459D1"/>
    <w:rsid w:val="00945BB1"/>
    <w:rsid w:val="00946B06"/>
    <w:rsid w:val="00947595"/>
    <w:rsid w:val="009505B0"/>
    <w:rsid w:val="00951B53"/>
    <w:rsid w:val="00952AC0"/>
    <w:rsid w:val="00953AFF"/>
    <w:rsid w:val="009549B7"/>
    <w:rsid w:val="00957489"/>
    <w:rsid w:val="009610A8"/>
    <w:rsid w:val="00963212"/>
    <w:rsid w:val="00963ACC"/>
    <w:rsid w:val="0096535D"/>
    <w:rsid w:val="009664DD"/>
    <w:rsid w:val="00967119"/>
    <w:rsid w:val="009678A1"/>
    <w:rsid w:val="009678F5"/>
    <w:rsid w:val="00967F65"/>
    <w:rsid w:val="0097204C"/>
    <w:rsid w:val="00972537"/>
    <w:rsid w:val="00972BF9"/>
    <w:rsid w:val="00972C00"/>
    <w:rsid w:val="00972CCE"/>
    <w:rsid w:val="00973C05"/>
    <w:rsid w:val="0097495A"/>
    <w:rsid w:val="00974A5D"/>
    <w:rsid w:val="009753A0"/>
    <w:rsid w:val="00975997"/>
    <w:rsid w:val="00977BE0"/>
    <w:rsid w:val="009806D6"/>
    <w:rsid w:val="00981586"/>
    <w:rsid w:val="009819C7"/>
    <w:rsid w:val="00981E43"/>
    <w:rsid w:val="00983AA4"/>
    <w:rsid w:val="009845F6"/>
    <w:rsid w:val="00984BEE"/>
    <w:rsid w:val="0098521F"/>
    <w:rsid w:val="00985853"/>
    <w:rsid w:val="00985C8C"/>
    <w:rsid w:val="009870E2"/>
    <w:rsid w:val="00987560"/>
    <w:rsid w:val="00992166"/>
    <w:rsid w:val="00992343"/>
    <w:rsid w:val="00995933"/>
    <w:rsid w:val="00995EFD"/>
    <w:rsid w:val="00996BF1"/>
    <w:rsid w:val="009A02F4"/>
    <w:rsid w:val="009A1157"/>
    <w:rsid w:val="009A17C6"/>
    <w:rsid w:val="009A1990"/>
    <w:rsid w:val="009A2D47"/>
    <w:rsid w:val="009A34DB"/>
    <w:rsid w:val="009A34EA"/>
    <w:rsid w:val="009A4B6F"/>
    <w:rsid w:val="009A515E"/>
    <w:rsid w:val="009A7712"/>
    <w:rsid w:val="009B2644"/>
    <w:rsid w:val="009B2F96"/>
    <w:rsid w:val="009B3144"/>
    <w:rsid w:val="009B386C"/>
    <w:rsid w:val="009B4F8E"/>
    <w:rsid w:val="009B52AE"/>
    <w:rsid w:val="009B6327"/>
    <w:rsid w:val="009B66A6"/>
    <w:rsid w:val="009B7397"/>
    <w:rsid w:val="009B768D"/>
    <w:rsid w:val="009B7DDB"/>
    <w:rsid w:val="009B7DEF"/>
    <w:rsid w:val="009C0AE0"/>
    <w:rsid w:val="009C1DD4"/>
    <w:rsid w:val="009C2407"/>
    <w:rsid w:val="009C2E66"/>
    <w:rsid w:val="009C319D"/>
    <w:rsid w:val="009C3D8C"/>
    <w:rsid w:val="009C3F32"/>
    <w:rsid w:val="009C4620"/>
    <w:rsid w:val="009C5C84"/>
    <w:rsid w:val="009C76C0"/>
    <w:rsid w:val="009C7968"/>
    <w:rsid w:val="009C7C16"/>
    <w:rsid w:val="009C7C8F"/>
    <w:rsid w:val="009C7D04"/>
    <w:rsid w:val="009D055B"/>
    <w:rsid w:val="009D2A2F"/>
    <w:rsid w:val="009D2C46"/>
    <w:rsid w:val="009D44B2"/>
    <w:rsid w:val="009D7AA9"/>
    <w:rsid w:val="009E07A3"/>
    <w:rsid w:val="009E0969"/>
    <w:rsid w:val="009E3D7A"/>
    <w:rsid w:val="009E4AE5"/>
    <w:rsid w:val="009E67BC"/>
    <w:rsid w:val="009E715B"/>
    <w:rsid w:val="009E7E2F"/>
    <w:rsid w:val="009F0537"/>
    <w:rsid w:val="009F13EB"/>
    <w:rsid w:val="009F4422"/>
    <w:rsid w:val="009F4B46"/>
    <w:rsid w:val="009F6266"/>
    <w:rsid w:val="009F66B5"/>
    <w:rsid w:val="009F77E0"/>
    <w:rsid w:val="009F7D63"/>
    <w:rsid w:val="00A03692"/>
    <w:rsid w:val="00A04DB4"/>
    <w:rsid w:val="00A0604A"/>
    <w:rsid w:val="00A073EA"/>
    <w:rsid w:val="00A07E49"/>
    <w:rsid w:val="00A10C56"/>
    <w:rsid w:val="00A1348B"/>
    <w:rsid w:val="00A15A3C"/>
    <w:rsid w:val="00A1614A"/>
    <w:rsid w:val="00A166D9"/>
    <w:rsid w:val="00A20634"/>
    <w:rsid w:val="00A207B0"/>
    <w:rsid w:val="00A218C7"/>
    <w:rsid w:val="00A23B9D"/>
    <w:rsid w:val="00A24642"/>
    <w:rsid w:val="00A247FF"/>
    <w:rsid w:val="00A24F8B"/>
    <w:rsid w:val="00A27407"/>
    <w:rsid w:val="00A307A1"/>
    <w:rsid w:val="00A3442A"/>
    <w:rsid w:val="00A3471B"/>
    <w:rsid w:val="00A350CB"/>
    <w:rsid w:val="00A3544E"/>
    <w:rsid w:val="00A36A78"/>
    <w:rsid w:val="00A370D3"/>
    <w:rsid w:val="00A4038A"/>
    <w:rsid w:val="00A40C15"/>
    <w:rsid w:val="00A40EF7"/>
    <w:rsid w:val="00A41E63"/>
    <w:rsid w:val="00A42EB3"/>
    <w:rsid w:val="00A44976"/>
    <w:rsid w:val="00A44A09"/>
    <w:rsid w:val="00A44C74"/>
    <w:rsid w:val="00A456C4"/>
    <w:rsid w:val="00A456CE"/>
    <w:rsid w:val="00A5028B"/>
    <w:rsid w:val="00A515FA"/>
    <w:rsid w:val="00A51637"/>
    <w:rsid w:val="00A51C0D"/>
    <w:rsid w:val="00A5224F"/>
    <w:rsid w:val="00A527F7"/>
    <w:rsid w:val="00A55B90"/>
    <w:rsid w:val="00A607B2"/>
    <w:rsid w:val="00A61373"/>
    <w:rsid w:val="00A62E15"/>
    <w:rsid w:val="00A63F77"/>
    <w:rsid w:val="00A643A5"/>
    <w:rsid w:val="00A64818"/>
    <w:rsid w:val="00A673AC"/>
    <w:rsid w:val="00A67636"/>
    <w:rsid w:val="00A70472"/>
    <w:rsid w:val="00A7092E"/>
    <w:rsid w:val="00A71350"/>
    <w:rsid w:val="00A7389C"/>
    <w:rsid w:val="00A739AF"/>
    <w:rsid w:val="00A73A45"/>
    <w:rsid w:val="00A744BD"/>
    <w:rsid w:val="00A74E99"/>
    <w:rsid w:val="00A755B0"/>
    <w:rsid w:val="00A75CBD"/>
    <w:rsid w:val="00A76B14"/>
    <w:rsid w:val="00A81479"/>
    <w:rsid w:val="00A83E65"/>
    <w:rsid w:val="00A83E83"/>
    <w:rsid w:val="00A848A1"/>
    <w:rsid w:val="00A84C51"/>
    <w:rsid w:val="00A85157"/>
    <w:rsid w:val="00A8564D"/>
    <w:rsid w:val="00A8677B"/>
    <w:rsid w:val="00A869DE"/>
    <w:rsid w:val="00A87833"/>
    <w:rsid w:val="00A87F16"/>
    <w:rsid w:val="00A9312C"/>
    <w:rsid w:val="00A93D49"/>
    <w:rsid w:val="00A94E73"/>
    <w:rsid w:val="00A952CF"/>
    <w:rsid w:val="00A961D6"/>
    <w:rsid w:val="00AA23E3"/>
    <w:rsid w:val="00AA37DC"/>
    <w:rsid w:val="00AA5DD5"/>
    <w:rsid w:val="00AA6678"/>
    <w:rsid w:val="00AA6EC4"/>
    <w:rsid w:val="00AA79C9"/>
    <w:rsid w:val="00AB240F"/>
    <w:rsid w:val="00AB27B1"/>
    <w:rsid w:val="00AB39DB"/>
    <w:rsid w:val="00AB3E1B"/>
    <w:rsid w:val="00AB3EC4"/>
    <w:rsid w:val="00AB4112"/>
    <w:rsid w:val="00AB449A"/>
    <w:rsid w:val="00AB56A1"/>
    <w:rsid w:val="00AB626F"/>
    <w:rsid w:val="00AC06D3"/>
    <w:rsid w:val="00AC0CA3"/>
    <w:rsid w:val="00AC1203"/>
    <w:rsid w:val="00AC1E81"/>
    <w:rsid w:val="00AC21FA"/>
    <w:rsid w:val="00AC3AAD"/>
    <w:rsid w:val="00AC4654"/>
    <w:rsid w:val="00AC4CB4"/>
    <w:rsid w:val="00AC4E8B"/>
    <w:rsid w:val="00AC5A9D"/>
    <w:rsid w:val="00AC5FA0"/>
    <w:rsid w:val="00AC6ABF"/>
    <w:rsid w:val="00AC789E"/>
    <w:rsid w:val="00AD03F6"/>
    <w:rsid w:val="00AD1D88"/>
    <w:rsid w:val="00AD2428"/>
    <w:rsid w:val="00AD3B05"/>
    <w:rsid w:val="00AD50AA"/>
    <w:rsid w:val="00AD5396"/>
    <w:rsid w:val="00AD541B"/>
    <w:rsid w:val="00AD5511"/>
    <w:rsid w:val="00AD76B6"/>
    <w:rsid w:val="00AE0499"/>
    <w:rsid w:val="00AE0577"/>
    <w:rsid w:val="00AE0CFE"/>
    <w:rsid w:val="00AE134E"/>
    <w:rsid w:val="00AE25A1"/>
    <w:rsid w:val="00AE2C75"/>
    <w:rsid w:val="00AE3BC1"/>
    <w:rsid w:val="00AE48F5"/>
    <w:rsid w:val="00AE4D32"/>
    <w:rsid w:val="00AE4FBD"/>
    <w:rsid w:val="00AE56F6"/>
    <w:rsid w:val="00AE63B7"/>
    <w:rsid w:val="00AE7378"/>
    <w:rsid w:val="00AF0DDC"/>
    <w:rsid w:val="00AF26A3"/>
    <w:rsid w:val="00AF2C27"/>
    <w:rsid w:val="00AF49D6"/>
    <w:rsid w:val="00AF4A5E"/>
    <w:rsid w:val="00AF5BD9"/>
    <w:rsid w:val="00AF6DC0"/>
    <w:rsid w:val="00AF6E66"/>
    <w:rsid w:val="00AF70C7"/>
    <w:rsid w:val="00B001B4"/>
    <w:rsid w:val="00B00236"/>
    <w:rsid w:val="00B0092D"/>
    <w:rsid w:val="00B00DE0"/>
    <w:rsid w:val="00B00FF8"/>
    <w:rsid w:val="00B01CC5"/>
    <w:rsid w:val="00B02221"/>
    <w:rsid w:val="00B0239B"/>
    <w:rsid w:val="00B029BA"/>
    <w:rsid w:val="00B042B6"/>
    <w:rsid w:val="00B05336"/>
    <w:rsid w:val="00B067B5"/>
    <w:rsid w:val="00B06894"/>
    <w:rsid w:val="00B0752B"/>
    <w:rsid w:val="00B119AC"/>
    <w:rsid w:val="00B16BCA"/>
    <w:rsid w:val="00B2016D"/>
    <w:rsid w:val="00B20DE1"/>
    <w:rsid w:val="00B211A7"/>
    <w:rsid w:val="00B215C0"/>
    <w:rsid w:val="00B219D9"/>
    <w:rsid w:val="00B2330E"/>
    <w:rsid w:val="00B23362"/>
    <w:rsid w:val="00B23949"/>
    <w:rsid w:val="00B24F9D"/>
    <w:rsid w:val="00B26351"/>
    <w:rsid w:val="00B32928"/>
    <w:rsid w:val="00B32D11"/>
    <w:rsid w:val="00B35118"/>
    <w:rsid w:val="00B36A9D"/>
    <w:rsid w:val="00B40D55"/>
    <w:rsid w:val="00B45967"/>
    <w:rsid w:val="00B5022F"/>
    <w:rsid w:val="00B51684"/>
    <w:rsid w:val="00B5385F"/>
    <w:rsid w:val="00B546DB"/>
    <w:rsid w:val="00B608DA"/>
    <w:rsid w:val="00B6110E"/>
    <w:rsid w:val="00B61514"/>
    <w:rsid w:val="00B61F49"/>
    <w:rsid w:val="00B62904"/>
    <w:rsid w:val="00B63F73"/>
    <w:rsid w:val="00B6417A"/>
    <w:rsid w:val="00B652AE"/>
    <w:rsid w:val="00B65A3D"/>
    <w:rsid w:val="00B6648C"/>
    <w:rsid w:val="00B66F28"/>
    <w:rsid w:val="00B7065B"/>
    <w:rsid w:val="00B734D9"/>
    <w:rsid w:val="00B75191"/>
    <w:rsid w:val="00B751EF"/>
    <w:rsid w:val="00B762AD"/>
    <w:rsid w:val="00B775AE"/>
    <w:rsid w:val="00B77835"/>
    <w:rsid w:val="00B807C4"/>
    <w:rsid w:val="00B81637"/>
    <w:rsid w:val="00B81A3E"/>
    <w:rsid w:val="00B8216A"/>
    <w:rsid w:val="00B8280D"/>
    <w:rsid w:val="00B83B69"/>
    <w:rsid w:val="00B84BD4"/>
    <w:rsid w:val="00B87AEA"/>
    <w:rsid w:val="00B90AEC"/>
    <w:rsid w:val="00B90EF0"/>
    <w:rsid w:val="00B911B6"/>
    <w:rsid w:val="00B91A50"/>
    <w:rsid w:val="00B91B80"/>
    <w:rsid w:val="00B926A6"/>
    <w:rsid w:val="00B931EF"/>
    <w:rsid w:val="00B9406B"/>
    <w:rsid w:val="00B94746"/>
    <w:rsid w:val="00B94C51"/>
    <w:rsid w:val="00B95058"/>
    <w:rsid w:val="00B95734"/>
    <w:rsid w:val="00B95B45"/>
    <w:rsid w:val="00B95C46"/>
    <w:rsid w:val="00B96989"/>
    <w:rsid w:val="00B96EA4"/>
    <w:rsid w:val="00B97380"/>
    <w:rsid w:val="00B97A51"/>
    <w:rsid w:val="00BA0805"/>
    <w:rsid w:val="00BA2C17"/>
    <w:rsid w:val="00BA33C1"/>
    <w:rsid w:val="00BA4DD0"/>
    <w:rsid w:val="00BA6155"/>
    <w:rsid w:val="00BA6901"/>
    <w:rsid w:val="00BA69A0"/>
    <w:rsid w:val="00BA6B56"/>
    <w:rsid w:val="00BA7D10"/>
    <w:rsid w:val="00BB0CD6"/>
    <w:rsid w:val="00BB147F"/>
    <w:rsid w:val="00BB1816"/>
    <w:rsid w:val="00BB1E46"/>
    <w:rsid w:val="00BB20CC"/>
    <w:rsid w:val="00BB38D6"/>
    <w:rsid w:val="00BB3A9D"/>
    <w:rsid w:val="00BB3F4A"/>
    <w:rsid w:val="00BB5340"/>
    <w:rsid w:val="00BB58ED"/>
    <w:rsid w:val="00BB66E2"/>
    <w:rsid w:val="00BB684B"/>
    <w:rsid w:val="00BB6CA8"/>
    <w:rsid w:val="00BB6DF2"/>
    <w:rsid w:val="00BB7357"/>
    <w:rsid w:val="00BC1C3C"/>
    <w:rsid w:val="00BC4524"/>
    <w:rsid w:val="00BC45C8"/>
    <w:rsid w:val="00BC5A2E"/>
    <w:rsid w:val="00BC69B2"/>
    <w:rsid w:val="00BC6E28"/>
    <w:rsid w:val="00BD0EDB"/>
    <w:rsid w:val="00BD10E2"/>
    <w:rsid w:val="00BD2750"/>
    <w:rsid w:val="00BD27B4"/>
    <w:rsid w:val="00BD286E"/>
    <w:rsid w:val="00BD419D"/>
    <w:rsid w:val="00BD4692"/>
    <w:rsid w:val="00BD4A8F"/>
    <w:rsid w:val="00BD4C52"/>
    <w:rsid w:val="00BD575F"/>
    <w:rsid w:val="00BD57F6"/>
    <w:rsid w:val="00BD6B37"/>
    <w:rsid w:val="00BE070B"/>
    <w:rsid w:val="00BE08FB"/>
    <w:rsid w:val="00BE0A70"/>
    <w:rsid w:val="00BE0B64"/>
    <w:rsid w:val="00BE0FFA"/>
    <w:rsid w:val="00BE1144"/>
    <w:rsid w:val="00BE2BF0"/>
    <w:rsid w:val="00BE3E26"/>
    <w:rsid w:val="00BE4F8B"/>
    <w:rsid w:val="00BE570E"/>
    <w:rsid w:val="00BE5BE3"/>
    <w:rsid w:val="00BE68E5"/>
    <w:rsid w:val="00BE7456"/>
    <w:rsid w:val="00BF074C"/>
    <w:rsid w:val="00BF1CA2"/>
    <w:rsid w:val="00BF25EA"/>
    <w:rsid w:val="00BF33A8"/>
    <w:rsid w:val="00BF44D6"/>
    <w:rsid w:val="00BF54FB"/>
    <w:rsid w:val="00BF657F"/>
    <w:rsid w:val="00BF7AD0"/>
    <w:rsid w:val="00C012CF"/>
    <w:rsid w:val="00C04F1B"/>
    <w:rsid w:val="00C05595"/>
    <w:rsid w:val="00C1077C"/>
    <w:rsid w:val="00C1089D"/>
    <w:rsid w:val="00C10A8B"/>
    <w:rsid w:val="00C11011"/>
    <w:rsid w:val="00C120BC"/>
    <w:rsid w:val="00C128E8"/>
    <w:rsid w:val="00C129AA"/>
    <w:rsid w:val="00C129AC"/>
    <w:rsid w:val="00C13327"/>
    <w:rsid w:val="00C13C62"/>
    <w:rsid w:val="00C13E1E"/>
    <w:rsid w:val="00C145CC"/>
    <w:rsid w:val="00C146EB"/>
    <w:rsid w:val="00C14B5F"/>
    <w:rsid w:val="00C16A16"/>
    <w:rsid w:val="00C20CAC"/>
    <w:rsid w:val="00C212B5"/>
    <w:rsid w:val="00C21EAA"/>
    <w:rsid w:val="00C2262D"/>
    <w:rsid w:val="00C23D93"/>
    <w:rsid w:val="00C244F6"/>
    <w:rsid w:val="00C260B5"/>
    <w:rsid w:val="00C26DA9"/>
    <w:rsid w:val="00C26E47"/>
    <w:rsid w:val="00C301E3"/>
    <w:rsid w:val="00C30A1C"/>
    <w:rsid w:val="00C316C8"/>
    <w:rsid w:val="00C32023"/>
    <w:rsid w:val="00C3366F"/>
    <w:rsid w:val="00C33953"/>
    <w:rsid w:val="00C3432A"/>
    <w:rsid w:val="00C3485A"/>
    <w:rsid w:val="00C356D8"/>
    <w:rsid w:val="00C35B96"/>
    <w:rsid w:val="00C36380"/>
    <w:rsid w:val="00C37447"/>
    <w:rsid w:val="00C37515"/>
    <w:rsid w:val="00C37B76"/>
    <w:rsid w:val="00C410D8"/>
    <w:rsid w:val="00C443E4"/>
    <w:rsid w:val="00C445C9"/>
    <w:rsid w:val="00C44879"/>
    <w:rsid w:val="00C47002"/>
    <w:rsid w:val="00C50AA4"/>
    <w:rsid w:val="00C51366"/>
    <w:rsid w:val="00C52874"/>
    <w:rsid w:val="00C53A03"/>
    <w:rsid w:val="00C54EB1"/>
    <w:rsid w:val="00C54EF6"/>
    <w:rsid w:val="00C57D87"/>
    <w:rsid w:val="00C60228"/>
    <w:rsid w:val="00C60E28"/>
    <w:rsid w:val="00C613E7"/>
    <w:rsid w:val="00C6187C"/>
    <w:rsid w:val="00C62A24"/>
    <w:rsid w:val="00C62D51"/>
    <w:rsid w:val="00C63755"/>
    <w:rsid w:val="00C63946"/>
    <w:rsid w:val="00C63AD5"/>
    <w:rsid w:val="00C63E84"/>
    <w:rsid w:val="00C657DE"/>
    <w:rsid w:val="00C65B90"/>
    <w:rsid w:val="00C667DC"/>
    <w:rsid w:val="00C66B98"/>
    <w:rsid w:val="00C6715E"/>
    <w:rsid w:val="00C67C16"/>
    <w:rsid w:val="00C67E23"/>
    <w:rsid w:val="00C7286D"/>
    <w:rsid w:val="00C73041"/>
    <w:rsid w:val="00C7589B"/>
    <w:rsid w:val="00C75D37"/>
    <w:rsid w:val="00C76B18"/>
    <w:rsid w:val="00C76D4E"/>
    <w:rsid w:val="00C77A59"/>
    <w:rsid w:val="00C801F9"/>
    <w:rsid w:val="00C8096D"/>
    <w:rsid w:val="00C80A92"/>
    <w:rsid w:val="00C820A5"/>
    <w:rsid w:val="00C834E0"/>
    <w:rsid w:val="00C837E8"/>
    <w:rsid w:val="00C85865"/>
    <w:rsid w:val="00C85D87"/>
    <w:rsid w:val="00C8618A"/>
    <w:rsid w:val="00C86C04"/>
    <w:rsid w:val="00C86D06"/>
    <w:rsid w:val="00C9259F"/>
    <w:rsid w:val="00C92BA2"/>
    <w:rsid w:val="00C92CA3"/>
    <w:rsid w:val="00C93591"/>
    <w:rsid w:val="00C93BCF"/>
    <w:rsid w:val="00C93E7D"/>
    <w:rsid w:val="00C94B69"/>
    <w:rsid w:val="00C94CEE"/>
    <w:rsid w:val="00C952E2"/>
    <w:rsid w:val="00C95CF1"/>
    <w:rsid w:val="00C95DA6"/>
    <w:rsid w:val="00C96667"/>
    <w:rsid w:val="00C9682C"/>
    <w:rsid w:val="00C97168"/>
    <w:rsid w:val="00CA1983"/>
    <w:rsid w:val="00CA19DE"/>
    <w:rsid w:val="00CA2300"/>
    <w:rsid w:val="00CA2C11"/>
    <w:rsid w:val="00CA3A66"/>
    <w:rsid w:val="00CA3EB4"/>
    <w:rsid w:val="00CA44BA"/>
    <w:rsid w:val="00CA52BB"/>
    <w:rsid w:val="00CA624E"/>
    <w:rsid w:val="00CA6327"/>
    <w:rsid w:val="00CA7171"/>
    <w:rsid w:val="00CA7360"/>
    <w:rsid w:val="00CA7630"/>
    <w:rsid w:val="00CA7881"/>
    <w:rsid w:val="00CB05A5"/>
    <w:rsid w:val="00CB0B76"/>
    <w:rsid w:val="00CB1173"/>
    <w:rsid w:val="00CB1858"/>
    <w:rsid w:val="00CB1D5B"/>
    <w:rsid w:val="00CB1EB7"/>
    <w:rsid w:val="00CB214F"/>
    <w:rsid w:val="00CB3896"/>
    <w:rsid w:val="00CB3B35"/>
    <w:rsid w:val="00CB3E26"/>
    <w:rsid w:val="00CB5EB0"/>
    <w:rsid w:val="00CB620F"/>
    <w:rsid w:val="00CB71F3"/>
    <w:rsid w:val="00CC15AD"/>
    <w:rsid w:val="00CC15B0"/>
    <w:rsid w:val="00CC1D2C"/>
    <w:rsid w:val="00CC1FBD"/>
    <w:rsid w:val="00CC2A23"/>
    <w:rsid w:val="00CC3171"/>
    <w:rsid w:val="00CC3641"/>
    <w:rsid w:val="00CC3669"/>
    <w:rsid w:val="00CC3B1D"/>
    <w:rsid w:val="00CC4995"/>
    <w:rsid w:val="00CC51AF"/>
    <w:rsid w:val="00CC616D"/>
    <w:rsid w:val="00CC7431"/>
    <w:rsid w:val="00CC74DE"/>
    <w:rsid w:val="00CC76DF"/>
    <w:rsid w:val="00CD019D"/>
    <w:rsid w:val="00CD0638"/>
    <w:rsid w:val="00CD0D2E"/>
    <w:rsid w:val="00CD0EFA"/>
    <w:rsid w:val="00CD1046"/>
    <w:rsid w:val="00CD152D"/>
    <w:rsid w:val="00CD1D6B"/>
    <w:rsid w:val="00CD288E"/>
    <w:rsid w:val="00CD2FDA"/>
    <w:rsid w:val="00CD4398"/>
    <w:rsid w:val="00CD71BE"/>
    <w:rsid w:val="00CD72FC"/>
    <w:rsid w:val="00CD7854"/>
    <w:rsid w:val="00CD788C"/>
    <w:rsid w:val="00CE00A9"/>
    <w:rsid w:val="00CE0DB8"/>
    <w:rsid w:val="00CE104E"/>
    <w:rsid w:val="00CE1390"/>
    <w:rsid w:val="00CE1F98"/>
    <w:rsid w:val="00CE2957"/>
    <w:rsid w:val="00CE2DD4"/>
    <w:rsid w:val="00CE4B55"/>
    <w:rsid w:val="00CE4D3A"/>
    <w:rsid w:val="00CE6520"/>
    <w:rsid w:val="00CE6B36"/>
    <w:rsid w:val="00CE7174"/>
    <w:rsid w:val="00CE78C9"/>
    <w:rsid w:val="00CE7CFF"/>
    <w:rsid w:val="00CF1C00"/>
    <w:rsid w:val="00CF33F2"/>
    <w:rsid w:val="00CF37E9"/>
    <w:rsid w:val="00CF56E1"/>
    <w:rsid w:val="00CF70E8"/>
    <w:rsid w:val="00CF7DC2"/>
    <w:rsid w:val="00D00296"/>
    <w:rsid w:val="00D019FF"/>
    <w:rsid w:val="00D022CC"/>
    <w:rsid w:val="00D03834"/>
    <w:rsid w:val="00D03BF2"/>
    <w:rsid w:val="00D04448"/>
    <w:rsid w:val="00D04755"/>
    <w:rsid w:val="00D05342"/>
    <w:rsid w:val="00D05407"/>
    <w:rsid w:val="00D0565B"/>
    <w:rsid w:val="00D06356"/>
    <w:rsid w:val="00D06391"/>
    <w:rsid w:val="00D10D3A"/>
    <w:rsid w:val="00D1101C"/>
    <w:rsid w:val="00D1386A"/>
    <w:rsid w:val="00D143FD"/>
    <w:rsid w:val="00D16EB6"/>
    <w:rsid w:val="00D16EBC"/>
    <w:rsid w:val="00D172F4"/>
    <w:rsid w:val="00D20B54"/>
    <w:rsid w:val="00D20FB4"/>
    <w:rsid w:val="00D21E1A"/>
    <w:rsid w:val="00D2398F"/>
    <w:rsid w:val="00D23BAD"/>
    <w:rsid w:val="00D243A6"/>
    <w:rsid w:val="00D24D91"/>
    <w:rsid w:val="00D25310"/>
    <w:rsid w:val="00D257E5"/>
    <w:rsid w:val="00D26B22"/>
    <w:rsid w:val="00D275F3"/>
    <w:rsid w:val="00D2794C"/>
    <w:rsid w:val="00D279CB"/>
    <w:rsid w:val="00D317C2"/>
    <w:rsid w:val="00D31D7B"/>
    <w:rsid w:val="00D32071"/>
    <w:rsid w:val="00D32BD5"/>
    <w:rsid w:val="00D32EA8"/>
    <w:rsid w:val="00D337C3"/>
    <w:rsid w:val="00D33E75"/>
    <w:rsid w:val="00D34D5E"/>
    <w:rsid w:val="00D358AA"/>
    <w:rsid w:val="00D35C36"/>
    <w:rsid w:val="00D401DC"/>
    <w:rsid w:val="00D409EC"/>
    <w:rsid w:val="00D4106E"/>
    <w:rsid w:val="00D41A4E"/>
    <w:rsid w:val="00D42554"/>
    <w:rsid w:val="00D43C2F"/>
    <w:rsid w:val="00D44FC8"/>
    <w:rsid w:val="00D45653"/>
    <w:rsid w:val="00D47747"/>
    <w:rsid w:val="00D47AB2"/>
    <w:rsid w:val="00D50445"/>
    <w:rsid w:val="00D51192"/>
    <w:rsid w:val="00D5119A"/>
    <w:rsid w:val="00D513B5"/>
    <w:rsid w:val="00D52D33"/>
    <w:rsid w:val="00D531A5"/>
    <w:rsid w:val="00D53AF1"/>
    <w:rsid w:val="00D54349"/>
    <w:rsid w:val="00D54456"/>
    <w:rsid w:val="00D54BBD"/>
    <w:rsid w:val="00D566AD"/>
    <w:rsid w:val="00D566DB"/>
    <w:rsid w:val="00D5758C"/>
    <w:rsid w:val="00D57EE0"/>
    <w:rsid w:val="00D61759"/>
    <w:rsid w:val="00D618E6"/>
    <w:rsid w:val="00D61E2E"/>
    <w:rsid w:val="00D62D17"/>
    <w:rsid w:val="00D63B11"/>
    <w:rsid w:val="00D64C69"/>
    <w:rsid w:val="00D64F18"/>
    <w:rsid w:val="00D65905"/>
    <w:rsid w:val="00D65F58"/>
    <w:rsid w:val="00D662DB"/>
    <w:rsid w:val="00D7077B"/>
    <w:rsid w:val="00D70B82"/>
    <w:rsid w:val="00D710EF"/>
    <w:rsid w:val="00D71C0F"/>
    <w:rsid w:val="00D722A7"/>
    <w:rsid w:val="00D729F7"/>
    <w:rsid w:val="00D74CFF"/>
    <w:rsid w:val="00D76966"/>
    <w:rsid w:val="00D76AAA"/>
    <w:rsid w:val="00D77975"/>
    <w:rsid w:val="00D77D1B"/>
    <w:rsid w:val="00D8224D"/>
    <w:rsid w:val="00D828D0"/>
    <w:rsid w:val="00D8294F"/>
    <w:rsid w:val="00D8300E"/>
    <w:rsid w:val="00D83250"/>
    <w:rsid w:val="00D8407B"/>
    <w:rsid w:val="00D8442D"/>
    <w:rsid w:val="00D84EEC"/>
    <w:rsid w:val="00D853C1"/>
    <w:rsid w:val="00D8559B"/>
    <w:rsid w:val="00D860BF"/>
    <w:rsid w:val="00D86905"/>
    <w:rsid w:val="00D87269"/>
    <w:rsid w:val="00D87E86"/>
    <w:rsid w:val="00D87F72"/>
    <w:rsid w:val="00D900F5"/>
    <w:rsid w:val="00D90E71"/>
    <w:rsid w:val="00D93064"/>
    <w:rsid w:val="00D9336A"/>
    <w:rsid w:val="00D95DBB"/>
    <w:rsid w:val="00D96A45"/>
    <w:rsid w:val="00D97621"/>
    <w:rsid w:val="00D97B9A"/>
    <w:rsid w:val="00D97BE1"/>
    <w:rsid w:val="00DA32B2"/>
    <w:rsid w:val="00DA3FAB"/>
    <w:rsid w:val="00DA4110"/>
    <w:rsid w:val="00DA4AE7"/>
    <w:rsid w:val="00DA6369"/>
    <w:rsid w:val="00DA6942"/>
    <w:rsid w:val="00DA6947"/>
    <w:rsid w:val="00DA6C9E"/>
    <w:rsid w:val="00DA6CE8"/>
    <w:rsid w:val="00DA7AA1"/>
    <w:rsid w:val="00DB0A12"/>
    <w:rsid w:val="00DB0AD1"/>
    <w:rsid w:val="00DB1243"/>
    <w:rsid w:val="00DB144A"/>
    <w:rsid w:val="00DB1B33"/>
    <w:rsid w:val="00DB2515"/>
    <w:rsid w:val="00DB281F"/>
    <w:rsid w:val="00DB2D05"/>
    <w:rsid w:val="00DB412A"/>
    <w:rsid w:val="00DB4435"/>
    <w:rsid w:val="00DB61C6"/>
    <w:rsid w:val="00DB7489"/>
    <w:rsid w:val="00DC0F35"/>
    <w:rsid w:val="00DC1B72"/>
    <w:rsid w:val="00DC2714"/>
    <w:rsid w:val="00DC2F15"/>
    <w:rsid w:val="00DC50EE"/>
    <w:rsid w:val="00DC59FA"/>
    <w:rsid w:val="00DC7BA9"/>
    <w:rsid w:val="00DD15CF"/>
    <w:rsid w:val="00DD1F95"/>
    <w:rsid w:val="00DD4462"/>
    <w:rsid w:val="00DD49A8"/>
    <w:rsid w:val="00DD4AC7"/>
    <w:rsid w:val="00DD62A3"/>
    <w:rsid w:val="00DD6387"/>
    <w:rsid w:val="00DD6EA1"/>
    <w:rsid w:val="00DD705C"/>
    <w:rsid w:val="00DD7CB3"/>
    <w:rsid w:val="00DE06B9"/>
    <w:rsid w:val="00DE0ADB"/>
    <w:rsid w:val="00DE17A9"/>
    <w:rsid w:val="00DE260C"/>
    <w:rsid w:val="00DE3B7F"/>
    <w:rsid w:val="00DE3B83"/>
    <w:rsid w:val="00DE6278"/>
    <w:rsid w:val="00DE6334"/>
    <w:rsid w:val="00DE63E6"/>
    <w:rsid w:val="00DE72DB"/>
    <w:rsid w:val="00DE7D03"/>
    <w:rsid w:val="00DE7ECC"/>
    <w:rsid w:val="00DF01CA"/>
    <w:rsid w:val="00DF3341"/>
    <w:rsid w:val="00DF3943"/>
    <w:rsid w:val="00DF495C"/>
    <w:rsid w:val="00DF570B"/>
    <w:rsid w:val="00DF72EA"/>
    <w:rsid w:val="00DF779D"/>
    <w:rsid w:val="00E00916"/>
    <w:rsid w:val="00E014AD"/>
    <w:rsid w:val="00E033A1"/>
    <w:rsid w:val="00E0341B"/>
    <w:rsid w:val="00E03975"/>
    <w:rsid w:val="00E03E35"/>
    <w:rsid w:val="00E046E6"/>
    <w:rsid w:val="00E07CF5"/>
    <w:rsid w:val="00E10060"/>
    <w:rsid w:val="00E1128D"/>
    <w:rsid w:val="00E12157"/>
    <w:rsid w:val="00E1356B"/>
    <w:rsid w:val="00E1382C"/>
    <w:rsid w:val="00E16C62"/>
    <w:rsid w:val="00E17F46"/>
    <w:rsid w:val="00E207A2"/>
    <w:rsid w:val="00E20FED"/>
    <w:rsid w:val="00E24B08"/>
    <w:rsid w:val="00E25182"/>
    <w:rsid w:val="00E2543E"/>
    <w:rsid w:val="00E25849"/>
    <w:rsid w:val="00E25B93"/>
    <w:rsid w:val="00E266F9"/>
    <w:rsid w:val="00E2720C"/>
    <w:rsid w:val="00E27803"/>
    <w:rsid w:val="00E30686"/>
    <w:rsid w:val="00E3179E"/>
    <w:rsid w:val="00E3228B"/>
    <w:rsid w:val="00E3243E"/>
    <w:rsid w:val="00E32B2F"/>
    <w:rsid w:val="00E331B7"/>
    <w:rsid w:val="00E3385A"/>
    <w:rsid w:val="00E33F60"/>
    <w:rsid w:val="00E35390"/>
    <w:rsid w:val="00E35B92"/>
    <w:rsid w:val="00E40DF3"/>
    <w:rsid w:val="00E418D6"/>
    <w:rsid w:val="00E418F8"/>
    <w:rsid w:val="00E41D52"/>
    <w:rsid w:val="00E44676"/>
    <w:rsid w:val="00E44C79"/>
    <w:rsid w:val="00E45C3C"/>
    <w:rsid w:val="00E4666D"/>
    <w:rsid w:val="00E47BE2"/>
    <w:rsid w:val="00E50A5B"/>
    <w:rsid w:val="00E50F9D"/>
    <w:rsid w:val="00E5137D"/>
    <w:rsid w:val="00E539AC"/>
    <w:rsid w:val="00E575CC"/>
    <w:rsid w:val="00E6166E"/>
    <w:rsid w:val="00E6320C"/>
    <w:rsid w:val="00E6522B"/>
    <w:rsid w:val="00E6600E"/>
    <w:rsid w:val="00E6612F"/>
    <w:rsid w:val="00E67A52"/>
    <w:rsid w:val="00E709E8"/>
    <w:rsid w:val="00E718F2"/>
    <w:rsid w:val="00E725F8"/>
    <w:rsid w:val="00E72A9E"/>
    <w:rsid w:val="00E748F0"/>
    <w:rsid w:val="00E755D1"/>
    <w:rsid w:val="00E7644E"/>
    <w:rsid w:val="00E76673"/>
    <w:rsid w:val="00E77694"/>
    <w:rsid w:val="00E77869"/>
    <w:rsid w:val="00E80F09"/>
    <w:rsid w:val="00E810D5"/>
    <w:rsid w:val="00E81D41"/>
    <w:rsid w:val="00E8323F"/>
    <w:rsid w:val="00E839D1"/>
    <w:rsid w:val="00E844FC"/>
    <w:rsid w:val="00E86091"/>
    <w:rsid w:val="00E862E2"/>
    <w:rsid w:val="00E86402"/>
    <w:rsid w:val="00E876A2"/>
    <w:rsid w:val="00E87726"/>
    <w:rsid w:val="00E87E53"/>
    <w:rsid w:val="00E90958"/>
    <w:rsid w:val="00E91822"/>
    <w:rsid w:val="00E91CD9"/>
    <w:rsid w:val="00E941B5"/>
    <w:rsid w:val="00E94ADF"/>
    <w:rsid w:val="00E95516"/>
    <w:rsid w:val="00E9646B"/>
    <w:rsid w:val="00EA0A40"/>
    <w:rsid w:val="00EA199E"/>
    <w:rsid w:val="00EA3F85"/>
    <w:rsid w:val="00EA4ACF"/>
    <w:rsid w:val="00EA4F26"/>
    <w:rsid w:val="00EA5189"/>
    <w:rsid w:val="00EA52C6"/>
    <w:rsid w:val="00EA5504"/>
    <w:rsid w:val="00EA72F6"/>
    <w:rsid w:val="00EB11C2"/>
    <w:rsid w:val="00EB1C8A"/>
    <w:rsid w:val="00EB207E"/>
    <w:rsid w:val="00EB4E4E"/>
    <w:rsid w:val="00EB5EAC"/>
    <w:rsid w:val="00EB6309"/>
    <w:rsid w:val="00EB730C"/>
    <w:rsid w:val="00EC01DB"/>
    <w:rsid w:val="00EC1394"/>
    <w:rsid w:val="00EC1B07"/>
    <w:rsid w:val="00EC302D"/>
    <w:rsid w:val="00EC4874"/>
    <w:rsid w:val="00EC4EAB"/>
    <w:rsid w:val="00EC5495"/>
    <w:rsid w:val="00EC7A76"/>
    <w:rsid w:val="00EC7B84"/>
    <w:rsid w:val="00ED0F4A"/>
    <w:rsid w:val="00ED1F38"/>
    <w:rsid w:val="00ED2307"/>
    <w:rsid w:val="00ED4A55"/>
    <w:rsid w:val="00ED5B38"/>
    <w:rsid w:val="00ED6164"/>
    <w:rsid w:val="00ED6B29"/>
    <w:rsid w:val="00ED6EAA"/>
    <w:rsid w:val="00ED7B0B"/>
    <w:rsid w:val="00ED7B4F"/>
    <w:rsid w:val="00ED7FE2"/>
    <w:rsid w:val="00EE0529"/>
    <w:rsid w:val="00EE12F5"/>
    <w:rsid w:val="00EE1A36"/>
    <w:rsid w:val="00EE1F71"/>
    <w:rsid w:val="00EE1FC3"/>
    <w:rsid w:val="00EE25FE"/>
    <w:rsid w:val="00EE2627"/>
    <w:rsid w:val="00EE3208"/>
    <w:rsid w:val="00EE33B2"/>
    <w:rsid w:val="00EE39EC"/>
    <w:rsid w:val="00EE3B7A"/>
    <w:rsid w:val="00EE4000"/>
    <w:rsid w:val="00EE50E5"/>
    <w:rsid w:val="00EE50ED"/>
    <w:rsid w:val="00EF0189"/>
    <w:rsid w:val="00EF16AD"/>
    <w:rsid w:val="00EF1B09"/>
    <w:rsid w:val="00EF2015"/>
    <w:rsid w:val="00EF2EB3"/>
    <w:rsid w:val="00EF417C"/>
    <w:rsid w:val="00EF4B99"/>
    <w:rsid w:val="00EF515D"/>
    <w:rsid w:val="00EF5A77"/>
    <w:rsid w:val="00EF6A03"/>
    <w:rsid w:val="00EF6E6E"/>
    <w:rsid w:val="00F0041C"/>
    <w:rsid w:val="00F01AA4"/>
    <w:rsid w:val="00F01D69"/>
    <w:rsid w:val="00F02099"/>
    <w:rsid w:val="00F033E6"/>
    <w:rsid w:val="00F03DFF"/>
    <w:rsid w:val="00F041FF"/>
    <w:rsid w:val="00F04687"/>
    <w:rsid w:val="00F04B9C"/>
    <w:rsid w:val="00F04BC5"/>
    <w:rsid w:val="00F04F36"/>
    <w:rsid w:val="00F062C8"/>
    <w:rsid w:val="00F06658"/>
    <w:rsid w:val="00F07356"/>
    <w:rsid w:val="00F107BE"/>
    <w:rsid w:val="00F108A0"/>
    <w:rsid w:val="00F12001"/>
    <w:rsid w:val="00F13BB5"/>
    <w:rsid w:val="00F13E44"/>
    <w:rsid w:val="00F14C89"/>
    <w:rsid w:val="00F15247"/>
    <w:rsid w:val="00F15C43"/>
    <w:rsid w:val="00F15ED2"/>
    <w:rsid w:val="00F16A00"/>
    <w:rsid w:val="00F177CB"/>
    <w:rsid w:val="00F21F76"/>
    <w:rsid w:val="00F251C1"/>
    <w:rsid w:val="00F304D0"/>
    <w:rsid w:val="00F30A9D"/>
    <w:rsid w:val="00F30C9F"/>
    <w:rsid w:val="00F31CEE"/>
    <w:rsid w:val="00F31FEA"/>
    <w:rsid w:val="00F32B80"/>
    <w:rsid w:val="00F32DED"/>
    <w:rsid w:val="00F33518"/>
    <w:rsid w:val="00F336E9"/>
    <w:rsid w:val="00F33749"/>
    <w:rsid w:val="00F33DE3"/>
    <w:rsid w:val="00F34B14"/>
    <w:rsid w:val="00F36DDE"/>
    <w:rsid w:val="00F37177"/>
    <w:rsid w:val="00F37643"/>
    <w:rsid w:val="00F378FD"/>
    <w:rsid w:val="00F37B48"/>
    <w:rsid w:val="00F403B9"/>
    <w:rsid w:val="00F42020"/>
    <w:rsid w:val="00F442D9"/>
    <w:rsid w:val="00F44642"/>
    <w:rsid w:val="00F45415"/>
    <w:rsid w:val="00F4632B"/>
    <w:rsid w:val="00F4688C"/>
    <w:rsid w:val="00F514C9"/>
    <w:rsid w:val="00F52767"/>
    <w:rsid w:val="00F54708"/>
    <w:rsid w:val="00F55831"/>
    <w:rsid w:val="00F55896"/>
    <w:rsid w:val="00F55B32"/>
    <w:rsid w:val="00F579BC"/>
    <w:rsid w:val="00F61727"/>
    <w:rsid w:val="00F6338C"/>
    <w:rsid w:val="00F63FBF"/>
    <w:rsid w:val="00F6575B"/>
    <w:rsid w:val="00F65D46"/>
    <w:rsid w:val="00F665D0"/>
    <w:rsid w:val="00F70742"/>
    <w:rsid w:val="00F72DA1"/>
    <w:rsid w:val="00F733FA"/>
    <w:rsid w:val="00F7505C"/>
    <w:rsid w:val="00F756D4"/>
    <w:rsid w:val="00F75F35"/>
    <w:rsid w:val="00F76312"/>
    <w:rsid w:val="00F765FA"/>
    <w:rsid w:val="00F767E7"/>
    <w:rsid w:val="00F776C6"/>
    <w:rsid w:val="00F80452"/>
    <w:rsid w:val="00F833B3"/>
    <w:rsid w:val="00F8531A"/>
    <w:rsid w:val="00F92213"/>
    <w:rsid w:val="00F92B47"/>
    <w:rsid w:val="00F9366E"/>
    <w:rsid w:val="00F93D2F"/>
    <w:rsid w:val="00F94095"/>
    <w:rsid w:val="00F94150"/>
    <w:rsid w:val="00F94FDC"/>
    <w:rsid w:val="00F952A6"/>
    <w:rsid w:val="00F957FA"/>
    <w:rsid w:val="00F95875"/>
    <w:rsid w:val="00F972FB"/>
    <w:rsid w:val="00FA125E"/>
    <w:rsid w:val="00FA1305"/>
    <w:rsid w:val="00FA2888"/>
    <w:rsid w:val="00FA3343"/>
    <w:rsid w:val="00FA34B1"/>
    <w:rsid w:val="00FA3AEA"/>
    <w:rsid w:val="00FA3EA5"/>
    <w:rsid w:val="00FA443D"/>
    <w:rsid w:val="00FA448B"/>
    <w:rsid w:val="00FA578B"/>
    <w:rsid w:val="00FA631B"/>
    <w:rsid w:val="00FA6777"/>
    <w:rsid w:val="00FA6CA5"/>
    <w:rsid w:val="00FB1822"/>
    <w:rsid w:val="00FB1D19"/>
    <w:rsid w:val="00FB388A"/>
    <w:rsid w:val="00FB3E6F"/>
    <w:rsid w:val="00FB52A6"/>
    <w:rsid w:val="00FB5F80"/>
    <w:rsid w:val="00FB7500"/>
    <w:rsid w:val="00FB7806"/>
    <w:rsid w:val="00FB7D8B"/>
    <w:rsid w:val="00FC14B2"/>
    <w:rsid w:val="00FC1DB0"/>
    <w:rsid w:val="00FC39F4"/>
    <w:rsid w:val="00FC3C21"/>
    <w:rsid w:val="00FC6329"/>
    <w:rsid w:val="00FC637C"/>
    <w:rsid w:val="00FC7BFB"/>
    <w:rsid w:val="00FD025C"/>
    <w:rsid w:val="00FD198E"/>
    <w:rsid w:val="00FD1FE2"/>
    <w:rsid w:val="00FD2A6F"/>
    <w:rsid w:val="00FD2D52"/>
    <w:rsid w:val="00FD34A9"/>
    <w:rsid w:val="00FD3B77"/>
    <w:rsid w:val="00FD4432"/>
    <w:rsid w:val="00FD5219"/>
    <w:rsid w:val="00FD6B8B"/>
    <w:rsid w:val="00FD6C72"/>
    <w:rsid w:val="00FE0BC8"/>
    <w:rsid w:val="00FE186F"/>
    <w:rsid w:val="00FE32EF"/>
    <w:rsid w:val="00FE35DC"/>
    <w:rsid w:val="00FE380D"/>
    <w:rsid w:val="00FE3BF5"/>
    <w:rsid w:val="00FE5705"/>
    <w:rsid w:val="00FE5B10"/>
    <w:rsid w:val="00FE7282"/>
    <w:rsid w:val="00FF2D72"/>
    <w:rsid w:val="00FF38FE"/>
    <w:rsid w:val="00FF407A"/>
    <w:rsid w:val="00FF5880"/>
    <w:rsid w:val="00FF6C04"/>
    <w:rsid w:val="00FF7056"/>
    <w:rsid w:val="00FF748C"/>
    <w:rsid w:val="00FF7DD5"/>
    <w:rsid w:val="01162B6E"/>
    <w:rsid w:val="0190627A"/>
    <w:rsid w:val="02E63DEF"/>
    <w:rsid w:val="03441FDB"/>
    <w:rsid w:val="03507787"/>
    <w:rsid w:val="03CA05AD"/>
    <w:rsid w:val="03E45ECC"/>
    <w:rsid w:val="03F56CCF"/>
    <w:rsid w:val="05B272AB"/>
    <w:rsid w:val="05F35FC2"/>
    <w:rsid w:val="063D1DF1"/>
    <w:rsid w:val="066B0604"/>
    <w:rsid w:val="082C23FB"/>
    <w:rsid w:val="089D20C1"/>
    <w:rsid w:val="08CF70D6"/>
    <w:rsid w:val="08E6788B"/>
    <w:rsid w:val="090B5701"/>
    <w:rsid w:val="09C3197A"/>
    <w:rsid w:val="09FC30DE"/>
    <w:rsid w:val="0C1D0288"/>
    <w:rsid w:val="0D4903E8"/>
    <w:rsid w:val="0E3D142C"/>
    <w:rsid w:val="0E7B2151"/>
    <w:rsid w:val="0E861EB1"/>
    <w:rsid w:val="0E8F7796"/>
    <w:rsid w:val="10D9731B"/>
    <w:rsid w:val="121E2387"/>
    <w:rsid w:val="12527D3F"/>
    <w:rsid w:val="131B1EF1"/>
    <w:rsid w:val="136318DF"/>
    <w:rsid w:val="142C45C0"/>
    <w:rsid w:val="14391899"/>
    <w:rsid w:val="1439793E"/>
    <w:rsid w:val="14AF1479"/>
    <w:rsid w:val="15170DCC"/>
    <w:rsid w:val="1527140D"/>
    <w:rsid w:val="15DC1BF8"/>
    <w:rsid w:val="177C0275"/>
    <w:rsid w:val="17FD6785"/>
    <w:rsid w:val="180E295A"/>
    <w:rsid w:val="184B270E"/>
    <w:rsid w:val="188441AA"/>
    <w:rsid w:val="18CA02C0"/>
    <w:rsid w:val="190A6C3F"/>
    <w:rsid w:val="19B32210"/>
    <w:rsid w:val="1A4D6AAE"/>
    <w:rsid w:val="1B0B48E7"/>
    <w:rsid w:val="1CBD1DED"/>
    <w:rsid w:val="1CC47F67"/>
    <w:rsid w:val="1D1D719C"/>
    <w:rsid w:val="1D8601D5"/>
    <w:rsid w:val="1DE25462"/>
    <w:rsid w:val="1DEC57A6"/>
    <w:rsid w:val="1EC02A7F"/>
    <w:rsid w:val="1ED264CC"/>
    <w:rsid w:val="1F5806F3"/>
    <w:rsid w:val="1F7F413E"/>
    <w:rsid w:val="1FD35CFC"/>
    <w:rsid w:val="207356C9"/>
    <w:rsid w:val="20CA1787"/>
    <w:rsid w:val="21957174"/>
    <w:rsid w:val="22985EE1"/>
    <w:rsid w:val="229E4AB4"/>
    <w:rsid w:val="22A46395"/>
    <w:rsid w:val="22AF60AF"/>
    <w:rsid w:val="234436D4"/>
    <w:rsid w:val="23D519C4"/>
    <w:rsid w:val="23F8695E"/>
    <w:rsid w:val="24FF4DD3"/>
    <w:rsid w:val="252516DA"/>
    <w:rsid w:val="25394E29"/>
    <w:rsid w:val="254F0304"/>
    <w:rsid w:val="264A72AF"/>
    <w:rsid w:val="267047E0"/>
    <w:rsid w:val="274E038B"/>
    <w:rsid w:val="27550925"/>
    <w:rsid w:val="27836C0D"/>
    <w:rsid w:val="27930786"/>
    <w:rsid w:val="280352BC"/>
    <w:rsid w:val="284878DB"/>
    <w:rsid w:val="284C37D9"/>
    <w:rsid w:val="291B32FA"/>
    <w:rsid w:val="29D3062F"/>
    <w:rsid w:val="29F85218"/>
    <w:rsid w:val="2A222295"/>
    <w:rsid w:val="2B006F32"/>
    <w:rsid w:val="2B473D61"/>
    <w:rsid w:val="2B636958"/>
    <w:rsid w:val="2CF67905"/>
    <w:rsid w:val="2CF8322F"/>
    <w:rsid w:val="2D413313"/>
    <w:rsid w:val="2EB9022F"/>
    <w:rsid w:val="2ED865FC"/>
    <w:rsid w:val="2F252215"/>
    <w:rsid w:val="304B4B2A"/>
    <w:rsid w:val="307F5D4C"/>
    <w:rsid w:val="30C419B0"/>
    <w:rsid w:val="31553579"/>
    <w:rsid w:val="318436DB"/>
    <w:rsid w:val="31AE396E"/>
    <w:rsid w:val="325202C7"/>
    <w:rsid w:val="32F96C6C"/>
    <w:rsid w:val="3303505A"/>
    <w:rsid w:val="332D5F33"/>
    <w:rsid w:val="338E4CA3"/>
    <w:rsid w:val="34511731"/>
    <w:rsid w:val="34517564"/>
    <w:rsid w:val="34BF1ED3"/>
    <w:rsid w:val="34C23398"/>
    <w:rsid w:val="353F6A07"/>
    <w:rsid w:val="356A304A"/>
    <w:rsid w:val="35734DF9"/>
    <w:rsid w:val="35942299"/>
    <w:rsid w:val="35AB4A5A"/>
    <w:rsid w:val="35EF5415"/>
    <w:rsid w:val="362020AE"/>
    <w:rsid w:val="36322D03"/>
    <w:rsid w:val="37607F59"/>
    <w:rsid w:val="37AF03D6"/>
    <w:rsid w:val="37CF6DE7"/>
    <w:rsid w:val="380D257C"/>
    <w:rsid w:val="38327B47"/>
    <w:rsid w:val="38A76599"/>
    <w:rsid w:val="38C764ED"/>
    <w:rsid w:val="38CF1788"/>
    <w:rsid w:val="396174B2"/>
    <w:rsid w:val="39893BC8"/>
    <w:rsid w:val="39A44A75"/>
    <w:rsid w:val="39E23AA6"/>
    <w:rsid w:val="3A964ACE"/>
    <w:rsid w:val="3B023089"/>
    <w:rsid w:val="3C4163A0"/>
    <w:rsid w:val="3C917532"/>
    <w:rsid w:val="3C9C3E0C"/>
    <w:rsid w:val="3CD63197"/>
    <w:rsid w:val="3D597D80"/>
    <w:rsid w:val="3D8A7087"/>
    <w:rsid w:val="3E0D032D"/>
    <w:rsid w:val="3F01150F"/>
    <w:rsid w:val="3F49473B"/>
    <w:rsid w:val="3F671F82"/>
    <w:rsid w:val="40035191"/>
    <w:rsid w:val="40B97058"/>
    <w:rsid w:val="40C26478"/>
    <w:rsid w:val="40F122FE"/>
    <w:rsid w:val="41DC7796"/>
    <w:rsid w:val="4207560F"/>
    <w:rsid w:val="42584B8F"/>
    <w:rsid w:val="42977405"/>
    <w:rsid w:val="42D35A0C"/>
    <w:rsid w:val="430A1813"/>
    <w:rsid w:val="434A1C9B"/>
    <w:rsid w:val="445C6758"/>
    <w:rsid w:val="44877C99"/>
    <w:rsid w:val="44B72B81"/>
    <w:rsid w:val="44E92A42"/>
    <w:rsid w:val="44FE20C0"/>
    <w:rsid w:val="456B07BB"/>
    <w:rsid w:val="45897E0B"/>
    <w:rsid w:val="45966DF9"/>
    <w:rsid w:val="45ED3A6B"/>
    <w:rsid w:val="46B32E36"/>
    <w:rsid w:val="472C40DC"/>
    <w:rsid w:val="474A77E6"/>
    <w:rsid w:val="47C64E1E"/>
    <w:rsid w:val="489372FC"/>
    <w:rsid w:val="48D378CB"/>
    <w:rsid w:val="4906325C"/>
    <w:rsid w:val="4A1F1582"/>
    <w:rsid w:val="4A331C29"/>
    <w:rsid w:val="4ADE0433"/>
    <w:rsid w:val="4AE07AAE"/>
    <w:rsid w:val="4AEE71AF"/>
    <w:rsid w:val="4BA460A8"/>
    <w:rsid w:val="4BE60737"/>
    <w:rsid w:val="4C8271DE"/>
    <w:rsid w:val="4CC16F0F"/>
    <w:rsid w:val="4DB01A70"/>
    <w:rsid w:val="4E2A5922"/>
    <w:rsid w:val="4ECD1266"/>
    <w:rsid w:val="4F13044C"/>
    <w:rsid w:val="50602DAF"/>
    <w:rsid w:val="50FA5F6B"/>
    <w:rsid w:val="50FB746F"/>
    <w:rsid w:val="51C94C21"/>
    <w:rsid w:val="52754DA9"/>
    <w:rsid w:val="528F3EFD"/>
    <w:rsid w:val="52EC2C48"/>
    <w:rsid w:val="54211011"/>
    <w:rsid w:val="545729BE"/>
    <w:rsid w:val="54577EF9"/>
    <w:rsid w:val="54926725"/>
    <w:rsid w:val="555A6B0C"/>
    <w:rsid w:val="55831B58"/>
    <w:rsid w:val="55CE24CE"/>
    <w:rsid w:val="56210580"/>
    <w:rsid w:val="5668574E"/>
    <w:rsid w:val="56720CD4"/>
    <w:rsid w:val="56AE73D3"/>
    <w:rsid w:val="570A3D11"/>
    <w:rsid w:val="572B2059"/>
    <w:rsid w:val="57596A47"/>
    <w:rsid w:val="590D0F11"/>
    <w:rsid w:val="595A538C"/>
    <w:rsid w:val="59740C41"/>
    <w:rsid w:val="5ABE2723"/>
    <w:rsid w:val="5B014FBA"/>
    <w:rsid w:val="5B5427A1"/>
    <w:rsid w:val="5B702AF7"/>
    <w:rsid w:val="5B8D5AB4"/>
    <w:rsid w:val="5B9670C7"/>
    <w:rsid w:val="5BE030F7"/>
    <w:rsid w:val="5C1D6E2F"/>
    <w:rsid w:val="5C841FC5"/>
    <w:rsid w:val="5C945334"/>
    <w:rsid w:val="5CDD0B6B"/>
    <w:rsid w:val="5CF05758"/>
    <w:rsid w:val="5D7F4F5F"/>
    <w:rsid w:val="5E6C1B95"/>
    <w:rsid w:val="5F093F14"/>
    <w:rsid w:val="5FE873D0"/>
    <w:rsid w:val="6001278B"/>
    <w:rsid w:val="607650C4"/>
    <w:rsid w:val="61A11716"/>
    <w:rsid w:val="620307DC"/>
    <w:rsid w:val="62194315"/>
    <w:rsid w:val="629D079B"/>
    <w:rsid w:val="62A46C43"/>
    <w:rsid w:val="62A56FE4"/>
    <w:rsid w:val="62C872EC"/>
    <w:rsid w:val="62D838E4"/>
    <w:rsid w:val="63AB062A"/>
    <w:rsid w:val="63B204C7"/>
    <w:rsid w:val="641E5DDD"/>
    <w:rsid w:val="6459560E"/>
    <w:rsid w:val="65180D77"/>
    <w:rsid w:val="6525296D"/>
    <w:rsid w:val="65B17A87"/>
    <w:rsid w:val="65D33E68"/>
    <w:rsid w:val="66141025"/>
    <w:rsid w:val="66DE7C0F"/>
    <w:rsid w:val="66EB6C1F"/>
    <w:rsid w:val="6700694D"/>
    <w:rsid w:val="677D4B1E"/>
    <w:rsid w:val="67F6528F"/>
    <w:rsid w:val="68B202B8"/>
    <w:rsid w:val="69494F81"/>
    <w:rsid w:val="699177D7"/>
    <w:rsid w:val="699851AD"/>
    <w:rsid w:val="6A002366"/>
    <w:rsid w:val="6A696B49"/>
    <w:rsid w:val="6AE3279B"/>
    <w:rsid w:val="6AF7675F"/>
    <w:rsid w:val="6B633C67"/>
    <w:rsid w:val="6BF13EE7"/>
    <w:rsid w:val="6BFD2269"/>
    <w:rsid w:val="6CA36342"/>
    <w:rsid w:val="6D0E4456"/>
    <w:rsid w:val="6D4318D3"/>
    <w:rsid w:val="6D453BCD"/>
    <w:rsid w:val="6D4A1DD4"/>
    <w:rsid w:val="6D6C5E40"/>
    <w:rsid w:val="6D846981"/>
    <w:rsid w:val="6DB85F36"/>
    <w:rsid w:val="6E4E22DE"/>
    <w:rsid w:val="6E6248D9"/>
    <w:rsid w:val="6F841238"/>
    <w:rsid w:val="6FB97C2B"/>
    <w:rsid w:val="70310109"/>
    <w:rsid w:val="704600CC"/>
    <w:rsid w:val="70E55A63"/>
    <w:rsid w:val="71811C79"/>
    <w:rsid w:val="725500BC"/>
    <w:rsid w:val="727C360C"/>
    <w:rsid w:val="729D7D42"/>
    <w:rsid w:val="73BB6668"/>
    <w:rsid w:val="740B0ACF"/>
    <w:rsid w:val="74122E1F"/>
    <w:rsid w:val="746C1FCC"/>
    <w:rsid w:val="746C33F9"/>
    <w:rsid w:val="74DE0C44"/>
    <w:rsid w:val="75A75379"/>
    <w:rsid w:val="75EA7560"/>
    <w:rsid w:val="76721C83"/>
    <w:rsid w:val="76C6501D"/>
    <w:rsid w:val="7758220A"/>
    <w:rsid w:val="78737741"/>
    <w:rsid w:val="78E026CC"/>
    <w:rsid w:val="7918723C"/>
    <w:rsid w:val="7A024BBA"/>
    <w:rsid w:val="7A9B2D4F"/>
    <w:rsid w:val="7AD462D8"/>
    <w:rsid w:val="7AE41F25"/>
    <w:rsid w:val="7B226FCC"/>
    <w:rsid w:val="7B5D4570"/>
    <w:rsid w:val="7B6A5915"/>
    <w:rsid w:val="7B8D6DB6"/>
    <w:rsid w:val="7B912EB4"/>
    <w:rsid w:val="7B975C71"/>
    <w:rsid w:val="7B9B143E"/>
    <w:rsid w:val="7BD74C39"/>
    <w:rsid w:val="7BE954D1"/>
    <w:rsid w:val="7C045F98"/>
    <w:rsid w:val="7CEF67D5"/>
    <w:rsid w:val="7DB223FB"/>
    <w:rsid w:val="7DC93444"/>
    <w:rsid w:val="7DDE49BE"/>
    <w:rsid w:val="7E032ED6"/>
    <w:rsid w:val="7E65091E"/>
    <w:rsid w:val="7F497DF4"/>
    <w:rsid w:val="7F5434CC"/>
    <w:rsid w:val="7F672134"/>
    <w:rsid w:val="7FBE25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19" w:lineRule="auto"/>
      <w:outlineLvl w:val="6"/>
    </w:pPr>
    <w:rPr>
      <w:b/>
      <w:sz w:val="24"/>
    </w:rPr>
  </w:style>
  <w:style w:type="paragraph" w:styleId="10">
    <w:name w:val="heading 8"/>
    <w:basedOn w:val="1"/>
    <w:next w:val="7"/>
    <w:qFormat/>
    <w:uiPriority w:val="0"/>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19" w:lineRule="auto"/>
      <w:outlineLvl w:val="8"/>
    </w:pPr>
    <w:rPr>
      <w:rFonts w:ascii="Arial" w:hAnsi="Arial" w:eastAsia="黑体"/>
    </w:rPr>
  </w:style>
  <w:style w:type="character" w:default="1" w:styleId="42">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2"/>
    <w:qFormat/>
    <w:uiPriority w:val="0"/>
    <w:pPr>
      <w:ind w:firstLine="420"/>
    </w:pPr>
    <w:rPr>
      <w:szCs w:val="20"/>
    </w:rPr>
  </w:style>
  <w:style w:type="paragraph" w:styleId="12">
    <w:name w:val="List 3"/>
    <w:basedOn w:val="1"/>
    <w:qFormat/>
    <w:uiPriority w:val="0"/>
    <w:pPr>
      <w:ind w:left="600" w:leftChars="400" w:hanging="200" w:hangingChars="2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54"/>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w:basedOn w:val="1"/>
    <w:link w:val="55"/>
    <w:qFormat/>
    <w:uiPriority w:val="0"/>
    <w:pPr>
      <w:spacing w:after="120"/>
    </w:pPr>
  </w:style>
  <w:style w:type="paragraph" w:styleId="19">
    <w:name w:val="Body Text Indent"/>
    <w:basedOn w:val="1"/>
    <w:link w:val="56"/>
    <w:qFormat/>
    <w:uiPriority w:val="0"/>
    <w:pPr>
      <w:ind w:firstLine="352" w:firstLineChars="352"/>
    </w:pPr>
    <w:rPr>
      <w:rFonts w:ascii="仿宋_GB2312" w:eastAsia="仿宋_GB2312"/>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400" w:leftChars="200" w:hanging="200" w:hangingChars="200"/>
    </w:pPr>
    <w:rPr>
      <w:sz w:val="28"/>
    </w:rPr>
  </w:style>
  <w:style w:type="paragraph" w:styleId="22">
    <w:name w:val="Block Text"/>
    <w:basedOn w:val="1"/>
    <w:unhideWhenUsed/>
    <w:qFormat/>
    <w:uiPriority w:val="99"/>
    <w:pPr>
      <w:spacing w:after="120"/>
      <w:ind w:left="1440" w:leftChars="700" w:right="700" w:rightChars="700"/>
    </w:pPr>
  </w:style>
  <w:style w:type="paragraph" w:styleId="23">
    <w:name w:val="Plain Text"/>
    <w:basedOn w:val="1"/>
    <w:link w:val="59"/>
    <w:qFormat/>
    <w:uiPriority w:val="0"/>
    <w:rPr>
      <w:rFonts w:ascii="宋体" w:cs="Courier New"/>
      <w:szCs w:val="21"/>
    </w:rPr>
  </w:style>
  <w:style w:type="paragraph" w:styleId="24">
    <w:name w:val="Date"/>
    <w:basedOn w:val="1"/>
    <w:next w:val="1"/>
    <w:qFormat/>
    <w:uiPriority w:val="0"/>
    <w:pPr>
      <w:ind w:left="2500" w:leftChars="2500"/>
    </w:pPr>
  </w:style>
  <w:style w:type="paragraph" w:styleId="25">
    <w:name w:val="Body Text Indent 2"/>
    <w:basedOn w:val="1"/>
    <w:qFormat/>
    <w:uiPriority w:val="0"/>
    <w:pPr>
      <w:ind w:firstLine="630"/>
    </w:pPr>
    <w:rPr>
      <w:sz w:val="32"/>
      <w:szCs w:val="20"/>
    </w:rPr>
  </w:style>
  <w:style w:type="paragraph" w:styleId="26">
    <w:name w:val="endnote text"/>
    <w:basedOn w:val="1"/>
    <w:qFormat/>
    <w:uiPriority w:val="0"/>
    <w:pPr>
      <w:snapToGrid w:val="0"/>
      <w:jc w:val="left"/>
    </w:pPr>
  </w:style>
  <w:style w:type="paragraph" w:styleId="27">
    <w:name w:val="Balloon Text"/>
    <w:basedOn w:val="1"/>
    <w:link w:val="61"/>
    <w:qFormat/>
    <w:uiPriority w:val="0"/>
    <w:rPr>
      <w:sz w:val="18"/>
      <w:szCs w:val="18"/>
    </w:rPr>
  </w:style>
  <w:style w:type="paragraph" w:styleId="28">
    <w:name w:val="footer"/>
    <w:basedOn w:val="1"/>
    <w:next w:val="1"/>
    <w:link w:val="62"/>
    <w:qFormat/>
    <w:uiPriority w:val="99"/>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index heading"/>
    <w:basedOn w:val="1"/>
    <w:next w:val="31"/>
    <w:qFormat/>
    <w:uiPriority w:val="0"/>
    <w:rPr>
      <w:szCs w:val="20"/>
    </w:rPr>
  </w:style>
  <w:style w:type="paragraph" w:styleId="31">
    <w:name w:val="index 1"/>
    <w:basedOn w:val="1"/>
    <w:next w:val="1"/>
    <w:qFormat/>
    <w:uiPriority w:val="0"/>
    <w:pPr>
      <w:spacing w:line="320" w:lineRule="exact"/>
      <w:ind w:firstLine="150" w:firstLineChars="150"/>
    </w:pPr>
    <w:rPr>
      <w:rFonts w:ascii="宋体"/>
      <w:bCs/>
      <w:szCs w:val="21"/>
    </w:rPr>
  </w:style>
  <w:style w:type="paragraph" w:styleId="32">
    <w:name w:val="List"/>
    <w:basedOn w:val="1"/>
    <w:qFormat/>
    <w:uiPriority w:val="0"/>
    <w:pPr>
      <w:ind w:left="200" w:hanging="200" w:hangingChars="200"/>
    </w:pPr>
    <w:rPr>
      <w:sz w:val="28"/>
    </w:rPr>
  </w:style>
  <w:style w:type="paragraph" w:styleId="33">
    <w:name w:val="footnote text"/>
    <w:basedOn w:val="1"/>
    <w:qFormat/>
    <w:uiPriority w:val="0"/>
    <w:pPr>
      <w:snapToGrid w:val="0"/>
      <w:jc w:val="left"/>
    </w:pPr>
    <w:rPr>
      <w:sz w:val="18"/>
      <w:szCs w:val="18"/>
    </w:rPr>
  </w:style>
  <w:style w:type="paragraph" w:styleId="34">
    <w:name w:val="Body Text Indent 3"/>
    <w:basedOn w:val="1"/>
    <w:qFormat/>
    <w:uiPriority w:val="0"/>
    <w:pPr>
      <w:spacing w:after="120"/>
      <w:ind w:left="200" w:leftChars="200"/>
    </w:pPr>
    <w:rPr>
      <w:sz w:val="16"/>
      <w:szCs w:val="16"/>
    </w:rPr>
  </w:style>
  <w:style w:type="paragraph" w:styleId="35">
    <w:name w:val="Body Text 2"/>
    <w:basedOn w:val="1"/>
    <w:qFormat/>
    <w:uiPriority w:val="0"/>
    <w:pPr>
      <w:spacing w:after="120" w:line="480" w:lineRule="auto"/>
    </w:pPr>
  </w:style>
  <w:style w:type="paragraph" w:styleId="3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37">
    <w:name w:val="Normal (Web)"/>
    <w:basedOn w:val="1"/>
    <w:qFormat/>
    <w:uiPriority w:val="0"/>
    <w:pPr>
      <w:widowControl/>
      <w:spacing w:before="100" w:beforeAutospacing="1" w:after="100" w:afterAutospacing="1"/>
      <w:jc w:val="left"/>
    </w:pPr>
    <w:rPr>
      <w:rFonts w:ascii="宋体"/>
      <w:kern w:val="0"/>
      <w:sz w:val="24"/>
    </w:rPr>
  </w:style>
  <w:style w:type="paragraph" w:styleId="38">
    <w:name w:val="Title"/>
    <w:basedOn w:val="1"/>
    <w:next w:val="1"/>
    <w:qFormat/>
    <w:uiPriority w:val="0"/>
    <w:pPr>
      <w:spacing w:before="240" w:after="60"/>
      <w:jc w:val="center"/>
      <w:outlineLvl w:val="0"/>
    </w:pPr>
    <w:rPr>
      <w:rFonts w:ascii="Cambria" w:hAnsi="Cambria"/>
      <w:b/>
      <w:bCs/>
      <w:sz w:val="32"/>
      <w:szCs w:val="32"/>
    </w:rPr>
  </w:style>
  <w:style w:type="paragraph" w:styleId="39">
    <w:name w:val="annotation subject"/>
    <w:basedOn w:val="16"/>
    <w:next w:val="16"/>
    <w:qFormat/>
    <w:uiPriority w:val="0"/>
    <w:rPr>
      <w:b/>
      <w:bCs/>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22"/>
    <w:rPr>
      <w:rFonts w:ascii="Tahoma" w:hAnsi="Tahoma" w:eastAsia="宋体"/>
      <w:b/>
      <w:bCs/>
      <w:spacing w:val="10"/>
      <w:kern w:val="2"/>
      <w:sz w:val="24"/>
      <w:szCs w:val="24"/>
      <w:lang w:val="en-US" w:eastAsia="zh-CN" w:bidi="ar-SA"/>
    </w:rPr>
  </w:style>
  <w:style w:type="character" w:styleId="44">
    <w:name w:val="page number"/>
    <w:qFormat/>
    <w:uiPriority w:val="0"/>
  </w:style>
  <w:style w:type="character" w:styleId="45">
    <w:name w:val="FollowedHyperlink"/>
    <w:qFormat/>
    <w:uiPriority w:val="0"/>
    <w:rPr>
      <w:color w:val="800080"/>
      <w:u w:val="single"/>
    </w:rPr>
  </w:style>
  <w:style w:type="character" w:styleId="46">
    <w:name w:val="Emphasis"/>
    <w:qFormat/>
    <w:uiPriority w:val="0"/>
    <w:rPr>
      <w:color w:val="CC0033"/>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eastAsia="宋体"/>
      <w:b/>
      <w:bCs/>
      <w:kern w:val="44"/>
      <w:sz w:val="44"/>
      <w:szCs w:val="44"/>
      <w:lang w:val="en-US" w:eastAsia="zh-CN" w:bidi="ar-SA"/>
    </w:rPr>
  </w:style>
  <w:style w:type="character" w:customStyle="1" w:styleId="50">
    <w:name w:val="标题 2 Char1"/>
    <w:link w:val="3"/>
    <w:qFormat/>
    <w:uiPriority w:val="0"/>
    <w:rPr>
      <w:rFonts w:ascii="Cambria" w:hAnsi="Cambria" w:eastAsia="宋体"/>
      <w:b/>
      <w:bCs/>
      <w:kern w:val="2"/>
      <w:sz w:val="32"/>
      <w:szCs w:val="32"/>
      <w:lang w:val="en-US" w:eastAsia="zh-CN" w:bidi="ar-SA"/>
    </w:rPr>
  </w:style>
  <w:style w:type="character" w:customStyle="1" w:styleId="51">
    <w:name w:val="标题 3 Char"/>
    <w:link w:val="4"/>
    <w:qFormat/>
    <w:uiPriority w:val="0"/>
    <w:rPr>
      <w:rFonts w:eastAsia="宋体"/>
      <w:b/>
      <w:bCs/>
      <w:kern w:val="2"/>
      <w:sz w:val="32"/>
      <w:szCs w:val="32"/>
      <w:lang w:val="en-US" w:eastAsia="zh-CN" w:bidi="ar-SA"/>
    </w:rPr>
  </w:style>
  <w:style w:type="character" w:customStyle="1" w:styleId="52">
    <w:name w:val="正文缩进 Char"/>
    <w:link w:val="7"/>
    <w:semiHidden/>
    <w:qFormat/>
    <w:locked/>
    <w:uiPriority w:val="0"/>
    <w:rPr>
      <w:rFonts w:eastAsia="宋体"/>
      <w:kern w:val="2"/>
      <w:sz w:val="21"/>
      <w:lang w:val="en-US" w:eastAsia="zh-CN" w:bidi="ar-SA"/>
    </w:rPr>
  </w:style>
  <w:style w:type="paragraph" w:customStyle="1" w:styleId="53">
    <w:name w:val="目录 71"/>
    <w:basedOn w:val="1"/>
    <w:next w:val="1"/>
    <w:qFormat/>
    <w:uiPriority w:val="0"/>
    <w:pPr>
      <w:ind w:left="1200" w:leftChars="1200"/>
    </w:pPr>
    <w:rPr>
      <w:rFonts w:ascii="Calibri" w:hAnsi="Calibri"/>
      <w:szCs w:val="22"/>
    </w:rPr>
  </w:style>
  <w:style w:type="character" w:customStyle="1" w:styleId="54">
    <w:name w:val="批注文字 Char"/>
    <w:link w:val="16"/>
    <w:qFormat/>
    <w:uiPriority w:val="0"/>
    <w:rPr>
      <w:rFonts w:eastAsia="宋体"/>
      <w:kern w:val="2"/>
      <w:sz w:val="21"/>
      <w:szCs w:val="24"/>
      <w:lang w:val="en-US" w:eastAsia="zh-CN" w:bidi="ar-SA"/>
    </w:rPr>
  </w:style>
  <w:style w:type="character" w:customStyle="1" w:styleId="55">
    <w:name w:val="正文文本 Char"/>
    <w:link w:val="18"/>
    <w:qFormat/>
    <w:uiPriority w:val="0"/>
    <w:rPr>
      <w:kern w:val="2"/>
      <w:sz w:val="21"/>
      <w:szCs w:val="24"/>
    </w:rPr>
  </w:style>
  <w:style w:type="character" w:customStyle="1" w:styleId="56">
    <w:name w:val="正文文本缩进 Char"/>
    <w:link w:val="19"/>
    <w:qFormat/>
    <w:uiPriority w:val="0"/>
    <w:rPr>
      <w:rFonts w:ascii="仿宋_GB2312" w:eastAsia="仿宋_GB2312"/>
      <w:kern w:val="2"/>
      <w:sz w:val="32"/>
      <w:lang w:val="en-US" w:eastAsia="zh-CN" w:bidi="ar-SA"/>
    </w:rPr>
  </w:style>
  <w:style w:type="paragraph" w:customStyle="1" w:styleId="57">
    <w:name w:val="目录 51"/>
    <w:basedOn w:val="1"/>
    <w:next w:val="1"/>
    <w:qFormat/>
    <w:uiPriority w:val="0"/>
    <w:pPr>
      <w:ind w:left="800" w:leftChars="800"/>
    </w:pPr>
    <w:rPr>
      <w:rFonts w:ascii="Calibri" w:hAnsi="Calibri"/>
      <w:szCs w:val="22"/>
    </w:rPr>
  </w:style>
  <w:style w:type="paragraph" w:customStyle="1" w:styleId="58">
    <w:name w:val="目录 31"/>
    <w:basedOn w:val="1"/>
    <w:next w:val="1"/>
    <w:qFormat/>
    <w:uiPriority w:val="0"/>
    <w:pPr>
      <w:ind w:left="400" w:leftChars="400"/>
    </w:pPr>
    <w:rPr>
      <w:rFonts w:ascii="Calibri" w:hAnsi="Calibri"/>
      <w:szCs w:val="22"/>
    </w:rPr>
  </w:style>
  <w:style w:type="character" w:customStyle="1" w:styleId="59">
    <w:name w:val="纯文本 Char"/>
    <w:link w:val="23"/>
    <w:qFormat/>
    <w:uiPriority w:val="0"/>
    <w:rPr>
      <w:rFonts w:ascii="宋体" w:eastAsia="宋体" w:cs="Courier New"/>
      <w:kern w:val="2"/>
      <w:sz w:val="21"/>
      <w:szCs w:val="21"/>
      <w:lang w:val="en-US" w:eastAsia="zh-CN" w:bidi="ar-SA"/>
    </w:rPr>
  </w:style>
  <w:style w:type="paragraph" w:customStyle="1" w:styleId="60">
    <w:name w:val="目录 81"/>
    <w:basedOn w:val="1"/>
    <w:next w:val="1"/>
    <w:qFormat/>
    <w:uiPriority w:val="0"/>
    <w:pPr>
      <w:ind w:left="1400" w:leftChars="1400"/>
    </w:pPr>
    <w:rPr>
      <w:rFonts w:ascii="Calibri" w:hAnsi="Calibri"/>
      <w:szCs w:val="22"/>
    </w:rPr>
  </w:style>
  <w:style w:type="character" w:customStyle="1" w:styleId="61">
    <w:name w:val="批注框文本 Char"/>
    <w:link w:val="27"/>
    <w:qFormat/>
    <w:uiPriority w:val="0"/>
    <w:rPr>
      <w:rFonts w:eastAsia="宋体"/>
      <w:kern w:val="2"/>
      <w:sz w:val="18"/>
      <w:szCs w:val="18"/>
      <w:lang w:val="en-US" w:eastAsia="zh-CN" w:bidi="ar-SA"/>
    </w:rPr>
  </w:style>
  <w:style w:type="character" w:customStyle="1" w:styleId="62">
    <w:name w:val="页脚 Char"/>
    <w:link w:val="28"/>
    <w:qFormat/>
    <w:uiPriority w:val="99"/>
    <w:rPr>
      <w:rFonts w:eastAsia="宋体"/>
      <w:kern w:val="2"/>
      <w:sz w:val="18"/>
      <w:szCs w:val="18"/>
      <w:lang w:val="en-US" w:eastAsia="zh-CN" w:bidi="ar-SA"/>
    </w:rPr>
  </w:style>
  <w:style w:type="paragraph" w:customStyle="1" w:styleId="63">
    <w:name w:val="目录 11"/>
    <w:basedOn w:val="1"/>
    <w:next w:val="1"/>
    <w:qFormat/>
    <w:uiPriority w:val="39"/>
  </w:style>
  <w:style w:type="paragraph" w:customStyle="1" w:styleId="64">
    <w:name w:val="目录 41"/>
    <w:basedOn w:val="1"/>
    <w:next w:val="1"/>
    <w:qFormat/>
    <w:uiPriority w:val="0"/>
    <w:pPr>
      <w:ind w:left="600" w:leftChars="600"/>
    </w:pPr>
    <w:rPr>
      <w:rFonts w:ascii="Calibri" w:hAnsi="Calibri"/>
      <w:szCs w:val="22"/>
    </w:rPr>
  </w:style>
  <w:style w:type="paragraph" w:customStyle="1" w:styleId="65">
    <w:name w:val="目录 61"/>
    <w:basedOn w:val="1"/>
    <w:next w:val="1"/>
    <w:qFormat/>
    <w:uiPriority w:val="0"/>
    <w:pPr>
      <w:ind w:left="1000" w:leftChars="1000"/>
    </w:pPr>
    <w:rPr>
      <w:rFonts w:ascii="Calibri" w:hAnsi="Calibri"/>
      <w:szCs w:val="22"/>
    </w:rPr>
  </w:style>
  <w:style w:type="paragraph" w:customStyle="1" w:styleId="66">
    <w:name w:val="目录 21"/>
    <w:basedOn w:val="1"/>
    <w:next w:val="1"/>
    <w:qFormat/>
    <w:uiPriority w:val="39"/>
    <w:pPr>
      <w:ind w:left="200" w:leftChars="200"/>
    </w:pPr>
  </w:style>
  <w:style w:type="paragraph" w:customStyle="1" w:styleId="67">
    <w:name w:val="目录 91"/>
    <w:basedOn w:val="1"/>
    <w:next w:val="1"/>
    <w:qFormat/>
    <w:uiPriority w:val="0"/>
    <w:pPr>
      <w:ind w:left="1600" w:leftChars="1600"/>
    </w:pPr>
    <w:rPr>
      <w:rFonts w:ascii="Calibri" w:hAnsi="Calibri"/>
      <w:szCs w:val="22"/>
    </w:rPr>
  </w:style>
  <w:style w:type="paragraph" w:customStyle="1" w:styleId="68">
    <w:name w:val="正文首行缩进1"/>
    <w:basedOn w:val="18"/>
    <w:qFormat/>
    <w:uiPriority w:val="0"/>
    <w:pPr>
      <w:ind w:firstLine="100" w:firstLineChars="100"/>
    </w:pPr>
    <w:rPr>
      <w:rFonts w:ascii="宋体"/>
      <w:kern w:val="0"/>
      <w:sz w:val="20"/>
      <w:szCs w:val="21"/>
    </w:rPr>
  </w:style>
  <w:style w:type="character" w:customStyle="1" w:styleId="69">
    <w:name w:val="纯文本 Char3"/>
    <w:qFormat/>
    <w:uiPriority w:val="0"/>
    <w:rPr>
      <w:rFonts w:ascii="宋体" w:hAnsi="Courier New" w:eastAsia="宋体"/>
      <w:kern w:val="2"/>
      <w:sz w:val="21"/>
      <w:lang w:val="en-US" w:eastAsia="zh-CN" w:bidi="ar-SA"/>
    </w:rPr>
  </w:style>
  <w:style w:type="character" w:customStyle="1" w:styleId="70">
    <w:name w:val="Char Char14"/>
    <w:qFormat/>
    <w:uiPriority w:val="0"/>
    <w:rPr>
      <w:rFonts w:ascii="Cambria" w:hAnsi="Cambria" w:eastAsia="宋体" w:cs="Times New Roman"/>
      <w:sz w:val="21"/>
      <w:szCs w:val="21"/>
      <w:lang w:bidi="ar-SA"/>
    </w:rPr>
  </w:style>
  <w:style w:type="character" w:customStyle="1" w:styleId="71">
    <w:name w:val="无缩进 Char"/>
    <w:qFormat/>
    <w:uiPriority w:val="0"/>
    <w:rPr>
      <w:rFonts w:ascii="Times New Roman" w:hAnsi="Times New Roman" w:eastAsia="宋体" w:cs="Times New Roman"/>
      <w:kern w:val="2"/>
      <w:sz w:val="21"/>
      <w:szCs w:val="20"/>
      <w:lang w:bidi="ar-SA"/>
    </w:rPr>
  </w:style>
  <w:style w:type="character" w:customStyle="1" w:styleId="72">
    <w:name w:val="st1"/>
    <w:qFormat/>
    <w:uiPriority w:val="0"/>
  </w:style>
  <w:style w:type="character" w:customStyle="1" w:styleId="73">
    <w:name w:val="Char Char15"/>
    <w:qFormat/>
    <w:uiPriority w:val="0"/>
    <w:rPr>
      <w:rFonts w:ascii="Cambria" w:hAnsi="Cambria" w:eastAsia="宋体" w:cs="Times New Roman"/>
      <w:sz w:val="24"/>
      <w:szCs w:val="24"/>
      <w:lang w:bidi="ar-SA"/>
    </w:rPr>
  </w:style>
  <w:style w:type="character" w:customStyle="1" w:styleId="74">
    <w:name w:val="Char Char17"/>
    <w:qFormat/>
    <w:uiPriority w:val="0"/>
    <w:rPr>
      <w:rFonts w:ascii="Cambria" w:hAnsi="Cambria" w:eastAsia="宋体" w:cs="Times New Roman"/>
      <w:b/>
      <w:bCs/>
      <w:sz w:val="24"/>
      <w:szCs w:val="24"/>
      <w:lang w:bidi="ar-SA"/>
    </w:rPr>
  </w:style>
  <w:style w:type="character" w:customStyle="1" w:styleId="75">
    <w:name w:val="纯文本 字符"/>
    <w:qFormat/>
    <w:uiPriority w:val="0"/>
    <w:rPr>
      <w:rFonts w:ascii="宋体" w:hAnsi="Courier New" w:eastAsia="宋体"/>
      <w:kern w:val="2"/>
      <w:sz w:val="21"/>
      <w:lang w:val="en-US" w:eastAsia="zh-CN" w:bidi="ar-SA"/>
    </w:rPr>
  </w:style>
  <w:style w:type="character" w:customStyle="1" w:styleId="76">
    <w:name w:val="普通文字 Char Char2"/>
    <w:qFormat/>
    <w:uiPriority w:val="0"/>
    <w:rPr>
      <w:rFonts w:ascii="宋体" w:eastAsia="宋体"/>
      <w:kern w:val="2"/>
      <w:sz w:val="21"/>
      <w:lang w:val="en-US" w:eastAsia="zh-CN" w:bidi="ar-SA"/>
    </w:rPr>
  </w:style>
  <w:style w:type="character" w:customStyle="1" w:styleId="77">
    <w:name w:val="textcontents"/>
    <w:qFormat/>
    <w:uiPriority w:val="0"/>
  </w:style>
  <w:style w:type="character" w:customStyle="1" w:styleId="78">
    <w:name w:val="普通文字 Char Char1"/>
    <w:qFormat/>
    <w:uiPriority w:val="0"/>
    <w:rPr>
      <w:rFonts w:ascii="宋体" w:hAnsi="Courier New" w:eastAsia="宋体" w:cs="Courier New"/>
      <w:kern w:val="2"/>
      <w:sz w:val="21"/>
      <w:szCs w:val="21"/>
      <w:lang w:val="en-US" w:eastAsia="zh-CN" w:bidi="ar-SA"/>
    </w:rPr>
  </w:style>
  <w:style w:type="character" w:customStyle="1" w:styleId="79">
    <w:name w:val="Char Char16"/>
    <w:qFormat/>
    <w:uiPriority w:val="0"/>
    <w:rPr>
      <w:rFonts w:ascii="Calibri" w:hAnsi="Calibri" w:eastAsia="宋体" w:cs="Times New Roman"/>
      <w:b/>
      <w:bCs/>
      <w:sz w:val="24"/>
      <w:szCs w:val="24"/>
      <w:lang w:bidi="ar-SA"/>
    </w:rPr>
  </w:style>
  <w:style w:type="character" w:customStyle="1" w:styleId="80">
    <w:name w:val="ca-1"/>
    <w:qFormat/>
    <w:uiPriority w:val="0"/>
  </w:style>
  <w:style w:type="character" w:customStyle="1" w:styleId="81">
    <w:name w:val="apple-style-span"/>
    <w:qFormat/>
    <w:uiPriority w:val="0"/>
  </w:style>
  <w:style w:type="character" w:customStyle="1" w:styleId="82">
    <w:name w:val="标题 2 Char"/>
    <w:qFormat/>
    <w:uiPriority w:val="0"/>
    <w:rPr>
      <w:rFonts w:ascii="Cambria" w:hAnsi="Cambria" w:eastAsia="宋体" w:cs="Times New Roman"/>
      <w:b/>
      <w:bCs/>
      <w:color w:val="4F81BD"/>
      <w:kern w:val="2"/>
      <w:sz w:val="26"/>
      <w:szCs w:val="26"/>
      <w:lang w:bidi="ar-SA"/>
    </w:rPr>
  </w:style>
  <w:style w:type="character" w:customStyle="1" w:styleId="83">
    <w:name w:val="apple-converted-space"/>
    <w:qFormat/>
    <w:uiPriority w:val="0"/>
  </w:style>
  <w:style w:type="character" w:customStyle="1" w:styleId="84">
    <w:name w:val="ca-2"/>
    <w:qFormat/>
    <w:uiPriority w:val="0"/>
  </w:style>
  <w:style w:type="character" w:customStyle="1" w:styleId="85">
    <w:name w:val="Char Char11"/>
    <w:qFormat/>
    <w:uiPriority w:val="0"/>
    <w:rPr>
      <w:rFonts w:ascii="Times New Roman" w:hAnsi="Times New Roman" w:eastAsia="宋体" w:cs="Times New Roman"/>
      <w:kern w:val="2"/>
      <w:sz w:val="21"/>
      <w:szCs w:val="20"/>
      <w:lang w:bidi="ar-SA"/>
    </w:rPr>
  </w:style>
  <w:style w:type="character" w:customStyle="1" w:styleId="86">
    <w:name w:val="Char Char9"/>
    <w:qFormat/>
    <w:uiPriority w:val="0"/>
    <w:rPr>
      <w:rFonts w:ascii="Calibri" w:hAnsi="Calibri" w:eastAsia="宋体" w:cs="Times New Roman"/>
      <w:kern w:val="2"/>
      <w:sz w:val="18"/>
      <w:szCs w:val="18"/>
      <w:lang w:val="en-US" w:eastAsia="zh-CN" w:bidi="ar-SA"/>
    </w:rPr>
  </w:style>
  <w:style w:type="character" w:customStyle="1" w:styleId="87">
    <w:name w:val="fontorange1"/>
    <w:qFormat/>
    <w:uiPriority w:val="0"/>
    <w:rPr>
      <w:rFonts w:ascii="ˎ̥" w:hAnsi="ˎ̥" w:eastAsia="宋体"/>
      <w:color w:val="FF6600"/>
      <w:kern w:val="2"/>
      <w:sz w:val="18"/>
      <w:szCs w:val="18"/>
      <w:lang w:val="en-US" w:eastAsia="zh-CN" w:bidi="ar-SA"/>
    </w:rPr>
  </w:style>
  <w:style w:type="character" w:customStyle="1" w:styleId="88">
    <w:name w:val="未处理的提及1"/>
    <w:unhideWhenUsed/>
    <w:qFormat/>
    <w:uiPriority w:val="99"/>
    <w:rPr>
      <w:color w:val="605E5C"/>
      <w:shd w:val="clear" w:color="auto" w:fill="E1DFDD"/>
    </w:rPr>
  </w:style>
  <w:style w:type="character" w:customStyle="1" w:styleId="89">
    <w:name w:val="Char Char171"/>
    <w:qFormat/>
    <w:uiPriority w:val="0"/>
    <w:rPr>
      <w:rFonts w:ascii="Calibri" w:hAnsi="Calibri" w:eastAsia="宋体" w:cs="Times New Roman"/>
      <w:b/>
      <w:bCs/>
      <w:kern w:val="2"/>
      <w:sz w:val="32"/>
      <w:szCs w:val="32"/>
      <w:lang w:val="en-US" w:eastAsia="zh-CN" w:bidi="ar-SA"/>
    </w:rPr>
  </w:style>
  <w:style w:type="character" w:customStyle="1" w:styleId="90">
    <w:name w:val="Char Char3"/>
    <w:qFormat/>
    <w:locked/>
    <w:uiPriority w:val="0"/>
    <w:rPr>
      <w:rFonts w:ascii="宋体" w:hAnsi="宋体" w:eastAsia="宋体"/>
      <w:kern w:val="2"/>
      <w:sz w:val="21"/>
      <w:szCs w:val="24"/>
      <w:lang w:val="en-US" w:eastAsia="zh-CN" w:bidi="ar-SA"/>
    </w:rPr>
  </w:style>
  <w:style w:type="character" w:customStyle="1" w:styleId="91">
    <w:name w:val="2nd level Char"/>
    <w:qFormat/>
    <w:uiPriority w:val="0"/>
    <w:rPr>
      <w:rFonts w:ascii="Arial" w:hAnsi="Arial" w:eastAsia="黑体" w:cs="Times New Roman"/>
      <w:b/>
      <w:bCs/>
      <w:kern w:val="2"/>
      <w:sz w:val="32"/>
      <w:szCs w:val="32"/>
      <w:lang w:bidi="ar-SA"/>
    </w:rPr>
  </w:style>
  <w:style w:type="character" w:customStyle="1" w:styleId="92">
    <w:name w:val="1ji Char"/>
    <w:link w:val="93"/>
    <w:qFormat/>
    <w:uiPriority w:val="0"/>
    <w:rPr>
      <w:rFonts w:ascii="宋体" w:hAnsi="宋体" w:eastAsia="仿宋_GB2312"/>
      <w:b/>
      <w:bCs/>
      <w:kern w:val="44"/>
      <w:sz w:val="36"/>
      <w:szCs w:val="44"/>
      <w:lang w:val="en-US" w:eastAsia="zh-CN" w:bidi="ar-SA"/>
    </w:rPr>
  </w:style>
  <w:style w:type="paragraph" w:customStyle="1" w:styleId="93">
    <w:name w:val="1ji"/>
    <w:basedOn w:val="2"/>
    <w:link w:val="92"/>
    <w:qFormat/>
    <w:uiPriority w:val="0"/>
    <w:pPr>
      <w:keepLines w:val="0"/>
      <w:widowControl/>
      <w:spacing w:before="0" w:after="0" w:line="240" w:lineRule="auto"/>
      <w:jc w:val="center"/>
    </w:pPr>
    <w:rPr>
      <w:rFonts w:ascii="宋体" w:hAnsi="宋体" w:eastAsia="仿宋_GB2312"/>
      <w:sz w:val="36"/>
    </w:rPr>
  </w:style>
  <w:style w:type="character" w:customStyle="1" w:styleId="94">
    <w:name w:val="正文小标题 Char Char"/>
    <w:qFormat/>
    <w:uiPriority w:val="0"/>
    <w:rPr>
      <w:rFonts w:ascii="仿宋_GB2312" w:eastAsia="仿宋_GB2312" w:cs="Times New Roman"/>
      <w:kern w:val="2"/>
      <w:sz w:val="32"/>
      <w:szCs w:val="20"/>
      <w:lang w:bidi="ar-SA"/>
    </w:rPr>
  </w:style>
  <w:style w:type="character" w:customStyle="1" w:styleId="95">
    <w:name w:val="Char Char18"/>
    <w:qFormat/>
    <w:uiPriority w:val="0"/>
    <w:rPr>
      <w:rFonts w:ascii="Calibri" w:hAnsi="Calibri" w:eastAsia="宋体" w:cs="Times New Roman"/>
      <w:b/>
      <w:bCs/>
      <w:sz w:val="28"/>
      <w:szCs w:val="28"/>
      <w:lang w:bidi="ar-SA"/>
    </w:rPr>
  </w:style>
  <w:style w:type="character" w:customStyle="1" w:styleId="96">
    <w:name w:val="ca-12"/>
    <w:qFormat/>
    <w:uiPriority w:val="0"/>
    <w:rPr>
      <w:rFonts w:eastAsia="宋体" w:cs="Times New Roman"/>
      <w:kern w:val="2"/>
      <w:sz w:val="24"/>
      <w:szCs w:val="24"/>
      <w:lang w:val="en-US" w:eastAsia="zh-CN" w:bidi="ar-SA"/>
    </w:rPr>
  </w:style>
  <w:style w:type="character" w:customStyle="1" w:styleId="97">
    <w:name w:val="Char Char12"/>
    <w:qFormat/>
    <w:uiPriority w:val="0"/>
    <w:rPr>
      <w:rFonts w:ascii="Times New Roman" w:hAnsi="Times New Roman" w:eastAsia="宋体" w:cs="Times New Roman"/>
      <w:kern w:val="2"/>
      <w:sz w:val="18"/>
      <w:szCs w:val="18"/>
      <w:lang w:bidi="ar-SA"/>
    </w:rPr>
  </w:style>
  <w:style w:type="character" w:customStyle="1" w:styleId="98">
    <w:name w:val="Char Char13"/>
    <w:qFormat/>
    <w:uiPriority w:val="0"/>
    <w:rPr>
      <w:rFonts w:ascii="Times New Roman" w:hAnsi="Times New Roman" w:eastAsia="宋体" w:cs="Times New Roman"/>
      <w:kern w:val="2"/>
      <w:sz w:val="18"/>
      <w:szCs w:val="18"/>
      <w:lang w:bidi="ar-SA"/>
    </w:rPr>
  </w:style>
  <w:style w:type="character" w:customStyle="1" w:styleId="99">
    <w:name w:val="short_text"/>
    <w:qFormat/>
    <w:uiPriority w:val="0"/>
    <w:rPr>
      <w:rFonts w:eastAsia="宋体"/>
      <w:kern w:val="2"/>
      <w:sz w:val="24"/>
      <w:szCs w:val="24"/>
      <w:lang w:val="en-US" w:eastAsia="zh-CN" w:bidi="ar-SA"/>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普通 (Web)"/>
    <w:basedOn w:val="1"/>
    <w:qFormat/>
    <w:uiPriority w:val="0"/>
    <w:pPr>
      <w:widowControl/>
      <w:spacing w:before="100" w:beforeAutospacing="1" w:after="100" w:afterAutospacing="1"/>
      <w:jc w:val="left"/>
    </w:pPr>
    <w:rPr>
      <w:rFonts w:ascii="宋体"/>
      <w:kern w:val="0"/>
      <w:sz w:val="24"/>
      <w:szCs w:val="20"/>
    </w:rPr>
  </w:style>
  <w:style w:type="paragraph" w:customStyle="1" w:styleId="102">
    <w:name w:val="样式 首行缩进:  2 字符"/>
    <w:basedOn w:val="1"/>
    <w:qFormat/>
    <w:uiPriority w:val="0"/>
    <w:pPr>
      <w:spacing w:line="400" w:lineRule="exact"/>
      <w:ind w:firstLine="200" w:firstLineChars="200"/>
    </w:pPr>
    <w:rPr>
      <w:rFonts w:cs="宋体"/>
      <w:sz w:val="24"/>
    </w:rPr>
  </w:style>
  <w:style w:type="paragraph" w:customStyle="1" w:styleId="103">
    <w:name w:val="正文首行缩进两字符"/>
    <w:basedOn w:val="1"/>
    <w:qFormat/>
    <w:uiPriority w:val="0"/>
    <w:pPr>
      <w:spacing w:line="360" w:lineRule="auto"/>
      <w:ind w:firstLine="200" w:firstLineChars="200"/>
    </w:pPr>
  </w:style>
  <w:style w:type="paragraph" w:customStyle="1" w:styleId="104">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0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0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7">
    <w:name w:val="pa-5"/>
    <w:basedOn w:val="1"/>
    <w:qFormat/>
    <w:uiPriority w:val="0"/>
    <w:pPr>
      <w:widowControl/>
      <w:spacing w:before="150" w:after="150"/>
      <w:jc w:val="left"/>
    </w:pPr>
    <w:rPr>
      <w:rFonts w:ascii="宋体" w:hAnsi="宋体" w:cs="宋体"/>
      <w:kern w:val="0"/>
      <w:sz w:val="24"/>
    </w:rPr>
  </w:style>
  <w:style w:type="paragraph" w:customStyle="1" w:styleId="108">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0">
    <w:name w:val="TOC 标题1"/>
    <w:basedOn w:val="2"/>
    <w:next w:val="1"/>
    <w:qFormat/>
    <w:uiPriority w:val="0"/>
    <w:pPr>
      <w:widowControl/>
      <w:numPr>
        <w:ilvl w:val="0"/>
        <w:numId w:val="3"/>
      </w:numPr>
      <w:spacing w:before="480" w:after="0" w:line="276" w:lineRule="auto"/>
      <w:jc w:val="left"/>
      <w:outlineLvl w:val="9"/>
    </w:pPr>
    <w:rPr>
      <w:rFonts w:ascii="Cambria" w:hAnsi="Cambria"/>
      <w:color w:val="365F91"/>
      <w:kern w:val="0"/>
      <w:sz w:val="28"/>
      <w:szCs w:val="28"/>
    </w:rPr>
  </w:style>
  <w:style w:type="paragraph" w:customStyle="1" w:styleId="111">
    <w:name w:val="Char Char2 Char"/>
    <w:basedOn w:val="1"/>
    <w:qFormat/>
    <w:uiPriority w:val="0"/>
    <w:rPr>
      <w:rFonts w:ascii="宋体"/>
      <w:b/>
      <w:sz w:val="28"/>
      <w:szCs w:val="28"/>
    </w:rPr>
  </w:style>
  <w:style w:type="paragraph" w:customStyle="1" w:styleId="112">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3">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14">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表格"/>
    <w:basedOn w:val="1"/>
    <w:qFormat/>
    <w:uiPriority w:val="0"/>
    <w:pPr>
      <w:spacing w:line="400" w:lineRule="exact"/>
    </w:pPr>
    <w:rPr>
      <w:sz w:val="24"/>
    </w:rPr>
  </w:style>
  <w:style w:type="paragraph" w:customStyle="1" w:styleId="116">
    <w:name w:val="标题-3"/>
    <w:basedOn w:val="1"/>
    <w:qFormat/>
    <w:uiPriority w:val="0"/>
    <w:pPr>
      <w:spacing w:beforeLines="50" w:afterLines="50"/>
      <w:outlineLvl w:val="2"/>
    </w:pPr>
    <w:rPr>
      <w:rFonts w:ascii="宋体"/>
      <w:b/>
      <w:kern w:val="0"/>
      <w:sz w:val="24"/>
    </w:rPr>
  </w:style>
  <w:style w:type="paragraph" w:customStyle="1" w:styleId="117">
    <w:name w:val="Char1"/>
    <w:basedOn w:val="1"/>
    <w:qFormat/>
    <w:uiPriority w:val="0"/>
    <w:rPr>
      <w:szCs w:val="21"/>
    </w:rPr>
  </w:style>
  <w:style w:type="paragraph" w:customStyle="1" w:styleId="118">
    <w:name w:val="列出段落1"/>
    <w:basedOn w:val="1"/>
    <w:qFormat/>
    <w:uiPriority w:val="0"/>
    <w:pPr>
      <w:ind w:firstLine="200" w:firstLineChars="200"/>
    </w:pPr>
  </w:style>
  <w:style w:type="paragraph" w:customStyle="1" w:styleId="11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Cs w:val="21"/>
    </w:rPr>
  </w:style>
  <w:style w:type="paragraph" w:customStyle="1" w:styleId="121">
    <w:name w:val="修订1"/>
    <w:qFormat/>
    <w:uiPriority w:val="0"/>
    <w:rPr>
      <w:rFonts w:ascii="Times New Roman" w:hAnsi="Times New Roman" w:eastAsia="宋体" w:cs="Times New Roman"/>
      <w:kern w:val="2"/>
      <w:sz w:val="21"/>
      <w:szCs w:val="24"/>
      <w:lang w:val="en-US" w:eastAsia="zh-CN" w:bidi="ar-SA"/>
    </w:rPr>
  </w:style>
  <w:style w:type="paragraph" w:customStyle="1" w:styleId="122">
    <w:name w:val="题注5"/>
    <w:basedOn w:val="1"/>
    <w:next w:val="14"/>
    <w:qFormat/>
    <w:uiPriority w:val="0"/>
    <w:pPr>
      <w:jc w:val="center"/>
    </w:pPr>
    <w:rPr>
      <w:b/>
      <w:color w:val="000000"/>
      <w:sz w:val="24"/>
      <w:szCs w:val="21"/>
    </w:rPr>
  </w:style>
  <w:style w:type="paragraph" w:customStyle="1" w:styleId="123">
    <w:name w:val="默认段落字体 Para Char Char Char Char Char Char Char Char Char1 Char Char Char Char"/>
    <w:basedOn w:val="1"/>
    <w:qFormat/>
    <w:uiPriority w:val="0"/>
    <w:rPr>
      <w:rFonts w:ascii="Tahoma" w:hAnsi="Tahoma"/>
      <w:sz w:val="24"/>
      <w:szCs w:val="20"/>
    </w:rPr>
  </w:style>
  <w:style w:type="paragraph" w:customStyle="1" w:styleId="124">
    <w:name w:val="Char2"/>
    <w:basedOn w:val="15"/>
    <w:qFormat/>
    <w:uiPriority w:val="0"/>
    <w:rPr>
      <w:rFonts w:ascii="Tahoma" w:hAnsi="Tahoma" w:cs="Tahoma"/>
      <w:kern w:val="0"/>
      <w:sz w:val="18"/>
    </w:rPr>
  </w:style>
  <w:style w:type="paragraph" w:customStyle="1" w:styleId="125">
    <w:name w:val="Char Char Char1 Char"/>
    <w:basedOn w:val="15"/>
    <w:qFormat/>
    <w:uiPriority w:val="0"/>
  </w:style>
  <w:style w:type="paragraph" w:customStyle="1" w:styleId="126">
    <w:name w:val="五级标题"/>
    <w:basedOn w:val="1"/>
    <w:qFormat/>
    <w:uiPriority w:val="0"/>
    <w:pPr>
      <w:numPr>
        <w:ilvl w:val="0"/>
        <w:numId w:val="4"/>
      </w:numPr>
      <w:spacing w:line="360" w:lineRule="auto"/>
      <w:outlineLvl w:val="4"/>
    </w:pPr>
    <w:rPr>
      <w:rFonts w:eastAsia="黑体"/>
      <w:b/>
      <w:sz w:val="28"/>
      <w:szCs w:val="20"/>
    </w:rPr>
  </w:style>
  <w:style w:type="paragraph" w:customStyle="1" w:styleId="127">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28">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29">
    <w:name w:val="正文列表"/>
    <w:basedOn w:val="1"/>
    <w:qFormat/>
    <w:uiPriority w:val="0"/>
    <w:pPr>
      <w:autoSpaceDE w:val="0"/>
      <w:autoSpaceDN w:val="0"/>
      <w:adjustRightInd w:val="0"/>
      <w:jc w:val="center"/>
      <w:textAlignment w:val="baseline"/>
    </w:pPr>
    <w:rPr>
      <w:rFonts w:ascii="宋体"/>
      <w:kern w:val="0"/>
      <w:sz w:val="24"/>
      <w:szCs w:val="20"/>
    </w:rPr>
  </w:style>
  <w:style w:type="paragraph" w:customStyle="1" w:styleId="130">
    <w:name w:val="题注4"/>
    <w:basedOn w:val="1"/>
    <w:next w:val="14"/>
    <w:qFormat/>
    <w:uiPriority w:val="0"/>
    <w:pPr>
      <w:ind w:left="-62" w:leftChars="-64" w:right="-50" w:rightChars="-50" w:hanging="2"/>
      <w:jc w:val="center"/>
    </w:pPr>
    <w:rPr>
      <w:b/>
      <w:color w:val="FF0000"/>
      <w:szCs w:val="21"/>
      <w:lang w:val="en-GB" w:eastAsia="en-GB"/>
    </w:rPr>
  </w:style>
  <w:style w:type="paragraph" w:customStyle="1" w:styleId="131">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32">
    <w:name w:val="默认段落字体 Para Char"/>
    <w:basedOn w:val="1"/>
    <w:qFormat/>
    <w:uiPriority w:val="0"/>
    <w:rPr>
      <w:rFonts w:ascii="宋体"/>
      <w:b/>
      <w:sz w:val="28"/>
      <w:szCs w:val="28"/>
    </w:rPr>
  </w:style>
  <w:style w:type="paragraph" w:customStyle="1" w:styleId="133">
    <w:name w:val="_Style 35"/>
    <w:basedOn w:val="15"/>
    <w:qFormat/>
    <w:uiPriority w:val="0"/>
    <w:pPr>
      <w:widowControl/>
      <w:ind w:firstLine="454"/>
      <w:jc w:val="left"/>
    </w:pPr>
  </w:style>
  <w:style w:type="paragraph" w:customStyle="1" w:styleId="134">
    <w:name w:val="Char Char Char1"/>
    <w:basedOn w:val="1"/>
    <w:qFormat/>
    <w:uiPriority w:val="0"/>
    <w:rPr>
      <w:rFonts w:ascii="Tahoma" w:hAnsi="Tahoma"/>
      <w:sz w:val="24"/>
      <w:szCs w:val="20"/>
    </w:rPr>
  </w:style>
  <w:style w:type="paragraph" w:customStyle="1" w:styleId="135">
    <w:name w:val="Char Char2 Char Char Char Char Char"/>
    <w:basedOn w:val="1"/>
    <w:qFormat/>
    <w:uiPriority w:val="0"/>
    <w:pPr>
      <w:numPr>
        <w:ilvl w:val="0"/>
        <w:numId w:val="5"/>
      </w:numPr>
    </w:pPr>
    <w:rPr>
      <w:sz w:val="24"/>
    </w:rPr>
  </w:style>
  <w:style w:type="paragraph" w:customStyle="1" w:styleId="136">
    <w:name w:val="Char Char Char Char Char Char Char"/>
    <w:basedOn w:val="1"/>
    <w:qFormat/>
    <w:uiPriority w:val="0"/>
    <w:pPr>
      <w:tabs>
        <w:tab w:val="left" w:pos="425"/>
      </w:tabs>
      <w:ind w:left="425" w:hanging="425"/>
    </w:pPr>
    <w:rPr>
      <w:rFonts w:eastAsia="仿宋_GB2312"/>
      <w:kern w:val="24"/>
      <w:sz w:val="24"/>
    </w:rPr>
  </w:style>
  <w:style w:type="paragraph" w:customStyle="1" w:styleId="137">
    <w:name w:val="1"/>
    <w:basedOn w:val="1"/>
    <w:next w:val="23"/>
    <w:qFormat/>
    <w:uiPriority w:val="0"/>
    <w:rPr>
      <w:rFonts w:ascii="宋体" w:hAnsi="Courier New"/>
      <w:szCs w:val="20"/>
    </w:rPr>
  </w:style>
  <w:style w:type="paragraph" w:customStyle="1" w:styleId="138">
    <w:name w:val="办公自动化专用标题"/>
    <w:basedOn w:val="38"/>
    <w:qFormat/>
    <w:uiPriority w:val="0"/>
    <w:pPr>
      <w:spacing w:line="560" w:lineRule="atLeast"/>
    </w:pPr>
    <w:rPr>
      <w:rFonts w:ascii="宋体"/>
      <w:bCs w:val="0"/>
      <w:sz w:val="44"/>
      <w:szCs w:val="20"/>
    </w:rPr>
  </w:style>
  <w:style w:type="paragraph" w:customStyle="1" w:styleId="139">
    <w:name w:val="招标文件样式2"/>
    <w:basedOn w:val="1"/>
    <w:qFormat/>
    <w:uiPriority w:val="0"/>
    <w:pPr>
      <w:jc w:val="center"/>
      <w:outlineLvl w:val="0"/>
    </w:pPr>
    <w:rPr>
      <w:rFonts w:ascii="宋体"/>
      <w:b/>
      <w:sz w:val="28"/>
      <w:szCs w:val="28"/>
    </w:rPr>
  </w:style>
  <w:style w:type="paragraph" w:customStyle="1" w:styleId="1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1">
    <w:name w:val="Zchn Zchn"/>
    <w:basedOn w:val="1"/>
    <w:qFormat/>
    <w:uiPriority w:val="0"/>
    <w:rPr>
      <w:rFonts w:ascii="Tahoma" w:hAnsi="Tahoma"/>
      <w:sz w:val="24"/>
      <w:szCs w:val="20"/>
    </w:rPr>
  </w:style>
  <w:style w:type="paragraph" w:customStyle="1" w:styleId="142">
    <w:name w:val="表格文字"/>
    <w:basedOn w:val="1"/>
    <w:qFormat/>
    <w:uiPriority w:val="0"/>
    <w:pPr>
      <w:spacing w:before="25" w:after="25"/>
      <w:jc w:val="left"/>
    </w:pPr>
    <w:rPr>
      <w:bCs/>
      <w:spacing w:val="10"/>
      <w:kern w:val="0"/>
      <w:sz w:val="24"/>
      <w:szCs w:val="20"/>
    </w:rPr>
  </w:style>
  <w:style w:type="paragraph" w:customStyle="1" w:styleId="14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44">
    <w:name w:val="Char Char Char1 Char1"/>
    <w:basedOn w:val="1"/>
    <w:qFormat/>
    <w:uiPriority w:val="0"/>
    <w:rPr>
      <w:rFonts w:ascii="Calibri" w:hAnsi="Calibri"/>
      <w:szCs w:val="22"/>
    </w:rPr>
  </w:style>
  <w:style w:type="paragraph" w:customStyle="1" w:styleId="145">
    <w:name w:val="正文段"/>
    <w:basedOn w:val="1"/>
    <w:qFormat/>
    <w:uiPriority w:val="0"/>
    <w:pPr>
      <w:widowControl/>
      <w:snapToGrid w:val="0"/>
      <w:spacing w:afterLines="50"/>
      <w:ind w:firstLine="200" w:firstLineChars="200"/>
    </w:pPr>
    <w:rPr>
      <w:kern w:val="0"/>
      <w:sz w:val="24"/>
      <w:szCs w:val="20"/>
    </w:rPr>
  </w:style>
  <w:style w:type="paragraph" w:customStyle="1" w:styleId="146">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47">
    <w:name w:val="四级标题"/>
    <w:basedOn w:val="1"/>
    <w:qFormat/>
    <w:uiPriority w:val="0"/>
    <w:pPr>
      <w:numPr>
        <w:ilvl w:val="0"/>
        <w:numId w:val="6"/>
      </w:numPr>
      <w:spacing w:line="360" w:lineRule="auto"/>
      <w:outlineLvl w:val="3"/>
    </w:pPr>
    <w:rPr>
      <w:rFonts w:eastAsia="黑体"/>
      <w:b/>
      <w:sz w:val="28"/>
      <w:szCs w:val="20"/>
    </w:rPr>
  </w:style>
  <w:style w:type="paragraph" w:customStyle="1" w:styleId="148">
    <w:name w:val="Char Char1 Char Char Char Char"/>
    <w:basedOn w:val="15"/>
    <w:qFormat/>
    <w:uiPriority w:val="0"/>
    <w:rPr>
      <w:rFonts w:ascii="Tahoma" w:hAnsi="Tahoma"/>
      <w:sz w:val="24"/>
    </w:rPr>
  </w:style>
  <w:style w:type="paragraph" w:customStyle="1" w:styleId="14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50">
    <w:name w:val="表内文字"/>
    <w:basedOn w:val="1"/>
    <w:qFormat/>
    <w:uiPriority w:val="0"/>
    <w:pPr>
      <w:snapToGrid w:val="0"/>
      <w:spacing w:before="50" w:after="50"/>
      <w:jc w:val="center"/>
    </w:pPr>
    <w:rPr>
      <w:rFonts w:ascii="仿宋_GB2312" w:eastAsia="仿宋_GB2312"/>
      <w:b/>
      <w:color w:val="000000"/>
      <w:sz w:val="32"/>
      <w:szCs w:val="32"/>
    </w:rPr>
  </w:style>
  <w:style w:type="paragraph" w:customStyle="1" w:styleId="151">
    <w:name w:val="1 Char"/>
    <w:basedOn w:val="1"/>
    <w:qFormat/>
    <w:uiPriority w:val="0"/>
  </w:style>
  <w:style w:type="paragraph" w:customStyle="1" w:styleId="152">
    <w:name w:val="Char Char Char Char"/>
    <w:basedOn w:val="1"/>
    <w:qFormat/>
    <w:uiPriority w:val="0"/>
    <w:pPr>
      <w:tabs>
        <w:tab w:val="left" w:pos="780"/>
      </w:tabs>
      <w:ind w:left="780" w:hanging="360"/>
    </w:pPr>
    <w:rPr>
      <w:sz w:val="24"/>
    </w:rPr>
  </w:style>
  <w:style w:type="paragraph" w:customStyle="1" w:styleId="153">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54">
    <w:name w:val="5 Char Char Char Char Char Char Char Char Char Char"/>
    <w:basedOn w:val="1"/>
    <w:qFormat/>
    <w:uiPriority w:val="0"/>
  </w:style>
  <w:style w:type="paragraph" w:customStyle="1" w:styleId="155">
    <w:name w:val="Char Char1 Char Char Char Char1"/>
    <w:basedOn w:val="15"/>
    <w:qFormat/>
    <w:uiPriority w:val="0"/>
    <w:rPr>
      <w:rFonts w:ascii="Tahoma" w:hAnsi="Tahoma"/>
      <w:sz w:val="24"/>
    </w:rPr>
  </w:style>
  <w:style w:type="paragraph" w:customStyle="1" w:styleId="156">
    <w:name w:val="_Style 24"/>
    <w:basedOn w:val="1"/>
    <w:next w:val="118"/>
    <w:qFormat/>
    <w:uiPriority w:val="34"/>
    <w:pPr>
      <w:ind w:firstLine="420" w:firstLineChars="200"/>
    </w:pPr>
    <w:rPr>
      <w:lang w:val="zh-CN"/>
    </w:rPr>
  </w:style>
  <w:style w:type="paragraph" w:customStyle="1" w:styleId="157">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8">
    <w:name w:val="ui-area-common-c-i-l"/>
    <w:qFormat/>
    <w:uiPriority w:val="0"/>
  </w:style>
  <w:style w:type="character" w:customStyle="1" w:styleId="159">
    <w:name w:val="ui-area-common-c-i-l1"/>
    <w:qFormat/>
    <w:uiPriority w:val="0"/>
    <w:rPr>
      <w:color w:val="F30213"/>
    </w:rPr>
  </w:style>
  <w:style w:type="character" w:customStyle="1" w:styleId="160">
    <w:name w:val="ui-area-common-c-i-r"/>
    <w:qFormat/>
    <w:uiPriority w:val="0"/>
  </w:style>
  <w:style w:type="character" w:customStyle="1" w:styleId="161">
    <w:name w:val="ui-area-common-c-i-r1"/>
    <w:qFormat/>
    <w:uiPriority w:val="0"/>
    <w:rPr>
      <w:color w:val="F30213"/>
    </w:rPr>
  </w:style>
  <w:style w:type="paragraph" w:customStyle="1" w:styleId="162">
    <w:name w:val="列出段落2"/>
    <w:basedOn w:val="1"/>
    <w:qFormat/>
    <w:uiPriority w:val="99"/>
    <w:pPr>
      <w:ind w:firstLine="420" w:firstLineChars="200"/>
    </w:pPr>
  </w:style>
  <w:style w:type="paragraph" w:styleId="163">
    <w:name w:val="List Paragraph"/>
    <w:basedOn w:val="1"/>
    <w:unhideWhenUsed/>
    <w:qFormat/>
    <w:uiPriority w:val="99"/>
    <w:pPr>
      <w:ind w:firstLine="420" w:firstLineChars="200"/>
    </w:pPr>
  </w:style>
  <w:style w:type="paragraph" w:customStyle="1" w:styleId="164">
    <w:name w:val="Body text|1"/>
    <w:basedOn w:val="1"/>
    <w:qFormat/>
    <w:uiPriority w:val="0"/>
    <w:pPr>
      <w:spacing w:line="353" w:lineRule="auto"/>
      <w:ind w:firstLine="400"/>
      <w:jc w:val="left"/>
    </w:pPr>
    <w:rPr>
      <w:rFonts w:ascii="宋体" w:hAnsi="宋体" w:cs="宋体"/>
      <w:kern w:val="0"/>
      <w:sz w:val="30"/>
      <w:szCs w:val="30"/>
    </w:rPr>
  </w:style>
  <w:style w:type="paragraph" w:customStyle="1" w:styleId="165">
    <w:name w:val="Body text|3"/>
    <w:basedOn w:val="1"/>
    <w:qFormat/>
    <w:uiPriority w:val="0"/>
    <w:pPr>
      <w:spacing w:after="460"/>
      <w:jc w:val="center"/>
    </w:pPr>
    <w:rPr>
      <w:rFonts w:ascii="宋体" w:hAnsi="宋体" w:cs="宋体"/>
      <w:kern w:val="0"/>
      <w:sz w:val="34"/>
      <w:szCs w:val="3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3618F-3EB5-449E-89CD-60874E1F92C9}">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19</Pages>
  <Words>11270</Words>
  <Characters>12719</Characters>
  <Lines>98</Lines>
  <Paragraphs>27</Paragraphs>
  <TotalTime>3</TotalTime>
  <ScaleCrop>false</ScaleCrop>
  <LinksUpToDate>false</LinksUpToDate>
  <CharactersWithSpaces>13389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2024-11-22T09:11:00Z</dcterms:created>
  <dc:creator>唐冰</dc:creator>
  <cp:lastModifiedBy>默与乘</cp:lastModifiedBy>
  <cp:lastPrinted>2020-06-11T02:51:00Z</cp:lastPrinted>
  <dcterms:modified xsi:type="dcterms:W3CDTF">2025-03-14T02:23:53Z</dcterms:modified>
  <dc:title>竞争性谈判文件规范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D87D31DF99274BF8B262A728B5293EC2_13</vt:lpwstr>
  </property>
  <property fmtid="{D5CDD505-2E9C-101B-9397-08002B2CF9AE}" pid="4" name="KSOTemplateDocerSaveRecord">
    <vt:lpwstr>eyJoZGlkIjoiZTk2NjRlMGE2MjQwYjUyYzNiZDQwOWU5ZmMzNGMwYmMiLCJ1c2VySWQiOiIxMDY3Nzk4NjkwIn0=</vt:lpwstr>
  </property>
</Properties>
</file>