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66FE1">
      <w:pPr>
        <w:pStyle w:val="23"/>
        <w:spacing w:after="240" w:afterLines="100"/>
        <w:jc w:val="center"/>
        <w:rPr>
          <w:rFonts w:ascii="楷体_GB2312" w:eastAsia="楷体_GB2312" w:cs="Times New Roman"/>
          <w:b/>
          <w:bCs/>
          <w:sz w:val="72"/>
          <w:szCs w:val="72"/>
          <w:highlight w:val="none"/>
        </w:rPr>
      </w:pPr>
    </w:p>
    <w:p w14:paraId="507CEE1D">
      <w:pPr>
        <w:pStyle w:val="23"/>
        <w:spacing w:after="240" w:afterLines="100"/>
        <w:jc w:val="center"/>
        <w:rPr>
          <w:rFonts w:ascii="楷体_GB2312" w:eastAsia="楷体_GB2312" w:cs="Times New Roman"/>
          <w:b/>
          <w:bCs/>
          <w:sz w:val="72"/>
          <w:szCs w:val="72"/>
          <w:highlight w:val="none"/>
        </w:rPr>
      </w:pPr>
      <w:r>
        <w:rPr>
          <w:rFonts w:hint="eastAsia" w:ascii="楷体_GB2312" w:eastAsia="楷体_GB2312" w:cs="Times New Roman"/>
          <w:b/>
          <w:bCs/>
          <w:sz w:val="72"/>
          <w:szCs w:val="72"/>
          <w:highlight w:val="none"/>
        </w:rPr>
        <w:t>梧州</w:t>
      </w:r>
      <w:r>
        <w:rPr>
          <w:rFonts w:ascii="楷体_GB2312" w:eastAsia="楷体_GB2312" w:cs="Times New Roman"/>
          <w:b/>
          <w:bCs/>
          <w:sz w:val="72"/>
          <w:szCs w:val="72"/>
          <w:highlight w:val="none"/>
        </w:rPr>
        <w:t>学院</w:t>
      </w:r>
    </w:p>
    <w:p w14:paraId="4194FEED">
      <w:pPr>
        <w:pStyle w:val="23"/>
        <w:spacing w:after="240" w:afterLines="100"/>
        <w:jc w:val="center"/>
        <w:rPr>
          <w:rFonts w:ascii="楷体_GB2312" w:eastAsia="楷体_GB2312" w:cs="Times New Roman"/>
          <w:b/>
          <w:bCs/>
          <w:sz w:val="72"/>
          <w:szCs w:val="72"/>
          <w:highlight w:val="none"/>
        </w:rPr>
      </w:pPr>
    </w:p>
    <w:p w14:paraId="386E679F">
      <w:pPr>
        <w:pStyle w:val="23"/>
        <w:spacing w:after="240" w:afterLines="100"/>
        <w:jc w:val="center"/>
        <w:rPr>
          <w:rFonts w:hAnsi="宋体"/>
          <w:sz w:val="36"/>
          <w:szCs w:val="36"/>
          <w:highlight w:val="none"/>
        </w:rPr>
      </w:pPr>
      <w:r>
        <w:rPr>
          <w:rFonts w:hint="eastAsia" w:ascii="楷体_GB2312" w:eastAsia="楷体_GB2312" w:cs="Times New Roman"/>
          <w:b/>
          <w:bCs/>
          <w:sz w:val="72"/>
          <w:szCs w:val="72"/>
          <w:highlight w:val="none"/>
        </w:rPr>
        <w:t>在线询价文件</w:t>
      </w:r>
    </w:p>
    <w:p w14:paraId="0ABC9E6B">
      <w:pPr>
        <w:pStyle w:val="23"/>
        <w:spacing w:after="240" w:afterLines="100"/>
        <w:ind w:firstLine="1800" w:firstLineChars="500"/>
        <w:jc w:val="left"/>
        <w:rPr>
          <w:rFonts w:hAnsi="宋体"/>
          <w:sz w:val="36"/>
          <w:szCs w:val="36"/>
          <w:highlight w:val="none"/>
        </w:rPr>
      </w:pPr>
    </w:p>
    <w:p w14:paraId="24EEB628">
      <w:pPr>
        <w:pStyle w:val="23"/>
        <w:spacing w:after="240" w:afterLines="100"/>
        <w:ind w:firstLine="1800" w:firstLineChars="500"/>
        <w:jc w:val="left"/>
        <w:rPr>
          <w:rFonts w:hAnsi="宋体"/>
          <w:sz w:val="36"/>
          <w:szCs w:val="36"/>
          <w:highlight w:val="none"/>
        </w:rPr>
      </w:pPr>
    </w:p>
    <w:p w14:paraId="2CAA786D">
      <w:pPr>
        <w:rPr>
          <w:rFonts w:hint="eastAsia" w:ascii="方正小标宋简体" w:hAnsi="方正小标宋简体" w:eastAsia="方正小标宋简体" w:cs="方正小标宋简体"/>
          <w:sz w:val="32"/>
          <w:szCs w:val="32"/>
          <w:highlight w:val="none"/>
        </w:rPr>
      </w:pPr>
    </w:p>
    <w:p w14:paraId="671A2791">
      <w:pPr>
        <w:rPr>
          <w:rFonts w:hint="eastAsia" w:ascii="方正小标宋简体" w:hAnsi="方正小标宋简体" w:eastAsia="方正小标宋简体" w:cs="方正小标宋简体"/>
          <w:sz w:val="32"/>
          <w:szCs w:val="32"/>
          <w:highlight w:val="none"/>
        </w:rPr>
      </w:pPr>
    </w:p>
    <w:p w14:paraId="6E84E34C">
      <w:pPr>
        <w:rPr>
          <w:rFonts w:hint="eastAsia" w:ascii="方正小标宋简体" w:hAnsi="方正小标宋简体" w:eastAsia="方正小标宋简体" w:cs="方正小标宋简体"/>
          <w:sz w:val="32"/>
          <w:szCs w:val="32"/>
          <w:highlight w:val="none"/>
        </w:rPr>
      </w:pPr>
    </w:p>
    <w:p w14:paraId="10C1CB9E">
      <w:pPr>
        <w:rPr>
          <w:rFonts w:hint="eastAsia" w:ascii="方正小标宋简体" w:hAnsi="方正小标宋简体" w:eastAsia="方正小标宋简体" w:cs="方正小标宋简体"/>
          <w:sz w:val="32"/>
          <w:szCs w:val="32"/>
          <w:highlight w:val="none"/>
        </w:rPr>
      </w:pPr>
    </w:p>
    <w:p w14:paraId="4B4EE12F">
      <w:pPr>
        <w:rPr>
          <w:rFonts w:hint="eastAsia" w:ascii="方正小标宋简体" w:hAnsi="方正小标宋简体" w:eastAsia="方正小标宋简体" w:cs="方正小标宋简体"/>
          <w:sz w:val="32"/>
          <w:szCs w:val="32"/>
          <w:highlight w:val="none"/>
        </w:rPr>
      </w:pPr>
    </w:p>
    <w:p w14:paraId="49B80C72">
      <w:pPr>
        <w:rPr>
          <w:rFonts w:hint="eastAsia" w:ascii="方正小标宋简体" w:hAnsi="方正小标宋简体" w:eastAsia="方正小标宋简体" w:cs="方正小标宋简体"/>
          <w:sz w:val="32"/>
          <w:szCs w:val="32"/>
          <w:highlight w:val="none"/>
        </w:rPr>
      </w:pPr>
    </w:p>
    <w:p w14:paraId="122D4B40">
      <w:pPr>
        <w:rPr>
          <w:rFonts w:hint="eastAsia" w:ascii="方正小标宋简体" w:hAnsi="方正小标宋简体" w:eastAsia="方正小标宋简体" w:cs="方正小标宋简体"/>
          <w:sz w:val="32"/>
          <w:szCs w:val="32"/>
          <w:highlight w:val="none"/>
        </w:rPr>
      </w:pPr>
    </w:p>
    <w:p w14:paraId="6B0C3BDC">
      <w:pP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项目名称：教师教育学院智慧教室（触控一体机）</w:t>
      </w:r>
    </w:p>
    <w:p w14:paraId="4EF069BD">
      <w:pP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项目编号：GXUWZ-241362号</w:t>
      </w:r>
    </w:p>
    <w:p w14:paraId="5147890D">
      <w:pPr>
        <w:jc w:val="center"/>
        <w:rPr>
          <w:rFonts w:hint="eastAsia" w:ascii="方正小标宋简体" w:hAnsi="方正小标宋简体" w:eastAsia="方正小标宋简体" w:cs="方正小标宋简体"/>
          <w:sz w:val="32"/>
          <w:szCs w:val="32"/>
          <w:highlight w:val="none"/>
        </w:rPr>
      </w:pPr>
    </w:p>
    <w:p w14:paraId="11AC8D5B">
      <w:pPr>
        <w:jc w:val="center"/>
        <w:rPr>
          <w:rFonts w:hint="eastAsia" w:ascii="方正小标宋简体" w:hAnsi="方正小标宋简体" w:eastAsia="方正小标宋简体" w:cs="方正小标宋简体"/>
          <w:sz w:val="32"/>
          <w:szCs w:val="32"/>
          <w:highlight w:val="none"/>
        </w:rPr>
      </w:pPr>
    </w:p>
    <w:p w14:paraId="0D531B4C">
      <w:pPr>
        <w:jc w:val="center"/>
        <w:rPr>
          <w:rFonts w:hint="eastAsia" w:ascii="方正小标宋简体" w:hAnsi="方正小标宋简体" w:eastAsia="方正小标宋简体" w:cs="方正小标宋简体"/>
          <w:sz w:val="32"/>
          <w:szCs w:val="32"/>
          <w:highlight w:val="none"/>
        </w:rPr>
      </w:pPr>
    </w:p>
    <w:p w14:paraId="4DAA266F">
      <w:pPr>
        <w:jc w:val="both"/>
        <w:rPr>
          <w:rFonts w:hint="eastAsia" w:ascii="方正小标宋简体" w:hAnsi="方正小标宋简体" w:eastAsia="方正小标宋简体" w:cs="方正小标宋简体"/>
          <w:sz w:val="32"/>
          <w:szCs w:val="32"/>
          <w:highlight w:val="none"/>
        </w:rPr>
      </w:pPr>
    </w:p>
    <w:p w14:paraId="1D8AC3EB">
      <w:pPr>
        <w:jc w:val="center"/>
        <w:rPr>
          <w:rFonts w:hint="eastAsia" w:ascii="方正小标宋简体" w:hAnsi="方正小标宋简体" w:eastAsia="方正小标宋简体" w:cs="方正小标宋简体"/>
          <w:sz w:val="32"/>
          <w:szCs w:val="32"/>
          <w:highlight w:val="none"/>
        </w:rPr>
      </w:pPr>
    </w:p>
    <w:p w14:paraId="14BB69C9">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梧州学院国有资产管理处</w:t>
      </w:r>
    </w:p>
    <w:p w14:paraId="3AC6016B">
      <w:pPr>
        <w:jc w:val="center"/>
        <w:rPr>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9</w:t>
      </w:r>
      <w:r>
        <w:rPr>
          <w:rFonts w:hint="eastAsia" w:ascii="方正小标宋简体" w:hAnsi="方正小标宋简体" w:eastAsia="方正小标宋简体" w:cs="方正小标宋简体"/>
          <w:sz w:val="32"/>
          <w:szCs w:val="32"/>
          <w:highlight w:val="none"/>
        </w:rPr>
        <w:t>月</w:t>
      </w:r>
      <w:r>
        <w:rPr>
          <w:highlight w:val="none"/>
        </w:rPr>
        <w:br w:type="page"/>
      </w:r>
    </w:p>
    <w:p w14:paraId="507BE2B3">
      <w:pPr>
        <w:spacing w:line="360" w:lineRule="auto"/>
        <w:jc w:val="center"/>
        <w:rPr>
          <w:rFonts w:ascii="宋体" w:hAnsi="宋体"/>
          <w:b/>
          <w:bCs/>
          <w:sz w:val="44"/>
          <w:szCs w:val="44"/>
          <w:highlight w:val="none"/>
        </w:rPr>
      </w:pPr>
      <w:r>
        <w:rPr>
          <w:rFonts w:hint="eastAsia" w:ascii="宋体" w:hAnsi="宋体"/>
          <w:b/>
          <w:bCs/>
          <w:sz w:val="44"/>
          <w:szCs w:val="44"/>
          <w:highlight w:val="none"/>
        </w:rPr>
        <w:t>项目需求</w:t>
      </w:r>
    </w:p>
    <w:tbl>
      <w:tblPr>
        <w:tblStyle w:val="4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080"/>
        <w:gridCol w:w="690"/>
        <w:gridCol w:w="1124"/>
        <w:gridCol w:w="5814"/>
        <w:gridCol w:w="688"/>
      </w:tblGrid>
      <w:tr w14:paraId="4015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351BB719">
            <w:pPr>
              <w:spacing w:line="360" w:lineRule="auto"/>
              <w:rPr>
                <w:rFonts w:ascii="宋体" w:hAnsi="宋体"/>
                <w:b/>
                <w:i/>
                <w:szCs w:val="21"/>
                <w:highlight w:val="none"/>
              </w:rPr>
            </w:pPr>
            <w:r>
              <w:rPr>
                <w:rFonts w:ascii="宋体" w:hAnsi="宋体"/>
                <w:b/>
                <w:iCs/>
                <w:szCs w:val="21"/>
                <w:highlight w:val="none"/>
              </w:rPr>
              <w:t>一、项目要求及技术需求</w:t>
            </w:r>
          </w:p>
        </w:tc>
      </w:tr>
      <w:tr w14:paraId="4230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tcBorders>
              <w:top w:val="single" w:color="auto" w:sz="4" w:space="0"/>
              <w:left w:val="single" w:color="auto" w:sz="4" w:space="0"/>
              <w:bottom w:val="single" w:color="auto" w:sz="4" w:space="0"/>
              <w:right w:val="single" w:color="auto" w:sz="4" w:space="0"/>
            </w:tcBorders>
            <w:vAlign w:val="center"/>
          </w:tcPr>
          <w:p w14:paraId="49D8D249">
            <w:pPr>
              <w:jc w:val="center"/>
              <w:rPr>
                <w:rFonts w:ascii="宋体" w:hAnsi="宋体"/>
                <w:b/>
                <w:iCs/>
                <w:szCs w:val="21"/>
                <w:highlight w:val="none"/>
              </w:rPr>
            </w:pPr>
            <w:r>
              <w:rPr>
                <w:rFonts w:hint="eastAsia" w:ascii="宋体" w:hAnsi="宋体"/>
                <w:b/>
                <w:iCs/>
                <w:szCs w:val="21"/>
                <w:highlight w:val="none"/>
              </w:rPr>
              <w:t>项</w:t>
            </w:r>
          </w:p>
          <w:p w14:paraId="08A9B9DB">
            <w:pPr>
              <w:jc w:val="center"/>
              <w:rPr>
                <w:rFonts w:ascii="宋体" w:hAnsi="宋体"/>
                <w:b/>
                <w:iCs/>
                <w:szCs w:val="21"/>
                <w:highlight w:val="none"/>
              </w:rPr>
            </w:pPr>
            <w:r>
              <w:rPr>
                <w:rFonts w:hint="eastAsia" w:ascii="宋体" w:hAnsi="宋体"/>
                <w:b/>
                <w:iCs/>
                <w:szCs w:val="21"/>
                <w:highlight w:val="none"/>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09592ED7">
            <w:pPr>
              <w:jc w:val="center"/>
              <w:rPr>
                <w:rFonts w:ascii="宋体" w:hAnsi="宋体"/>
                <w:b/>
                <w:iCs/>
                <w:szCs w:val="21"/>
                <w:highlight w:val="none"/>
              </w:rPr>
            </w:pPr>
            <w:r>
              <w:rPr>
                <w:rFonts w:hint="eastAsia" w:ascii="宋体" w:hAnsi="宋体"/>
                <w:b/>
                <w:iCs/>
                <w:szCs w:val="21"/>
                <w:highlight w:val="none"/>
              </w:rPr>
              <w:t>采购</w:t>
            </w:r>
          </w:p>
          <w:p w14:paraId="3B72AAC9">
            <w:pPr>
              <w:jc w:val="center"/>
              <w:rPr>
                <w:rFonts w:ascii="宋体" w:hAnsi="宋体"/>
                <w:b/>
                <w:iCs/>
                <w:szCs w:val="21"/>
                <w:highlight w:val="none"/>
              </w:rPr>
            </w:pPr>
            <w:r>
              <w:rPr>
                <w:rFonts w:hint="eastAsia" w:ascii="宋体" w:hAnsi="宋体"/>
                <w:b/>
                <w:iCs/>
                <w:szCs w:val="21"/>
                <w:highlight w:val="none"/>
              </w:rPr>
              <w:t>标的</w:t>
            </w:r>
          </w:p>
        </w:tc>
        <w:tc>
          <w:tcPr>
            <w:tcW w:w="690" w:type="dxa"/>
            <w:tcBorders>
              <w:top w:val="single" w:color="auto" w:sz="4" w:space="0"/>
              <w:left w:val="single" w:color="auto" w:sz="4" w:space="0"/>
              <w:bottom w:val="single" w:color="auto" w:sz="4" w:space="0"/>
              <w:right w:val="single" w:color="auto" w:sz="4" w:space="0"/>
            </w:tcBorders>
            <w:vAlign w:val="center"/>
          </w:tcPr>
          <w:p w14:paraId="20CA982B">
            <w:pPr>
              <w:jc w:val="center"/>
              <w:rPr>
                <w:rFonts w:ascii="宋体" w:hAnsi="宋体"/>
                <w:b/>
                <w:iCs/>
                <w:szCs w:val="21"/>
                <w:highlight w:val="none"/>
              </w:rPr>
            </w:pPr>
            <w:r>
              <w:rPr>
                <w:rFonts w:hint="eastAsia" w:ascii="宋体" w:hAnsi="宋体"/>
                <w:b/>
                <w:iCs/>
                <w:szCs w:val="21"/>
                <w:highlight w:val="none"/>
              </w:rPr>
              <w:t>数量</w:t>
            </w:r>
          </w:p>
          <w:p w14:paraId="3212F597">
            <w:pPr>
              <w:jc w:val="center"/>
              <w:rPr>
                <w:rFonts w:ascii="宋体" w:hAnsi="宋体"/>
                <w:b/>
                <w:iCs/>
                <w:szCs w:val="21"/>
                <w:highlight w:val="none"/>
              </w:rPr>
            </w:pPr>
            <w:r>
              <w:rPr>
                <w:rFonts w:hint="eastAsia" w:ascii="宋体" w:hAnsi="宋体"/>
                <w:b/>
                <w:iCs/>
                <w:szCs w:val="21"/>
                <w:highlight w:val="none"/>
              </w:rPr>
              <w:t>单位</w:t>
            </w:r>
          </w:p>
        </w:tc>
        <w:tc>
          <w:tcPr>
            <w:tcW w:w="1124" w:type="dxa"/>
            <w:tcBorders>
              <w:top w:val="single" w:color="auto" w:sz="4" w:space="0"/>
              <w:left w:val="single" w:color="auto" w:sz="4" w:space="0"/>
              <w:bottom w:val="single" w:color="auto" w:sz="4" w:space="0"/>
              <w:right w:val="single" w:color="auto" w:sz="4" w:space="0"/>
            </w:tcBorders>
            <w:vAlign w:val="center"/>
          </w:tcPr>
          <w:p w14:paraId="1FB06A38">
            <w:pPr>
              <w:jc w:val="center"/>
              <w:rPr>
                <w:rFonts w:ascii="宋体" w:hAnsi="宋体"/>
                <w:b/>
                <w:bCs/>
                <w:iCs/>
                <w:highlight w:val="none"/>
              </w:rPr>
            </w:pPr>
            <w:r>
              <w:rPr>
                <w:rFonts w:hint="eastAsia" w:ascii="宋体" w:hAnsi="宋体"/>
                <w:b/>
                <w:bCs/>
                <w:iCs/>
                <w:highlight w:val="none"/>
              </w:rPr>
              <w:t>推荐品牌及</w:t>
            </w:r>
            <w:r>
              <w:rPr>
                <w:rFonts w:ascii="宋体" w:hAnsi="宋体"/>
                <w:b/>
                <w:bCs/>
                <w:iCs/>
                <w:highlight w:val="none"/>
              </w:rPr>
              <w:t>型号</w:t>
            </w:r>
          </w:p>
        </w:tc>
        <w:tc>
          <w:tcPr>
            <w:tcW w:w="5814" w:type="dxa"/>
            <w:tcBorders>
              <w:top w:val="single" w:color="auto" w:sz="4" w:space="0"/>
              <w:left w:val="single" w:color="auto" w:sz="4" w:space="0"/>
              <w:bottom w:val="single" w:color="auto" w:sz="4" w:space="0"/>
              <w:right w:val="single" w:color="auto" w:sz="4" w:space="0"/>
            </w:tcBorders>
            <w:vAlign w:val="center"/>
          </w:tcPr>
          <w:p w14:paraId="02A18DB1">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主要技术参数及性能（配置）要求</w:t>
            </w:r>
          </w:p>
        </w:tc>
        <w:tc>
          <w:tcPr>
            <w:tcW w:w="688" w:type="dxa"/>
            <w:tcBorders>
              <w:top w:val="single" w:color="auto" w:sz="4" w:space="0"/>
              <w:left w:val="single" w:color="auto" w:sz="4" w:space="0"/>
              <w:bottom w:val="single" w:color="auto" w:sz="4" w:space="0"/>
              <w:right w:val="single" w:color="auto" w:sz="4" w:space="0"/>
            </w:tcBorders>
            <w:vAlign w:val="center"/>
          </w:tcPr>
          <w:p w14:paraId="0C7F9459">
            <w:pPr>
              <w:jc w:val="center"/>
              <w:rPr>
                <w:rFonts w:ascii="宋体" w:hAnsi="宋体"/>
                <w:b/>
                <w:bCs/>
                <w:iCs/>
                <w:highlight w:val="none"/>
              </w:rPr>
            </w:pPr>
            <w:r>
              <w:rPr>
                <w:rFonts w:hint="eastAsia" w:ascii="宋体" w:hAnsi="宋体"/>
                <w:b/>
                <w:bCs/>
                <w:iCs/>
                <w:highlight w:val="none"/>
              </w:rPr>
              <w:t>质保期要求</w:t>
            </w:r>
          </w:p>
        </w:tc>
      </w:tr>
      <w:tr w14:paraId="3896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4741ECE1">
            <w:pPr>
              <w:jc w:val="center"/>
              <w:rPr>
                <w:rFonts w:hint="eastAsia" w:ascii="微软雅黑" w:hAnsi="微软雅黑" w:eastAsia="微软雅黑"/>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vAlign w:val="center"/>
          </w:tcPr>
          <w:p w14:paraId="39D55B81">
            <w:pPr>
              <w:jc w:val="left"/>
              <w:rPr>
                <w:rFonts w:ascii="微软雅黑" w:hAnsi="微软雅黑" w:eastAsia="微软雅黑"/>
                <w:color w:val="000000"/>
                <w:szCs w:val="21"/>
                <w:highlight w:val="none"/>
              </w:rPr>
            </w:pPr>
            <w:r>
              <w:rPr>
                <w:rFonts w:hint="eastAsia" w:ascii="宋体" w:hAnsi="宋体" w:cs="宋体"/>
                <w:color w:val="auto"/>
                <w:kern w:val="2"/>
                <w:sz w:val="21"/>
                <w:szCs w:val="21"/>
                <w:highlight w:val="none"/>
                <w:lang w:val="en-US" w:eastAsia="zh-CN" w:bidi="ar-SA"/>
              </w:rPr>
              <w:t>86寸触控一体机</w:t>
            </w:r>
          </w:p>
        </w:tc>
        <w:tc>
          <w:tcPr>
            <w:tcW w:w="690" w:type="dxa"/>
            <w:tcBorders>
              <w:top w:val="single" w:color="auto" w:sz="4" w:space="0"/>
              <w:left w:val="single" w:color="auto" w:sz="4" w:space="0"/>
              <w:bottom w:val="single" w:color="auto" w:sz="4" w:space="0"/>
              <w:right w:val="single" w:color="auto" w:sz="4" w:space="0"/>
            </w:tcBorders>
            <w:vAlign w:val="center"/>
          </w:tcPr>
          <w:p w14:paraId="123B5C34">
            <w:pPr>
              <w:jc w:val="center"/>
              <w:rPr>
                <w:rFonts w:hint="default" w:ascii="微软雅黑" w:hAnsi="微软雅黑" w:eastAsia="微软雅黑"/>
                <w:color w:val="000000"/>
                <w:szCs w:val="21"/>
                <w:highlight w:val="none"/>
                <w:lang w:val="en-US" w:eastAsia="zh-CN"/>
              </w:rPr>
            </w:pPr>
            <w:r>
              <w:rPr>
                <w:rFonts w:hint="eastAsia" w:ascii="宋体" w:hAnsi="宋体" w:cs="宋体"/>
                <w:color w:val="auto"/>
                <w:kern w:val="2"/>
                <w:sz w:val="21"/>
                <w:szCs w:val="21"/>
                <w:highlight w:val="none"/>
                <w:lang w:val="en-US" w:eastAsia="zh-CN" w:bidi="ar-SA"/>
              </w:rPr>
              <w:t>1台</w:t>
            </w:r>
          </w:p>
        </w:tc>
        <w:tc>
          <w:tcPr>
            <w:tcW w:w="1124" w:type="dxa"/>
            <w:tcBorders>
              <w:top w:val="single" w:color="auto" w:sz="4" w:space="0"/>
              <w:left w:val="single" w:color="auto" w:sz="4" w:space="0"/>
              <w:bottom w:val="single" w:color="auto" w:sz="4" w:space="0"/>
              <w:right w:val="single" w:color="auto" w:sz="4" w:space="0"/>
            </w:tcBorders>
            <w:vAlign w:val="center"/>
          </w:tcPr>
          <w:p w14:paraId="31496F84">
            <w:pPr>
              <w:rPr>
                <w:rFonts w:hint="eastAsia" w:eastAsia="宋体"/>
                <w:highlight w:val="none"/>
                <w:lang w:val="en-US" w:eastAsia="zh-CN"/>
              </w:rPr>
            </w:pPr>
            <w:r>
              <w:rPr>
                <w:rFonts w:hint="eastAsia" w:eastAsia="宋体"/>
                <w:highlight w:val="none"/>
                <w:lang w:val="en-US" w:eastAsia="zh-CN"/>
              </w:rPr>
              <w:t>希沃、鸿合、海信</w:t>
            </w:r>
          </w:p>
        </w:tc>
        <w:tc>
          <w:tcPr>
            <w:tcW w:w="5814" w:type="dxa"/>
            <w:tcBorders>
              <w:top w:val="single" w:color="auto" w:sz="4" w:space="0"/>
              <w:left w:val="single" w:color="auto" w:sz="4" w:space="0"/>
              <w:bottom w:val="single" w:color="auto" w:sz="4" w:space="0"/>
              <w:right w:val="single" w:color="auto" w:sz="4" w:space="0"/>
            </w:tcBorders>
            <w:vAlign w:val="center"/>
          </w:tcPr>
          <w:p w14:paraId="4AD36E9C">
            <w:pPr>
              <w:pStyle w:val="22"/>
              <w:tabs>
                <w:tab w:val="left" w:pos="5460"/>
              </w:tabs>
              <w:ind w:left="0" w:leftChars="0" w:right="136" w:rightChars="65" w:firstLine="0" w:firstLineChars="0"/>
              <w:jc w:val="both"/>
              <w:rPr>
                <w:rFonts w:hint="default"/>
                <w:highlight w:val="none"/>
                <w:lang w:val="en-US"/>
              </w:rPr>
            </w:pPr>
            <w:r>
              <w:rPr>
                <w:rFonts w:hint="default"/>
                <w:highlight w:val="none"/>
                <w:lang w:val="en-US"/>
              </w:rPr>
              <w:t>一、音视频功能要求：</w:t>
            </w:r>
            <w:r>
              <w:rPr>
                <w:rFonts w:hint="default"/>
                <w:highlight w:val="none"/>
                <w:lang w:val="en-US"/>
              </w:rPr>
              <w:br w:type="textWrapping"/>
            </w:r>
            <w:r>
              <w:rPr>
                <w:rFonts w:hint="default"/>
                <w:highlight w:val="none"/>
                <w:lang w:val="en-US"/>
              </w:rPr>
              <w:t>1、 ★支持标准、听力、观影和AI空间感知音效模式，AI空间感知音效模式可通过内置麦克风采集教室物理环境声音，自动生成符合当前教室物理环境的频段、音量、音效。（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2、 整机可选择高级音效设置，支持在左右声道平衡显示范围中进行更改；中低频段显示调节范围125Hz～1KHz，高频段显示调节范围 2KHz～16KHz，分贝显示-12dB～12dB 调节范围。</w:t>
            </w:r>
            <w:r>
              <w:rPr>
                <w:rFonts w:hint="default"/>
                <w:highlight w:val="none"/>
                <w:lang w:val="en-US"/>
              </w:rPr>
              <w:br w:type="textWrapping"/>
            </w:r>
            <w:r>
              <w:rPr>
                <w:rFonts w:hint="default"/>
                <w:highlight w:val="none"/>
                <w:lang w:val="en-US"/>
              </w:rPr>
              <w:t>3、 整机上边框内置非独立式摄像头，采用一体化集成设计，摄像头数量≥4个。</w:t>
            </w:r>
            <w:r>
              <w:rPr>
                <w:rFonts w:hint="default"/>
                <w:highlight w:val="none"/>
                <w:lang w:val="en-US"/>
              </w:rPr>
              <w:br w:type="textWrapping"/>
            </w:r>
            <w:r>
              <w:rPr>
                <w:rFonts w:hint="default"/>
                <w:highlight w:val="none"/>
                <w:lang w:val="en-US"/>
              </w:rPr>
              <w:t>4、 ★上边框内置非独立式≥3个智能拼接摄像头，视场角≥141度，水平视场角≥139度，支持输出≥8192×2048分辨率的照片和视频，支持画面畸变矫正功能 。（供货时，中标人需提供关于该功能的国家认可的第三方检测机构出具的检测报告复印件，并加盖投标单位公章，如不能提供，按违约处理，采购人并有权解除合同。）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5、 ★整机内置至少三个摄像头，像素值均大于800 万，同时输出至少 3 路视频流，同时支持课堂远程巡课、课堂教学数据采集、本地画面预览（拍照或视频录制）。（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6、 具备摄像头工作指示灯，摄像头运行时，有指示灯提示。</w:t>
            </w:r>
            <w:r>
              <w:rPr>
                <w:rFonts w:hint="default"/>
                <w:highlight w:val="none"/>
                <w:lang w:val="en-US"/>
              </w:rPr>
              <w:br w:type="textWrapping"/>
            </w:r>
            <w:r>
              <w:rPr>
                <w:rFonts w:hint="default"/>
                <w:highlight w:val="none"/>
                <w:lang w:val="en-US"/>
              </w:rPr>
              <w:t>7、 整机扬声器在100%音量下，可做到1米处声压级≥88db，10米处声压级≥79dB。</w:t>
            </w:r>
            <w:r>
              <w:rPr>
                <w:rFonts w:hint="default"/>
                <w:highlight w:val="none"/>
                <w:lang w:val="en-US"/>
              </w:rPr>
              <w:br w:type="textWrapping"/>
            </w:r>
            <w:r>
              <w:rPr>
                <w:rFonts w:hint="default"/>
                <w:highlight w:val="none"/>
                <w:lang w:val="en-US"/>
              </w:rPr>
              <w:t>8、 整机设备自带地震预警软件。支持在地震预警页面中获取位置，可以手动进行位置校准。支持在地震预警页面中选择提醒阈值。支持在地震预警界面中开启和关闭地震预警服务。</w:t>
            </w:r>
            <w:r>
              <w:rPr>
                <w:rFonts w:hint="default"/>
                <w:highlight w:val="none"/>
                <w:lang w:val="en-US"/>
              </w:rPr>
              <w:br w:type="textWrapping"/>
            </w:r>
            <w:r>
              <w:rPr>
                <w:rFonts w:hint="default"/>
                <w:highlight w:val="none"/>
                <w:lang w:val="en-US"/>
              </w:rPr>
              <w:t>9、 ★整机内置2.2声道扬声器，位于设备上边框，顶置朝前发声，前朝向≥10W高音扬声器≥2个，上朝向≥20W中低音扬声器≥2个，额定总功率≥60W。采用缝隙发声技术，喇叭采用槽式开口设计，不大于5.8mm。（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10、 ★整机内置非独立外扩展的8阵列麦克风，拾音角度≥180°，可用于对教室环境音频进行采集，拾音距离≥12m。（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11、 ★整机上边框内置非独立的广角高清摄像头，在距离整机1.7米情况下，且拍摄范围可以覆盖摄像头垂直法线左右距离大于等于4米，可以实现人脸识别。（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12、 整机上边框内置非独式广角摄像头和智能拼接摄像头， 均支持 3D 降噪算法和数字宽动态范围成像WDR 技术，支持输出 MJPG、 H.264 视频格式。</w:t>
            </w:r>
            <w:r>
              <w:rPr>
                <w:rFonts w:hint="default"/>
                <w:highlight w:val="none"/>
                <w:lang w:val="en-US"/>
              </w:rPr>
              <w:br w:type="textWrapping"/>
            </w:r>
            <w:r>
              <w:rPr>
                <w:rFonts w:hint="default"/>
                <w:highlight w:val="none"/>
                <w:lang w:val="en-US"/>
              </w:rPr>
              <w:t>13、 ★整机摄像头支持人脸识别、清点人数、随机抽人；识别所有学生，显示标记，然后随机抽选，同时显示标记不少于60人。（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二、整机功能设计：</w:t>
            </w:r>
            <w:r>
              <w:rPr>
                <w:rFonts w:hint="default"/>
                <w:highlight w:val="none"/>
                <w:lang w:val="en-US"/>
              </w:rPr>
              <w:br w:type="textWrapping"/>
            </w:r>
            <w:r>
              <w:rPr>
                <w:rFonts w:hint="default"/>
                <w:highlight w:val="none"/>
                <w:lang w:val="en-US"/>
              </w:rPr>
              <w:t>1、 三合一电源按键，同一电源物理按键完成Android系统和Windows系统的开机、节能熄屏、关机操作；关机状态下按按键开机；开机状态下按按键实现节能熄屏/唤醒，长按按键实现关机。</w:t>
            </w:r>
            <w:r>
              <w:rPr>
                <w:rFonts w:hint="default"/>
                <w:highlight w:val="none"/>
                <w:lang w:val="en-US"/>
              </w:rPr>
              <w:br w:type="textWrapping"/>
            </w:r>
            <w:r>
              <w:rPr>
                <w:rFonts w:hint="default"/>
                <w:highlight w:val="none"/>
                <w:lang w:val="en-US"/>
              </w:rPr>
              <w:t>2、 设备支持通过前置面板物理按键一键启动录屏功能，可将屏幕中显示的课件、音频内容与人声同时录制。</w:t>
            </w:r>
            <w:r>
              <w:rPr>
                <w:rFonts w:hint="default"/>
                <w:highlight w:val="none"/>
                <w:lang w:val="en-US"/>
              </w:rPr>
              <w:br w:type="textWrapping"/>
            </w:r>
            <w:r>
              <w:rPr>
                <w:rFonts w:hint="default"/>
                <w:highlight w:val="none"/>
                <w:lang w:val="en-US"/>
              </w:rPr>
              <w:t>3、 ★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default"/>
                <w:highlight w:val="none"/>
                <w:lang w:val="en-US"/>
              </w:rPr>
              <w:br w:type="textWrapping"/>
            </w:r>
            <w:r>
              <w:rPr>
                <w:rFonts w:hint="default"/>
                <w:highlight w:val="none"/>
                <w:lang w:val="en-US"/>
              </w:rPr>
              <w:t>4、 整机支持自定义图像设置，可对对比度、屏幕色温、图像亮度、亮度范围、色彩空间调节设置。</w:t>
            </w:r>
            <w:r>
              <w:rPr>
                <w:rFonts w:hint="default"/>
                <w:highlight w:val="none"/>
                <w:lang w:val="en-US"/>
              </w:rPr>
              <w:br w:type="textWrapping"/>
            </w:r>
            <w:r>
              <w:rPr>
                <w:rFonts w:hint="default"/>
                <w:highlight w:val="none"/>
                <w:lang w:val="en-US"/>
              </w:rPr>
              <w:t>5、 ★整机关机状态下，通过长按电源键进入设置界面后，可点击屏幕选择故障检测、系统还原功能，系统还原可单独还原PC系统，单独还原整机系统。</w:t>
            </w:r>
            <w:r>
              <w:rPr>
                <w:rFonts w:hint="default"/>
                <w:highlight w:val="none"/>
                <w:lang w:val="en-US"/>
              </w:rPr>
              <w:br w:type="textWrapping"/>
            </w:r>
            <w:r>
              <w:rPr>
                <w:rFonts w:hint="default"/>
                <w:highlight w:val="none"/>
                <w:lang w:val="en-US"/>
              </w:rPr>
              <w:t>6、 整机无需外接无线网卡，在Android和Windows系统下可实现Wi-Fi无线上网连接、AP无线热点发射和BT蓝牙连接功能。</w:t>
            </w:r>
            <w:r>
              <w:rPr>
                <w:rFonts w:hint="default"/>
                <w:highlight w:val="none"/>
                <w:lang w:val="en-US"/>
              </w:rPr>
              <w:br w:type="textWrapping"/>
            </w:r>
            <w:r>
              <w:rPr>
                <w:rFonts w:hint="default"/>
                <w:highlight w:val="none"/>
                <w:lang w:val="en-US"/>
              </w:rPr>
              <w:t>7、 Wi-Fi和AP热点工作距离≥12m。</w:t>
            </w:r>
            <w:r>
              <w:rPr>
                <w:rFonts w:hint="default"/>
                <w:highlight w:val="none"/>
                <w:lang w:val="en-US"/>
              </w:rPr>
              <w:br w:type="textWrapping"/>
            </w:r>
            <w:r>
              <w:rPr>
                <w:rFonts w:hint="default"/>
                <w:highlight w:val="none"/>
                <w:lang w:val="en-US"/>
              </w:rPr>
              <w:t>8、 整机支持蓝牙Bluetooth 5.4标准，固件版本号HCI13.0/LMP13.0。</w:t>
            </w:r>
            <w:r>
              <w:rPr>
                <w:rFonts w:hint="default"/>
                <w:highlight w:val="none"/>
                <w:lang w:val="en-US"/>
              </w:rPr>
              <w:br w:type="textWrapping"/>
            </w:r>
            <w:r>
              <w:rPr>
                <w:rFonts w:hint="default"/>
                <w:highlight w:val="none"/>
                <w:lang w:val="en-US"/>
              </w:rPr>
              <w:t>9、 ★整机支持发出频率为18kHz-22kHz超声波信号，智能手机通过麦克风接收后，智能手机与整机无需在同一局域网内，可实现配对，一键投屏，用户无需手动输入投屏码或扫码获取投屏码。（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10、 整机PC端支持主动发现蓝牙外设从而连接（无需整机进入发现模式），支持连接外部蓝牙音箱播放音频。</w:t>
            </w:r>
            <w:r>
              <w:rPr>
                <w:rFonts w:hint="default"/>
                <w:highlight w:val="none"/>
                <w:lang w:val="en-US"/>
              </w:rPr>
              <w:br w:type="textWrapping"/>
            </w:r>
            <w:r>
              <w:rPr>
                <w:rFonts w:hint="default"/>
                <w:highlight w:val="none"/>
                <w:lang w:val="en-US"/>
              </w:rPr>
              <w:t>11、 ★整机内置双WiFi6无线网卡，在Android下支持无线设备同时连接数量≥32个，在Windows系统下支持无线设备同时连接≥8个。</w:t>
            </w:r>
            <w:r>
              <w:rPr>
                <w:rFonts w:hint="default"/>
                <w:highlight w:val="none"/>
                <w:lang w:val="en-US"/>
              </w:rPr>
              <w:br w:type="textWrapping"/>
            </w:r>
            <w:r>
              <w:rPr>
                <w:rFonts w:hint="default"/>
                <w:highlight w:val="none"/>
                <w:lang w:val="en-US"/>
              </w:rPr>
              <w:t>三、整机屏幕设计：</w:t>
            </w:r>
            <w:r>
              <w:rPr>
                <w:rFonts w:hint="default"/>
                <w:highlight w:val="none"/>
                <w:lang w:val="en-US"/>
              </w:rPr>
              <w:br w:type="textWrapping"/>
            </w:r>
            <w:r>
              <w:rPr>
                <w:rFonts w:hint="default"/>
                <w:highlight w:val="none"/>
                <w:lang w:val="en-US"/>
              </w:rPr>
              <w:t>1、 整机采用一体设计，外部无任何可见内部功能模块连接线。整机采用全金属外壳设计，边角采用弧形设计，表面无尖锐边缘或凸起。</w:t>
            </w:r>
            <w:r>
              <w:rPr>
                <w:rFonts w:hint="default"/>
                <w:highlight w:val="none"/>
                <w:lang w:val="en-US"/>
              </w:rPr>
              <w:br w:type="textWrapping"/>
            </w:r>
            <w:r>
              <w:rPr>
                <w:rFonts w:hint="default"/>
                <w:highlight w:val="none"/>
                <w:lang w:val="en-US"/>
              </w:rPr>
              <w:t>2、 整机屏幕边缘采用金属圆角包边防护，整机背板采用金属材质，有效屏蔽内部电路器件辐射；防潮耐盐雾蚀锈，适应多种教学环境。</w:t>
            </w:r>
            <w:r>
              <w:rPr>
                <w:rFonts w:hint="default"/>
                <w:highlight w:val="none"/>
                <w:lang w:val="en-US"/>
              </w:rPr>
              <w:br w:type="textWrapping"/>
            </w:r>
            <w:r>
              <w:rPr>
                <w:rFonts w:hint="default"/>
                <w:highlight w:val="none"/>
                <w:lang w:val="en-US"/>
              </w:rPr>
              <w:t>3、 ★整机屏幕采用≥86英寸液晶显示器，采用UHD超高清LED液晶屏，显示比例16:9，分辨率3840×2160，色域覆盖率（NTSC）≥72%，灰度等级≥256级。</w:t>
            </w:r>
            <w:r>
              <w:rPr>
                <w:rFonts w:hint="default"/>
                <w:highlight w:val="none"/>
                <w:lang w:val="en-US"/>
              </w:rPr>
              <w:br w:type="textWrapping"/>
            </w:r>
            <w:r>
              <w:rPr>
                <w:rFonts w:hint="default"/>
                <w:highlight w:val="none"/>
                <w:lang w:val="en-US"/>
              </w:rPr>
              <w:t>4、 整机采用全物理钢化玻璃，有效保护屏幕显示画面，采用防眩光玻璃，屏幕支持防眩光功能，钢化玻璃表面硬度≥9H。</w:t>
            </w:r>
            <w:r>
              <w:rPr>
                <w:rFonts w:hint="default"/>
                <w:highlight w:val="none"/>
                <w:lang w:val="en-US"/>
              </w:rPr>
              <w:br w:type="textWrapping"/>
            </w:r>
            <w:r>
              <w:rPr>
                <w:rFonts w:hint="default"/>
                <w:highlight w:val="none"/>
                <w:lang w:val="en-US"/>
              </w:rPr>
              <w:t>5、 整机背光系统支持DC调光方式，多级亮度调节，支持白颜色背景下最暗亮度≤100nit，用于提升显示对比度</w:t>
            </w:r>
            <w:r>
              <w:rPr>
                <w:rFonts w:hint="default"/>
                <w:highlight w:val="none"/>
                <w:lang w:val="en-US"/>
              </w:rPr>
              <w:br w:type="textWrapping"/>
            </w:r>
            <w:r>
              <w:rPr>
                <w:rFonts w:hint="default"/>
                <w:highlight w:val="none"/>
                <w:lang w:val="en-US"/>
              </w:rPr>
              <w:t>6、 ★整机采用硬件低蓝光背光技术，在源头减少有害蓝光波段能量，蓝光占比（有害蓝光415～455nm能量综合）/（整体蓝光400～500能量综合）≤50%，低蓝光保护显示不偏色、不泛黄。</w:t>
            </w:r>
            <w:r>
              <w:rPr>
                <w:rFonts w:hint="default"/>
                <w:highlight w:val="none"/>
                <w:lang w:val="en-US"/>
              </w:rPr>
              <w:br w:type="textWrapping"/>
            </w:r>
            <w:r>
              <w:rPr>
                <w:rFonts w:hint="default"/>
                <w:highlight w:val="none"/>
                <w:lang w:val="en-US"/>
              </w:rPr>
              <w:t>7、 整机支持支持可自定义图像设置，可对对比度、屏幕色温、图像亮度、亮度范围、色彩空间进行更进一步调节设置。</w:t>
            </w:r>
            <w:r>
              <w:rPr>
                <w:rFonts w:hint="default"/>
                <w:highlight w:val="none"/>
                <w:lang w:val="en-US"/>
              </w:rPr>
              <w:br w:type="textWrapping"/>
            </w:r>
            <w:r>
              <w:rPr>
                <w:rFonts w:hint="default"/>
                <w:highlight w:val="none"/>
                <w:lang w:val="en-US"/>
              </w:rPr>
              <w:t>8、 ★整机全通道支持纸质护眼模式，可实现画面纹理的实时调整；支持纸质纹理：牛皮纸、素描纸、宣纸、水彩纸；支持透明度调节；支持色温调节。（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9、 ★整机支持色彩空间可选，包含标准模式和sRGB模式，在sRGB模式下可做到高色准△E≤1.0。（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四、整机接口设计：</w:t>
            </w:r>
            <w:r>
              <w:rPr>
                <w:rFonts w:hint="default"/>
                <w:highlight w:val="none"/>
                <w:lang w:val="en-US"/>
              </w:rPr>
              <w:br w:type="textWrapping"/>
            </w:r>
            <w:r>
              <w:rPr>
                <w:rFonts w:hint="default"/>
                <w:highlight w:val="none"/>
                <w:lang w:val="en-US"/>
              </w:rPr>
              <w:t>1、 侧置输入接口具备≥2路HDMI、≥1路RS232、≥1路USB接口。</w:t>
            </w:r>
            <w:r>
              <w:rPr>
                <w:rFonts w:hint="default"/>
                <w:highlight w:val="none"/>
                <w:lang w:val="en-US"/>
              </w:rPr>
              <w:br w:type="textWrapping"/>
            </w:r>
            <w:r>
              <w:rPr>
                <w:rFonts w:hint="default"/>
                <w:highlight w:val="none"/>
                <w:lang w:val="en-US"/>
              </w:rPr>
              <w:t>2、 侧置输出接口具备≥1路音频输出、≥1路触控USB输出。</w:t>
            </w:r>
            <w:r>
              <w:rPr>
                <w:rFonts w:hint="default"/>
                <w:highlight w:val="none"/>
                <w:lang w:val="en-US"/>
              </w:rPr>
              <w:br w:type="textWrapping"/>
            </w:r>
            <w:r>
              <w:rPr>
                <w:rFonts w:hint="default"/>
                <w:highlight w:val="none"/>
                <w:lang w:val="en-US"/>
              </w:rPr>
              <w:t>3、 前置输入接口≥3路USB接口（包含≥1路Type-C、≥2路USB），前置USB接口支持Android系统、Windows系统读取外接移动存储设备。</w:t>
            </w:r>
            <w:r>
              <w:rPr>
                <w:rFonts w:hint="default"/>
                <w:highlight w:val="none"/>
                <w:lang w:val="en-US"/>
              </w:rPr>
              <w:br w:type="textWrapping"/>
            </w:r>
            <w:r>
              <w:rPr>
                <w:rFonts w:hint="default"/>
                <w:highlight w:val="none"/>
                <w:lang w:val="en-US"/>
              </w:rPr>
              <w:t>4、 ★整机具备前置Type-C接口，type-C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五、触摸系统要求：</w:t>
            </w:r>
            <w:r>
              <w:rPr>
                <w:rFonts w:hint="default"/>
                <w:highlight w:val="none"/>
                <w:lang w:val="en-US"/>
              </w:rPr>
              <w:br w:type="textWrapping"/>
            </w:r>
            <w:r>
              <w:rPr>
                <w:rFonts w:hint="default"/>
                <w:highlight w:val="none"/>
                <w:lang w:val="en-US"/>
              </w:rPr>
              <w:t>1、 ★采用红外触控技术，支持Windows系统中进行40点或以上触控，支持在Android系统中进行40点或以上触控。（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2、 整机屏幕触摸有效识别高度不超过1.5mm，即触摸物体距离玻璃外表面高度不超过1.5mm时，触摸屏识别为点击操作。</w:t>
            </w:r>
            <w:r>
              <w:rPr>
                <w:rFonts w:hint="default"/>
                <w:highlight w:val="none"/>
                <w:lang w:val="en-US"/>
              </w:rPr>
              <w:br w:type="textWrapping"/>
            </w:r>
            <w:r>
              <w:rPr>
                <w:rFonts w:hint="default"/>
                <w:highlight w:val="none"/>
                <w:lang w:val="en-US"/>
              </w:rPr>
              <w:t>3、 整机触控书写功能集成预测算法，在书写速度≥50cm/s，支持笔迹距离笔的距离小于20mm。</w:t>
            </w:r>
            <w:r>
              <w:rPr>
                <w:rFonts w:hint="default"/>
                <w:highlight w:val="none"/>
                <w:lang w:val="en-US"/>
              </w:rPr>
              <w:br w:type="textWrapping"/>
            </w:r>
            <w:r>
              <w:rPr>
                <w:rFonts w:hint="default"/>
                <w:highlight w:val="none"/>
                <w:lang w:val="en-US"/>
              </w:rPr>
              <w:t>4、 整机系统支持书写触控延迟≤25ms。</w:t>
            </w:r>
            <w:r>
              <w:rPr>
                <w:rFonts w:hint="default"/>
                <w:highlight w:val="none"/>
                <w:lang w:val="en-US"/>
              </w:rPr>
              <w:br w:type="textWrapping"/>
            </w:r>
            <w:r>
              <w:rPr>
                <w:rFonts w:hint="default"/>
                <w:highlight w:val="none"/>
                <w:lang w:val="en-US"/>
              </w:rPr>
              <w:t>5、 ★整机支持提笔书写，在Windows系统下可实现无需点击任意功能入口，当检测到红外笔笔尖接触屏幕时，自动进入书写模式。（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6、 支持智能板擦功能，系统可根据触控物体的形状自动识别出实物板擦，可擦除电子白板中的内容，无需依赖外部电子设备。</w:t>
            </w:r>
            <w:r>
              <w:rPr>
                <w:rFonts w:hint="default"/>
                <w:highlight w:val="none"/>
                <w:lang w:val="en-US"/>
              </w:rPr>
              <w:br w:type="textWrapping"/>
            </w:r>
            <w:r>
              <w:rPr>
                <w:rFonts w:hint="default"/>
                <w:highlight w:val="none"/>
                <w:lang w:val="en-US"/>
              </w:rPr>
              <w:t>7、 支持Windows 7、Windows 8、Windows 10、Windows 11、Linux、Mac Os、UOS和麒麟系统外置电脑操作系统接入时，无需安装触摸驱动。</w:t>
            </w:r>
            <w:r>
              <w:rPr>
                <w:rFonts w:hint="default"/>
                <w:highlight w:val="none"/>
                <w:lang w:val="en-US"/>
              </w:rPr>
              <w:br w:type="textWrapping"/>
            </w:r>
            <w:r>
              <w:rPr>
                <w:rFonts w:hint="default"/>
                <w:highlight w:val="none"/>
                <w:lang w:val="en-US"/>
              </w:rPr>
              <w:t>8、 ★整机触摸支持动态压力感应，支持无任何电子功能的普通书写笔在整机上书写或点压时，整机能感应压力变化，书写或点压过程笔迹呈现不同粗细。</w:t>
            </w:r>
            <w:r>
              <w:rPr>
                <w:rFonts w:hint="default"/>
                <w:highlight w:val="none"/>
                <w:lang w:val="en-US"/>
              </w:rPr>
              <w:br w:type="textWrapping"/>
            </w:r>
            <w:r>
              <w:rPr>
                <w:rFonts w:hint="default"/>
                <w:highlight w:val="none"/>
                <w:lang w:val="en-US"/>
              </w:rPr>
              <w:t>六、多媒体教学设计：</w:t>
            </w:r>
            <w:r>
              <w:rPr>
                <w:rFonts w:hint="default"/>
                <w:highlight w:val="none"/>
                <w:lang w:val="en-US"/>
              </w:rPr>
              <w:br w:type="textWrapping"/>
            </w:r>
            <w:r>
              <w:rPr>
                <w:rFonts w:hint="default"/>
                <w:highlight w:val="none"/>
                <w:lang w:val="en-US"/>
              </w:rPr>
              <w:t>1、 整机全通道侧边栏快捷菜单包含如下小工具：批注、降半屏、截屏、放大镜、倒计时、日历、聚光灯、秒表、冻屏、倒数日、答题、节拍器。</w:t>
            </w:r>
            <w:r>
              <w:rPr>
                <w:rFonts w:hint="default"/>
                <w:highlight w:val="none"/>
                <w:lang w:val="en-US"/>
              </w:rPr>
              <w:br w:type="textWrapping"/>
            </w:r>
            <w:r>
              <w:rPr>
                <w:rFonts w:hint="default"/>
                <w:highlight w:val="none"/>
                <w:lang w:val="en-US"/>
              </w:rPr>
              <w:t>2、 整机全通道侧边栏支持使用批注小工具进行批注讲解，可切换书写笔颜色、截屏保存批注内容、清屏，可根据手与屏幕的接触面积自动调整板擦工具的大小。</w:t>
            </w:r>
            <w:r>
              <w:rPr>
                <w:rFonts w:hint="default"/>
                <w:highlight w:val="none"/>
                <w:lang w:val="en-US"/>
              </w:rPr>
              <w:br w:type="textWrapping"/>
            </w:r>
            <w:r>
              <w:rPr>
                <w:rFonts w:hint="default"/>
                <w:highlight w:val="none"/>
                <w:lang w:val="en-US"/>
              </w:rPr>
              <w:t>3、 整机全通道侧边栏快捷菜单支持快捷调节音量、亮度，支持自动亮度模式，支持点击静音按钮静音。</w:t>
            </w:r>
            <w:r>
              <w:rPr>
                <w:rFonts w:hint="default"/>
                <w:highlight w:val="none"/>
                <w:lang w:val="en-US"/>
              </w:rPr>
              <w:br w:type="textWrapping"/>
            </w:r>
            <w:r>
              <w:rPr>
                <w:rFonts w:hint="default"/>
                <w:highlight w:val="none"/>
                <w:lang w:val="en-US"/>
              </w:rPr>
              <w:t>4、 教学中可以实时查看物联设备的连接情况，点击任意一台设备图标即可调出中控菜单进行管控。</w:t>
            </w:r>
            <w:r>
              <w:rPr>
                <w:rFonts w:hint="default"/>
                <w:highlight w:val="none"/>
                <w:lang w:val="en-US"/>
              </w:rPr>
              <w:br w:type="textWrapping"/>
            </w:r>
            <w:r>
              <w:rPr>
                <w:rFonts w:hint="default"/>
                <w:highlight w:val="none"/>
                <w:lang w:val="en-US"/>
              </w:rPr>
              <w:t>5、 ★整机安卓和全部外接通道（HDMI、Type-c）下侧边栏支持节拍器，支持设置节拍、轻重、节拍播放速度。全通道下可支持通过自定义按键调出该功能。</w:t>
            </w:r>
            <w:r>
              <w:rPr>
                <w:rFonts w:hint="default"/>
                <w:highlight w:val="none"/>
                <w:lang w:val="en-US"/>
              </w:rPr>
              <w:br w:type="textWrapping"/>
            </w:r>
            <w:r>
              <w:rPr>
                <w:rFonts w:hint="default"/>
                <w:highlight w:val="none"/>
                <w:lang w:val="en-US"/>
              </w:rPr>
              <w:t>6、 整机安卓和全部外接通道（HDMI、Type-C）下侧边栏支持设置倒数日。</w:t>
            </w:r>
            <w:r>
              <w:rPr>
                <w:rFonts w:hint="default"/>
                <w:highlight w:val="none"/>
                <w:lang w:val="en-US"/>
              </w:rPr>
              <w:br w:type="textWrapping"/>
            </w:r>
            <w:r>
              <w:rPr>
                <w:rFonts w:hint="default"/>
                <w:highlight w:val="none"/>
                <w:lang w:val="en-US"/>
              </w:rPr>
              <w:t>7、 整机全通道侧边栏支持倒计时、正计时功能；倒计时，输入某特定时间值，可精确到秒，点击开始进入倒计时；正计时，点击开始计时便自动开始，并实时显示时间。</w:t>
            </w:r>
            <w:r>
              <w:rPr>
                <w:rFonts w:hint="default"/>
                <w:highlight w:val="none"/>
                <w:lang w:val="en-US"/>
              </w:rPr>
              <w:br w:type="textWrapping"/>
            </w:r>
            <w:r>
              <w:rPr>
                <w:rFonts w:hint="default"/>
                <w:highlight w:val="none"/>
                <w:lang w:val="en-US"/>
              </w:rPr>
              <w:t>8、 教学支持放大任意区域内容；并可支持对未选中区域关灯处理，实现聚光灯效果。</w:t>
            </w:r>
            <w:r>
              <w:rPr>
                <w:rFonts w:hint="default"/>
                <w:highlight w:val="none"/>
                <w:lang w:val="en-US"/>
              </w:rPr>
              <w:br w:type="textWrapping"/>
            </w:r>
            <w:r>
              <w:rPr>
                <w:rFonts w:hint="default"/>
                <w:highlight w:val="none"/>
                <w:lang w:val="en-US"/>
              </w:rPr>
              <w:t>9、 ★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七、整机系统设计：</w:t>
            </w:r>
            <w:r>
              <w:rPr>
                <w:rFonts w:hint="default"/>
                <w:highlight w:val="none"/>
                <w:lang w:val="en-US"/>
              </w:rPr>
              <w:br w:type="textWrapping"/>
            </w:r>
            <w:r>
              <w:rPr>
                <w:rFonts w:hint="default"/>
                <w:highlight w:val="none"/>
                <w:lang w:val="en-US"/>
              </w:rPr>
              <w:t>（一）电脑系统要求：</w:t>
            </w:r>
            <w:r>
              <w:rPr>
                <w:rFonts w:hint="default"/>
                <w:highlight w:val="none"/>
                <w:lang w:val="en-US"/>
              </w:rPr>
              <w:br w:type="textWrapping"/>
            </w:r>
            <w:r>
              <w:rPr>
                <w:rFonts w:hint="default"/>
                <w:highlight w:val="none"/>
                <w:lang w:val="en-US"/>
              </w:rPr>
              <w:t>1、 CPU：搭载Intel 酷睿系列≥ i5 CPU。</w:t>
            </w:r>
            <w:r>
              <w:rPr>
                <w:rFonts w:hint="default"/>
                <w:highlight w:val="none"/>
                <w:lang w:val="en-US"/>
              </w:rPr>
              <w:br w:type="textWrapping"/>
            </w:r>
            <w:r>
              <w:rPr>
                <w:rFonts w:hint="default"/>
                <w:highlight w:val="none"/>
                <w:lang w:val="en-US"/>
              </w:rPr>
              <w:t>2、 内存：8GB DDR4笔记本内存或以上配置。</w:t>
            </w:r>
            <w:r>
              <w:rPr>
                <w:rFonts w:hint="default"/>
                <w:highlight w:val="none"/>
                <w:lang w:val="en-US"/>
              </w:rPr>
              <w:br w:type="textWrapping"/>
            </w:r>
            <w:r>
              <w:rPr>
                <w:rFonts w:hint="default"/>
                <w:highlight w:val="none"/>
                <w:lang w:val="en-US"/>
              </w:rPr>
              <w:t>3、 硬盘：256GB或以上SSD固态硬盘。</w:t>
            </w:r>
            <w:r>
              <w:rPr>
                <w:rFonts w:hint="default"/>
                <w:highlight w:val="none"/>
                <w:lang w:val="en-US"/>
              </w:rPr>
              <w:br w:type="textWrapping"/>
            </w:r>
            <w:r>
              <w:rPr>
                <w:rFonts w:hint="default"/>
                <w:highlight w:val="none"/>
                <w:lang w:val="en-US"/>
              </w:rPr>
              <w:t>4、 PC模块可抽拉式插入整机，可实现无单独接线的插拔，和整机的连接采用万兆级接口，传输速率≥10Gbps。</w:t>
            </w:r>
            <w:r>
              <w:rPr>
                <w:rFonts w:hint="default"/>
                <w:highlight w:val="none"/>
                <w:lang w:val="en-US"/>
              </w:rPr>
              <w:br w:type="textWrapping"/>
            </w:r>
            <w:r>
              <w:rPr>
                <w:rFonts w:hint="default"/>
                <w:highlight w:val="none"/>
                <w:lang w:val="en-US"/>
              </w:rPr>
              <w:t>5、 采用按压式卡扣，无需工具就可快速拆卸电脑模块。</w:t>
            </w:r>
            <w:r>
              <w:rPr>
                <w:rFonts w:hint="default"/>
                <w:highlight w:val="none"/>
                <w:lang w:val="en-US"/>
              </w:rPr>
              <w:br w:type="textWrapping"/>
            </w:r>
            <w:r>
              <w:rPr>
                <w:rFonts w:hint="default"/>
                <w:highlight w:val="none"/>
                <w:lang w:val="en-US"/>
              </w:rPr>
              <w:t>6、 PC模块的USB接口须为冗余备份接口，在正常使用整机的内置摄像头、内置麦克风功能时，USB接口不被占用，确保教师有足够的接口外接存储设备及显示设备。</w:t>
            </w:r>
            <w:r>
              <w:rPr>
                <w:rFonts w:hint="default"/>
                <w:highlight w:val="none"/>
                <w:lang w:val="en-US"/>
              </w:rPr>
              <w:br w:type="textWrapping"/>
            </w:r>
            <w:r>
              <w:rPr>
                <w:rFonts w:hint="default"/>
                <w:highlight w:val="none"/>
                <w:lang w:val="en-US"/>
              </w:rPr>
              <w:t>7、 具有独立非外扩展的视频输出接口：≥1路HDMI 。</w:t>
            </w:r>
            <w:r>
              <w:rPr>
                <w:rFonts w:hint="default"/>
                <w:highlight w:val="none"/>
                <w:lang w:val="en-US"/>
              </w:rPr>
              <w:br w:type="textWrapping"/>
            </w:r>
            <w:r>
              <w:rPr>
                <w:rFonts w:hint="default"/>
                <w:highlight w:val="none"/>
                <w:lang w:val="en-US"/>
              </w:rPr>
              <w:t>8、 具有独立非外拓展的电脑 USB 接口：至少具备 3个USB3.0 接口。</w:t>
            </w:r>
            <w:r>
              <w:rPr>
                <w:rFonts w:hint="default"/>
                <w:highlight w:val="none"/>
                <w:lang w:val="en-US"/>
              </w:rPr>
              <w:br w:type="textWrapping"/>
            </w:r>
            <w:r>
              <w:rPr>
                <w:rFonts w:hint="default"/>
                <w:highlight w:val="none"/>
                <w:lang w:val="en-US"/>
              </w:rPr>
              <w:t>9、 ★整机具备供电保护模块，能够检测内置电脑是否插好在位，在内置电脑未在位的情况下，内置电脑无法上电工作。</w:t>
            </w:r>
            <w:r>
              <w:rPr>
                <w:rFonts w:hint="default"/>
                <w:highlight w:val="none"/>
                <w:lang w:val="en-US"/>
              </w:rPr>
              <w:br w:type="textWrapping"/>
            </w:r>
            <w:r>
              <w:rPr>
                <w:rFonts w:hint="default"/>
                <w:highlight w:val="none"/>
                <w:lang w:val="en-US"/>
              </w:rPr>
              <w:t>（二）嵌入式系统要求：</w:t>
            </w:r>
            <w:r>
              <w:rPr>
                <w:rFonts w:hint="default"/>
                <w:highlight w:val="none"/>
                <w:lang w:val="en-US"/>
              </w:rPr>
              <w:br w:type="textWrapping"/>
            </w:r>
            <w:r>
              <w:rPr>
                <w:rFonts w:hint="default"/>
                <w:highlight w:val="none"/>
                <w:lang w:val="en-US"/>
              </w:rPr>
              <w:t>1、 ★嵌入式系统版本不低于Android 13，内存≥2GB，存储空间≥8GB。（供货时，中标人需提供关于该功能的国家认可的第三方检测机构出具的检测报告复印件，并加盖投标单位公章，如不能提供，按违约处理，采购人并有权解除合同。）</w:t>
            </w:r>
            <w:r>
              <w:rPr>
                <w:rFonts w:hint="default"/>
                <w:highlight w:val="none"/>
                <w:lang w:val="en-US"/>
              </w:rPr>
              <w:br w:type="textWrapping"/>
            </w:r>
            <w:r>
              <w:rPr>
                <w:rFonts w:hint="default"/>
                <w:highlight w:val="none"/>
                <w:lang w:val="en-US"/>
              </w:rPr>
              <w:t>2、 嵌入式Android操作系统下，白板支持对已经书写的笔迹和形状的颜色进行更换。</w:t>
            </w:r>
            <w:r>
              <w:rPr>
                <w:rFonts w:hint="default"/>
                <w:highlight w:val="none"/>
                <w:lang w:val="en-US"/>
              </w:rPr>
              <w:br w:type="textWrapping"/>
            </w:r>
            <w:r>
              <w:rPr>
                <w:rFonts w:hint="default"/>
                <w:highlight w:val="none"/>
                <w:lang w:val="en-US"/>
              </w:rPr>
              <w:t>3、 在嵌入式系统下使用白板软件时，整机可自行调节屏幕亮度</w:t>
            </w:r>
            <w:r>
              <w:rPr>
                <w:rFonts w:hint="default"/>
                <w:highlight w:val="none"/>
                <w:lang w:val="en-US"/>
              </w:rPr>
              <w:br w:type="textWrapping"/>
            </w:r>
            <w:r>
              <w:rPr>
                <w:rFonts w:hint="default"/>
                <w:highlight w:val="none"/>
                <w:lang w:val="en-US"/>
              </w:rPr>
              <w:t>4、 嵌入式Android操作系统下，互动白板支持不同背景颜色，同时提供学科背景，如：五线谱、信纸、田字格、英文格、篮球和足球场地平面图。</w:t>
            </w:r>
            <w:r>
              <w:rPr>
                <w:rFonts w:hint="default"/>
                <w:highlight w:val="none"/>
                <w:lang w:val="en-US"/>
              </w:rPr>
              <w:br w:type="textWrapping"/>
            </w:r>
            <w:r>
              <w:rPr>
                <w:rFonts w:hint="default"/>
                <w:highlight w:val="none"/>
                <w:lang w:val="en-US"/>
              </w:rPr>
              <w:t>5、 ★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default"/>
                <w:highlight w:val="none"/>
                <w:lang w:val="en-US"/>
              </w:rPr>
              <w:br w:type="textWrapping"/>
            </w:r>
            <w:r>
              <w:rPr>
                <w:rFonts w:hint="default"/>
                <w:highlight w:val="none"/>
                <w:lang w:val="en-US"/>
              </w:rPr>
              <w:t>6、 无PC状态下，嵌入式系统内置互动白板支持全局漫游，并能在工具栏中对全局内容进行预览和移动。</w:t>
            </w:r>
            <w:r>
              <w:rPr>
                <w:rFonts w:hint="default"/>
                <w:highlight w:val="none"/>
                <w:lang w:val="en-US"/>
              </w:rPr>
              <w:br w:type="textWrapping"/>
            </w:r>
            <w:r>
              <w:rPr>
                <w:rFonts w:hint="default"/>
                <w:highlight w:val="none"/>
                <w:lang w:val="en-US"/>
              </w:rPr>
              <w:t>7、 无PC状态下，嵌入式Android操作系统下可使用白板书写、WPS软件和网页浏览。</w:t>
            </w:r>
            <w:r>
              <w:rPr>
                <w:rFonts w:hint="default"/>
                <w:highlight w:val="none"/>
                <w:lang w:val="en-US"/>
              </w:rPr>
              <w:br w:type="textWrapping"/>
            </w:r>
            <w:r>
              <w:rPr>
                <w:rFonts w:hint="default"/>
                <w:highlight w:val="none"/>
                <w:lang w:val="en-US"/>
              </w:rPr>
              <w:t>八、教学备授课软件设计：</w:t>
            </w:r>
            <w:r>
              <w:rPr>
                <w:rFonts w:hint="default"/>
                <w:highlight w:val="none"/>
                <w:lang w:val="en-US"/>
              </w:rPr>
              <w:br w:type="textWrapping"/>
            </w:r>
            <w:r>
              <w:rPr>
                <w:rFonts w:hint="default"/>
                <w:highlight w:val="none"/>
                <w:lang w:val="en-US"/>
              </w:rPr>
              <w:t>1、 ★教学系统为全校教师提供可扩展，易于学校管理，安全可靠的云存储空间，根据每名教师使用时长与教学资料制作频率提供可扩展升级至不小于200G的个人云空间。</w:t>
            </w:r>
            <w:r>
              <w:rPr>
                <w:rFonts w:hint="default"/>
                <w:highlight w:val="none"/>
                <w:lang w:val="en-US"/>
              </w:rPr>
              <w:br w:type="textWrapping"/>
            </w:r>
            <w:r>
              <w:rPr>
                <w:rFonts w:hint="default"/>
                <w:highlight w:val="none"/>
                <w:lang w:val="en-US"/>
              </w:rPr>
              <w:t>2、 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default"/>
                <w:highlight w:val="none"/>
                <w:lang w:val="en-US"/>
              </w:rPr>
              <w:br w:type="textWrapping"/>
            </w:r>
            <w:r>
              <w:rPr>
                <w:rFonts w:hint="default"/>
                <w:highlight w:val="none"/>
                <w:lang w:val="en-US"/>
              </w:rPr>
              <w:t>3、 互动教学课件支持定向精准分享：分享者可将互动课件、课件组精准推送至指定接收方账号云空间，接收方可在云空间接收并打开分享课件。</w:t>
            </w:r>
            <w:r>
              <w:rPr>
                <w:rFonts w:hint="default"/>
                <w:highlight w:val="none"/>
                <w:lang w:val="en-US"/>
              </w:rPr>
              <w:br w:type="textWrapping"/>
            </w:r>
            <w:r>
              <w:rPr>
                <w:rFonts w:hint="default"/>
                <w:highlight w:val="none"/>
                <w:lang w:val="en-US"/>
              </w:rPr>
              <w:t>4、 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default"/>
                <w:highlight w:val="none"/>
                <w:lang w:val="en-US"/>
              </w:rPr>
              <w:br w:type="textWrapping"/>
            </w:r>
            <w:r>
              <w:rPr>
                <w:rFonts w:hint="default"/>
                <w:highlight w:val="none"/>
                <w:lang w:val="en-US"/>
              </w:rPr>
              <w:t>5、 支持软件联网自动静默升级，无需用户手动更新。</w:t>
            </w:r>
            <w:r>
              <w:rPr>
                <w:rFonts w:hint="default"/>
                <w:highlight w:val="none"/>
                <w:lang w:val="en-US"/>
              </w:rPr>
              <w:br w:type="textWrapping"/>
            </w:r>
            <w:r>
              <w:rPr>
                <w:rFonts w:hint="default"/>
                <w:highlight w:val="none"/>
                <w:lang w:val="en-US"/>
              </w:rPr>
              <w:t>九、智慧互动教学软件：</w:t>
            </w:r>
            <w:r>
              <w:rPr>
                <w:rFonts w:hint="default"/>
                <w:highlight w:val="none"/>
                <w:lang w:val="en-US"/>
              </w:rPr>
              <w:br w:type="textWrapping"/>
            </w:r>
            <w:r>
              <w:rPr>
                <w:rFonts w:hint="default"/>
                <w:highlight w:val="none"/>
                <w:lang w:val="en-US"/>
              </w:rPr>
              <w:t>（一）教师端功能设计：</w:t>
            </w:r>
            <w:r>
              <w:rPr>
                <w:rFonts w:hint="default"/>
                <w:highlight w:val="none"/>
                <w:lang w:val="en-US"/>
              </w:rPr>
              <w:br w:type="textWrapping"/>
            </w:r>
            <w:r>
              <w:rPr>
                <w:rFonts w:hint="default"/>
                <w:highlight w:val="none"/>
                <w:lang w:val="en-US"/>
              </w:rPr>
              <w:t>1、 统计考勤：互动反馈系统支持无感考勤功能，学生连接成功后名字可显示在签到列表上，签到列表实时统计已签到人数，并查看未到的人员。</w:t>
            </w:r>
            <w:r>
              <w:rPr>
                <w:rFonts w:hint="default"/>
                <w:highlight w:val="none"/>
                <w:lang w:val="en-US"/>
              </w:rPr>
              <w:br w:type="textWrapping"/>
            </w:r>
            <w:r>
              <w:rPr>
                <w:rFonts w:hint="default"/>
                <w:highlight w:val="none"/>
                <w:lang w:val="en-US"/>
              </w:rPr>
              <w:t>2、 班级创建：支持老师主动创建班级，创建成功后，每次登录教师端即可直接进入班级列表，选择班级进入课堂。</w:t>
            </w:r>
            <w:r>
              <w:rPr>
                <w:rFonts w:hint="default"/>
                <w:highlight w:val="none"/>
                <w:lang w:val="en-US"/>
              </w:rPr>
              <w:br w:type="textWrapping"/>
            </w:r>
            <w:r>
              <w:rPr>
                <w:rFonts w:hint="default"/>
                <w:highlight w:val="none"/>
                <w:lang w:val="en-US"/>
              </w:rPr>
              <w:t>3、 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default"/>
                <w:highlight w:val="none"/>
                <w:lang w:val="en-US"/>
              </w:rPr>
              <w:br w:type="textWrapping"/>
            </w:r>
            <w:r>
              <w:rPr>
                <w:rFonts w:hint="default"/>
                <w:highlight w:val="none"/>
                <w:lang w:val="en-US"/>
              </w:rPr>
              <w:t>4、 抢答抽选：互动反馈系统支持抢答、抽选功能，活跃课堂氛围。</w:t>
            </w:r>
            <w:r>
              <w:rPr>
                <w:rFonts w:hint="default"/>
                <w:highlight w:val="none"/>
                <w:lang w:val="en-US"/>
              </w:rPr>
              <w:br w:type="textWrapping"/>
            </w:r>
            <w:r>
              <w:rPr>
                <w:rFonts w:hint="default"/>
                <w:highlight w:val="none"/>
                <w:lang w:val="en-US"/>
              </w:rPr>
              <w:t>5、 观点云词：互动反馈系统支持主观观点收集功能，支持学生们自主提交不多于200字的观点评论，并自动生成班级关键词云，点击关键词可查看对应学生名单和具体评论信息。</w:t>
            </w:r>
            <w:r>
              <w:rPr>
                <w:rFonts w:hint="default"/>
                <w:highlight w:val="none"/>
                <w:lang w:val="en-US"/>
              </w:rPr>
              <w:br w:type="textWrapping"/>
            </w:r>
            <w:r>
              <w:rPr>
                <w:rFonts w:hint="default"/>
                <w:highlight w:val="none"/>
                <w:lang w:val="en-US"/>
              </w:rPr>
              <w:t>6、 学情报告；互动反馈系统在上课结束后支持实时生成课程报告，课堂报告支持查看签到人数，课堂互动总数，平均参与度，提问个数，支持查看考勤详情，互动详情和提问详情。资料分发。</w:t>
            </w:r>
            <w:r>
              <w:rPr>
                <w:rFonts w:hint="default"/>
                <w:highlight w:val="none"/>
                <w:lang w:val="en-US"/>
              </w:rPr>
              <w:br w:type="textWrapping"/>
            </w:r>
            <w:r>
              <w:rPr>
                <w:rFonts w:hint="default"/>
                <w:highlight w:val="none"/>
                <w:lang w:val="en-US"/>
              </w:rPr>
              <w:t>7、 资料下发：支持教师端一键下发资料到全体学生端，并且支持撤回功能。下发的资料支持的文件多样，包含但不局限于以下格式：音视频格式，文档格式，图片格式。</w:t>
            </w:r>
            <w:r>
              <w:rPr>
                <w:rFonts w:hint="default"/>
                <w:highlight w:val="none"/>
                <w:lang w:val="en-US"/>
              </w:rPr>
              <w:br w:type="textWrapping"/>
            </w:r>
            <w:r>
              <w:rPr>
                <w:rFonts w:hint="default"/>
                <w:highlight w:val="none"/>
                <w:lang w:val="en-US"/>
              </w:rPr>
              <w:t>8、 课堂答疑：教师端在连接状态下可实时接收到来自学生的提问，提问内容可根据老师操作自动判断为已读或者未读，并且支持问题放大全屏查看。</w:t>
            </w:r>
            <w:r>
              <w:rPr>
                <w:rFonts w:hint="default"/>
                <w:highlight w:val="none"/>
                <w:lang w:val="en-US"/>
              </w:rPr>
              <w:br w:type="textWrapping"/>
            </w:r>
            <w:r>
              <w:rPr>
                <w:rFonts w:hint="default"/>
                <w:highlight w:val="none"/>
                <w:lang w:val="en-US"/>
              </w:rPr>
              <w:t>9、 批注分发：教师端批注功能支持在课中任意时刻对教师端内容进行批注，并且支持批注内容一键保存，自动上传到教师空间，同时发送到全员学生端 。</w:t>
            </w:r>
            <w:r>
              <w:rPr>
                <w:rFonts w:hint="default"/>
                <w:highlight w:val="none"/>
                <w:lang w:val="en-US"/>
              </w:rPr>
              <w:br w:type="textWrapping"/>
            </w:r>
            <w:r>
              <w:rPr>
                <w:rFonts w:hint="default"/>
                <w:highlight w:val="none"/>
                <w:lang w:val="en-US"/>
              </w:rPr>
              <w:t>10、 授课小工具：教师播放课件时，提供授课小工具，包括画笔、橡皮擦、板中板、放大镜和批注分享功能 。</w:t>
            </w:r>
            <w:r>
              <w:rPr>
                <w:rFonts w:hint="default"/>
                <w:highlight w:val="none"/>
                <w:lang w:val="en-US"/>
              </w:rPr>
              <w:br w:type="textWrapping"/>
            </w:r>
            <w:r>
              <w:rPr>
                <w:rFonts w:hint="default"/>
                <w:highlight w:val="none"/>
                <w:lang w:val="en-US"/>
              </w:rPr>
              <w:t>11、 无线传屏：教师端工具栏支持无线传屏，点击开启无线传屏则打开传屏码，老师自带笔记本在互动教学软件输入传屏码即可进行无线传屏。</w:t>
            </w:r>
            <w:r>
              <w:rPr>
                <w:rFonts w:hint="default"/>
                <w:highlight w:val="none"/>
                <w:lang w:val="en-US"/>
              </w:rPr>
              <w:br w:type="textWrapping"/>
            </w:r>
            <w:r>
              <w:rPr>
                <w:rFonts w:hint="default"/>
                <w:highlight w:val="none"/>
                <w:lang w:val="en-US"/>
              </w:rPr>
              <w:t>（二）学生端功能设计：</w:t>
            </w:r>
            <w:r>
              <w:rPr>
                <w:rFonts w:hint="default"/>
                <w:highlight w:val="none"/>
                <w:lang w:val="en-US"/>
              </w:rPr>
              <w:br w:type="textWrapping"/>
            </w:r>
            <w:r>
              <w:rPr>
                <w:rFonts w:hint="default"/>
                <w:highlight w:val="none"/>
                <w:lang w:val="en-US"/>
              </w:rPr>
              <w:t>1、 资料回顾：支持接收教师端下发的资料，并且可根据日历查找不同时间接收的资料。支持通过学生端在任意时间查看文件。</w:t>
            </w:r>
            <w:r>
              <w:rPr>
                <w:rFonts w:hint="default"/>
                <w:highlight w:val="none"/>
                <w:lang w:val="en-US"/>
              </w:rPr>
              <w:br w:type="textWrapping"/>
            </w:r>
            <w:r>
              <w:rPr>
                <w:rFonts w:hint="default"/>
                <w:highlight w:val="none"/>
                <w:lang w:val="en-US"/>
              </w:rPr>
              <w:t>2、 资料收藏管理：支持学生端对文件内的资料进行收藏管理，收藏过后的资料可以快速索引到。</w:t>
            </w:r>
            <w:r>
              <w:rPr>
                <w:rFonts w:hint="default"/>
                <w:highlight w:val="none"/>
                <w:lang w:val="en-US"/>
              </w:rPr>
              <w:br w:type="textWrapping"/>
            </w:r>
            <w:r>
              <w:rPr>
                <w:rFonts w:hint="default"/>
                <w:highlight w:val="none"/>
                <w:lang w:val="en-US"/>
              </w:rPr>
              <w:t>3、 课堂动态：支持在课堂中记录课堂动态，包括老师下发的文件，老师课堂中的板书，课堂互动结果记录，课堂提问多种类型的记录。</w:t>
            </w:r>
            <w:r>
              <w:rPr>
                <w:rFonts w:hint="default"/>
                <w:highlight w:val="none"/>
                <w:lang w:val="en-US"/>
              </w:rPr>
              <w:br w:type="textWrapping"/>
            </w:r>
            <w:r>
              <w:rPr>
                <w:rFonts w:hint="default"/>
                <w:highlight w:val="none"/>
                <w:lang w:val="en-US"/>
              </w:rPr>
              <w:t>4、 同步课件：当教师在全屏播放课件的时候，学生端也会同时播放课件，老师翻页学生端也会一起翻页，保证课堂课件同步展示。</w:t>
            </w:r>
            <w:r>
              <w:rPr>
                <w:rFonts w:hint="default"/>
                <w:highlight w:val="none"/>
                <w:lang w:val="en-US"/>
              </w:rPr>
              <w:br w:type="textWrapping"/>
            </w:r>
            <w:r>
              <w:rPr>
                <w:rFonts w:hint="default"/>
                <w:highlight w:val="none"/>
                <w:lang w:val="en-US"/>
              </w:rPr>
              <w:t>5、 学习空间：学生端互动教学软件app上线学习空间，支持学生在学习空间查看老师上传在课程平台的课件，通知记录，笔记记录，作业记录等，学生可以对课件每一页的内容进行提问，收藏，做笔记。</w:t>
            </w:r>
            <w:r>
              <w:rPr>
                <w:rFonts w:hint="default"/>
                <w:highlight w:val="none"/>
                <w:lang w:val="en-US"/>
              </w:rPr>
              <w:br w:type="textWrapping"/>
            </w:r>
            <w:r>
              <w:rPr>
                <w:rFonts w:hint="default"/>
                <w:highlight w:val="none"/>
                <w:lang w:val="en-US"/>
              </w:rPr>
              <w:t>（三）小程序端功能设计：</w:t>
            </w:r>
            <w:r>
              <w:rPr>
                <w:rFonts w:hint="default"/>
                <w:highlight w:val="none"/>
                <w:lang w:val="en-US"/>
              </w:rPr>
              <w:br w:type="textWrapping"/>
            </w:r>
            <w:r>
              <w:rPr>
                <w:rFonts w:hint="default"/>
                <w:highlight w:val="none"/>
                <w:lang w:val="en-US"/>
              </w:rPr>
              <w:t>1、 扫码连接：互动教学软件学生端小程序支持微信扫码加入课堂，方便快捷开启课堂互动。</w:t>
            </w:r>
            <w:r>
              <w:rPr>
                <w:rFonts w:hint="default"/>
                <w:highlight w:val="none"/>
                <w:lang w:val="en-US"/>
              </w:rPr>
              <w:br w:type="textWrapping"/>
            </w:r>
            <w:r>
              <w:rPr>
                <w:rFonts w:hint="default"/>
                <w:highlight w:val="none"/>
                <w:lang w:val="en-US"/>
              </w:rPr>
              <w:t>2、 课堂互动：支持在小程序接收课堂答题互动，支持单选，多选，判断，抢答，观点多种类型的答题互动。</w:t>
            </w:r>
            <w:r>
              <w:rPr>
                <w:rFonts w:hint="default"/>
                <w:highlight w:val="none"/>
                <w:lang w:val="en-US"/>
              </w:rPr>
              <w:br w:type="textWrapping"/>
            </w:r>
            <w:r>
              <w:rPr>
                <w:rFonts w:hint="default"/>
                <w:highlight w:val="none"/>
                <w:lang w:val="en-US"/>
              </w:rPr>
              <w:t>3、 课堂动态：支持在课堂中记录课堂动态，包括老师下发的文件，老师课堂中的板书，课堂互动结果记录，课堂提问多种类型的记录。</w:t>
            </w:r>
            <w:r>
              <w:rPr>
                <w:rFonts w:hint="default"/>
                <w:highlight w:val="none"/>
                <w:lang w:val="en-US"/>
              </w:rPr>
              <w:br w:type="textWrapping"/>
            </w:r>
            <w:r>
              <w:rPr>
                <w:rFonts w:hint="default"/>
                <w:highlight w:val="none"/>
                <w:lang w:val="en-US"/>
              </w:rPr>
              <w:t>4、 课堂提问：支持在小程序发起课堂提问，教师端会有提问记录，方便老师对学生疑问进行解答。</w:t>
            </w:r>
            <w:r>
              <w:rPr>
                <w:rFonts w:hint="default"/>
                <w:highlight w:val="none"/>
                <w:lang w:val="en-US"/>
              </w:rPr>
              <w:br w:type="textWrapping"/>
            </w:r>
            <w:r>
              <w:rPr>
                <w:rFonts w:hint="default"/>
                <w:highlight w:val="none"/>
                <w:lang w:val="en-US"/>
              </w:rPr>
              <w:t>5、 同步课件：当教师在全屏播放课件的时候，学生端也会同时播放课件，老师翻页学生端也会一起翻页，保证课堂课件同步展示。</w:t>
            </w:r>
            <w:r>
              <w:rPr>
                <w:rFonts w:hint="default"/>
                <w:highlight w:val="none"/>
                <w:lang w:val="en-US"/>
              </w:rPr>
              <w:br w:type="textWrapping"/>
            </w:r>
            <w:r>
              <w:rPr>
                <w:rFonts w:hint="default"/>
                <w:highlight w:val="none"/>
                <w:lang w:val="en-US"/>
              </w:rPr>
              <w:t>十、其他要求：</w:t>
            </w:r>
            <w:r>
              <w:rPr>
                <w:rFonts w:hint="default"/>
                <w:highlight w:val="none"/>
                <w:lang w:val="en-US"/>
              </w:rPr>
              <w:br w:type="textWrapping"/>
            </w:r>
            <w:r>
              <w:rPr>
                <w:rFonts w:hint="default"/>
                <w:highlight w:val="none"/>
                <w:lang w:val="en-US"/>
              </w:rPr>
              <w:t>1、 打“★”号条款为重要技术参数，投标人必须满足否则中标无效。为确保功能的真实性和有效性，在签订合同后正式供货时，业主有权要求供应商提供与标书技术要求及功能符合的设备一套，与标书文件进行所有性能的核对，作为项目验收的依据，如出现所提供设备不符合招标要求，即按违约处理，采购人并有权解除合同。</w:t>
            </w:r>
          </w:p>
        </w:tc>
        <w:tc>
          <w:tcPr>
            <w:tcW w:w="688" w:type="dxa"/>
            <w:tcBorders>
              <w:top w:val="single" w:color="auto" w:sz="4" w:space="0"/>
              <w:left w:val="single" w:color="auto" w:sz="4" w:space="0"/>
              <w:bottom w:val="single" w:color="auto" w:sz="4" w:space="0"/>
              <w:right w:val="single" w:color="auto" w:sz="4" w:space="0"/>
            </w:tcBorders>
            <w:vAlign w:val="center"/>
          </w:tcPr>
          <w:p w14:paraId="1855B08B">
            <w:pPr>
              <w:jc w:val="center"/>
              <w:rPr>
                <w:rFonts w:hint="eastAsia" w:ascii="微软雅黑" w:hAnsi="微软雅黑" w:eastAsia="微软雅黑"/>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年</w:t>
            </w:r>
          </w:p>
        </w:tc>
      </w:tr>
      <w:tr w14:paraId="3A9B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7ACF836E">
            <w:pPr>
              <w:jc w:val="center"/>
              <w:rPr>
                <w:rFonts w:hint="default" w:ascii="宋体" w:hAnsi="Courier New" w:eastAsia="宋体" w:cs="Courier New"/>
                <w:bCs/>
                <w:szCs w:val="22"/>
                <w:highlight w:val="none"/>
                <w:lang w:val="en-US" w:eastAsia="zh-CN"/>
              </w:rPr>
            </w:pPr>
            <w:r>
              <w:rPr>
                <w:rFonts w:hint="eastAsia" w:ascii="宋体" w:hAnsi="Courier New" w:cs="Courier New"/>
                <w:bCs/>
                <w:szCs w:val="22"/>
                <w:highlight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vAlign w:val="center"/>
          </w:tcPr>
          <w:p w14:paraId="2A91B5C3">
            <w:pPr>
              <w:widowControl/>
              <w:jc w:val="left"/>
              <w:rPr>
                <w:rFonts w:ascii="宋体" w:hAnsi="宋体" w:cs="宋体"/>
                <w:szCs w:val="21"/>
                <w:highlight w:val="none"/>
              </w:rPr>
            </w:pPr>
            <w:r>
              <w:rPr>
                <w:rFonts w:hint="eastAsia" w:ascii="宋体" w:hAnsi="宋体" w:cs="宋体"/>
                <w:szCs w:val="21"/>
                <w:highlight w:val="none"/>
              </w:rPr>
              <w:t>65寸互动一体机（含支架）</w:t>
            </w:r>
          </w:p>
        </w:tc>
        <w:tc>
          <w:tcPr>
            <w:tcW w:w="690" w:type="dxa"/>
            <w:tcBorders>
              <w:top w:val="single" w:color="auto" w:sz="4" w:space="0"/>
              <w:left w:val="single" w:color="auto" w:sz="4" w:space="0"/>
              <w:bottom w:val="single" w:color="auto" w:sz="4" w:space="0"/>
              <w:right w:val="single" w:color="auto" w:sz="4" w:space="0"/>
            </w:tcBorders>
            <w:vAlign w:val="center"/>
          </w:tcPr>
          <w:p w14:paraId="58C81483">
            <w:pPr>
              <w:widowControl/>
              <w:jc w:val="center"/>
              <w:rPr>
                <w:rFonts w:hint="default" w:ascii="宋体" w:hAnsi="Courier New" w:eastAsia="宋体" w:cs="Courier New"/>
                <w:bCs/>
                <w:szCs w:val="22"/>
                <w:highlight w:val="none"/>
                <w:lang w:val="en-US" w:eastAsia="zh-CN"/>
              </w:rPr>
            </w:pPr>
            <w:r>
              <w:rPr>
                <w:rFonts w:hint="eastAsia" w:ascii="宋体" w:hAnsi="宋体" w:cs="宋体"/>
                <w:color w:val="auto"/>
                <w:kern w:val="2"/>
                <w:sz w:val="21"/>
                <w:szCs w:val="21"/>
                <w:highlight w:val="none"/>
                <w:lang w:val="en-US" w:eastAsia="zh-CN" w:bidi="ar-SA"/>
              </w:rPr>
              <w:t>4台</w:t>
            </w:r>
          </w:p>
        </w:tc>
        <w:tc>
          <w:tcPr>
            <w:tcW w:w="1124" w:type="dxa"/>
            <w:tcBorders>
              <w:top w:val="single" w:color="auto" w:sz="4" w:space="0"/>
              <w:left w:val="single" w:color="auto" w:sz="4" w:space="0"/>
              <w:bottom w:val="single" w:color="auto" w:sz="4" w:space="0"/>
              <w:right w:val="single" w:color="auto" w:sz="4" w:space="0"/>
            </w:tcBorders>
            <w:vAlign w:val="center"/>
          </w:tcPr>
          <w:p w14:paraId="5F9237FE">
            <w:pPr>
              <w:jc w:val="left"/>
              <w:rPr>
                <w:szCs w:val="21"/>
                <w:highlight w:val="none"/>
              </w:rPr>
            </w:pPr>
            <w:r>
              <w:rPr>
                <w:rFonts w:hint="eastAsia"/>
                <w:szCs w:val="21"/>
                <w:highlight w:val="none"/>
              </w:rPr>
              <w:t>希沃、鸿合、海信</w:t>
            </w:r>
          </w:p>
        </w:tc>
        <w:tc>
          <w:tcPr>
            <w:tcW w:w="5814" w:type="dxa"/>
            <w:tcBorders>
              <w:top w:val="single" w:color="auto" w:sz="4" w:space="0"/>
              <w:left w:val="single" w:color="auto" w:sz="4" w:space="0"/>
              <w:bottom w:val="single" w:color="auto" w:sz="4" w:space="0"/>
              <w:right w:val="single" w:color="auto" w:sz="4" w:space="0"/>
            </w:tcBorders>
            <w:vAlign w:val="center"/>
          </w:tcPr>
          <w:p w14:paraId="60224D34">
            <w:pPr>
              <w:widowControl/>
              <w:jc w:val="left"/>
              <w:rPr>
                <w:rFonts w:hint="default" w:ascii="宋体" w:hAnsi="Courier New" w:eastAsia="宋体" w:cs="Courier New"/>
                <w:bCs/>
                <w:szCs w:val="22"/>
                <w:highlight w:val="none"/>
                <w:lang w:val="en-US" w:eastAsia="zh-CN"/>
              </w:rPr>
            </w:pPr>
            <w:r>
              <w:rPr>
                <w:rFonts w:hint="default" w:ascii="宋体" w:hAnsi="Courier New" w:eastAsia="宋体" w:cs="Courier New"/>
                <w:bCs/>
                <w:szCs w:val="22"/>
                <w:highlight w:val="none"/>
                <w:lang w:val="en-US" w:eastAsia="zh-CN"/>
              </w:rPr>
              <w:t>一、音视频功能要求：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支持标准、听力、观影和AI空间感知音效模式，AI空间感知音效模式可通过内置麦克风采集教室物理环境声音，自动生成符合当前教室物理环境的频段、音量、音效。（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整机可选择高级音效设置，支持在左右声道平衡显示范围中进行更改；中低频段显示调节范围125Hz～1KHz，高频段显示调节范围 2KHz～16KHz，分贝显示-12dB～12dB 调节范围。</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整机上边框内置非独立式摄像头，采用一体化集成设计，摄像头数量≥4个。</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★上边框内置非独立式≥3个智能拼接摄像头，视场角≥141度，水平视场角≥139度，支持输出≥8192×2048分辨率的照片和视频，支持画面畸变矫正功能 。（供货时，中标人需提供关于该功能的国家认可的第三方检测机构出具的检测报告复印件，并加盖投标单位公章，如不能提供，按违约处理，采购人并有权解除合同。）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★整机内置至少三个摄像头，像素值均大于800 万，同时输出至少 3 路视频流，同时支持课堂远程巡课、课堂教学数据采集、本地画面预览（拍照或视频录制）。（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具备摄像头工作指示灯，摄像头运行时，有指示灯提示。</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整机扬声器在100%音量下，可做到1米处声压级≥88db，10米处声压级≥79dB。</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整机设备自带地震预警软件。支持在地震预警页面中获取位置，可以手动进行位置校准。支持在地震预警页面中选择提醒阈值。支持在地震预警界面中开启和关闭地震预警服务。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整机内置2.2声道扬声器，位于设备上边框，顶置朝前发声，前朝向≥10W高音扬声器≥2个，上朝向≥20W中低音扬声器≥2个，额定总功率≥60W。采用缝隙发声技术，喇叭采用槽式开口设计，不大于5.8mm。（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10、 ★整机内置非独立外扩展的8阵列麦克风，拾音角度≥180°，可用于对教室环境音频进行采集，拾音距离≥12m。（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11、 ★整机上边框内置非独立的广角高清摄像头，在距离整机1.7米情况下，且拍摄范围可以覆盖摄像头垂直法线左右距离大于等于4米，可以实现人脸识别。（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12、 整机上边框内置非独式广角摄像头和智能拼接摄像头， 均支持 3D 降噪算法和数字宽动态范围成像WDR 技术，支持输出 MJPG、 H.264 视频格式。</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13、 ★整机摄像头支持人脸识别、清点人数、随机抽人；识别所有学生，显示标记，然后随机抽选，同时显示标记不少于60人。（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二、整机功能设计：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三合一电源按键，同一电源物理按键完成Android系统和Windows系统的开机、节能熄屏、关机操作；关机状态下按按键开机；开机状态下按按键实现节能熄屏/唤醒，长按按键实现关机。</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设备支持通过前置面板物理按键一键启动录屏功能，可将屏幕中显示的课件、音频内容与人声同时录制。</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整机支持自定义图像设置，可对对比度、屏幕色温、图像亮度、亮度范围、色彩空间调节设置。</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★整机关机状态下，通过长按电源键进入设置界面后，可点击屏幕选择故障检测、系统还原功能，系统还原可单独还原PC系统，单独还原整机系统。</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整机无需外接无线网卡，在Android和Windows系统下可实现Wi-Fi无线上网连接、AP无线热点发射和BT蓝牙连接功能。</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Wi-Fi和AP热点工作距离≥12m。</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整机支持蓝牙Bluetooth 5.4标准，固件版本号HCI13.0/LMP13.0。</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整机支持发出频率为18kHz-22kHz超声波信号，智能手机通过麦克风接收后，智能手机与整机无需在同一局域网内，可实现配对，一键投屏，用户无需手动输入投屏码或扫码获取投屏码。（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10、 整机PC端支持主动发现蓝牙外设从而连接（无需整机进入发现模式），支持连接外部蓝牙音箱播放音频。</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11、 ★整机内置双WiFi6无线网卡，在Android下支持无线设备同时连接数量≥32个，在Windows系统下支持无线设备同时连接≥8个。</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三、整机屏幕设计：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整机采用一体设计，外部无任何可见内部功能模块连接线。整机采用全金属外壳设计，边角采用弧形设计，表面无尖锐边缘或凸起。</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整机屏幕边缘采用金属圆角包边防护，整机背板采用金属材质，有效屏蔽内部电路器件辐射；防潮耐盐雾蚀锈，适应多种教学环境。</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★整机屏幕采用≥65英寸液晶显示器，采用UHD超高清LED液晶屏，显示比例16:9，分辨率3840×2160，色域覆盖率（NTSC）≥72%，灰度等级≥256级。</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整机采用全物理钢化玻璃，有效保护屏幕显示画面，采用防眩光玻璃，屏幕支持防眩光功能，钢化玻璃表面硬度≥9H。</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整机背光系统支持DC调光方式，多级亮度调节，支持白颜色背景下最暗亮度≤100nit，用于提升显示对比度</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★整机采用硬件低蓝光背光技术，在源头减少有害蓝光波段能量，蓝光占比（有害蓝光415～455nm能量综合）/（整体蓝光400～500能量综合）≤50%，低蓝光保护显示不偏色、不泛黄。</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整机支持支持可自定义图像设置，可对对比度、屏幕色温、图像亮度、亮度范围、色彩空间进行更进一步调节设置。</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整机全通道支持纸质护眼模式，可实现画面纹理的实时调整；支持纸质纹理：牛皮纸、素描纸、宣纸、水彩纸；支持透明度调节；支持色温调节。（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整机支持色彩空间可选，包含标准模式和sRGB模式，在sRGB模式下可做到高色准△E≤1.0。（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四、整机接口设计：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侧置输入接口具备≥2路HDMI、≥1路RS232、≥1路USB接口。</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侧置输出接口具备≥1路音频输出、≥1路触控USB输出。</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前置输入接口≥3路USB接口（包含≥1路Type-C、≥2路USB），前置USB接口支持Android系统、Windows系统读取外接移动存储设备。</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五、触摸系统要求：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采用红外触控技术，支持Windows系统中进行40点或以上触控，支持在Android系统中进行40点或以上触控。（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整机屏幕触摸有效识别高度不超过1.5mm，即触摸物体距离玻璃外表面高度不超过1.5mm时，触摸屏识别为点击操作。</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整机触控书写功能集成预测算法，在书写速度≥50cm/s，支持笔迹距离笔的距离小于20mm。</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整机系统支持书写触控延迟≤25ms。</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整机支持提笔书写，在Windows系统下可实现无需点击任意功能入口，当检测到红外笔笔尖接触屏幕时，自动进入书写模式。（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支持智能板擦功能，系统可根据触控物体的形状自动识别出实物板擦，可擦除电子白板中的内容，无需依赖外部电子设备。</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支持Windows 7、Windows 8、Windows 10、Windows 11、Linux、Mac Os、UOS和麒麟系统外置电脑操作系统接入时，无需安装触摸驱动。</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★整机触摸支持动态压力感应，支持无任何电子功能的普通书写笔在整机上书写或点压时，整机能感应压力变化，书写或点压过程笔迹呈现不同粗细。</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六、多媒体教学设计：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整机全通道侧边栏快捷菜单包含如下小工具：批注、降半屏、截屏、放大镜、倒计时、日历、聚光灯、秒表、冻屏、倒数日、答题、节拍器。</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整机全通道侧边栏支持使用批注小工具进行批注讲解，可切换书写笔颜色、截屏保存批注内容、清屏，可根据手与屏幕的接触面积自动调整板擦工具的大小。</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整机全通道侧边栏快捷菜单支持快捷调节音量、亮度，支持自动亮度模式，支持点击静音按钮静音。</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教学中可以实时查看物联设备的连接情况，点击任意一台设备图标即可调出中控菜单进行管控。</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★整机安卓和全部外接通道（HDMI、Type-c）下侧边栏支持节拍器，支持设置节拍、轻重、节拍播放速度。全通道下可支持通过自定义按键调出该功能。</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整机安卓和全部外接通道（HDMI、Type-C）下侧边栏支持设置倒数日。</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整机全通道侧边栏支持倒计时、正计时功能；倒计时，输入某特定时间值，可精确到秒，点击开始进入倒计时；正计时，点击开始计时便自动开始，并实时显示时间。</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教学支持放大任意区域内容；并可支持对未选中区域关灯处理，实现聚光灯效果。</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七、整机系统设计：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（一）电脑系统要求：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CPU：搭载Intel 酷睿系列≥ i5 CPU。</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内存：8GB DDR4笔记本内存或以上配置。</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硬盘：256GB或以上SSD固态硬盘。</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PC模块可抽拉式插入整机，可实现无单独接线的插拔，和整机的连接采用万兆级接口，传输速率≥10Gbps。</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采用按压式卡扣，无需工具就可快速拆卸电脑模块。</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PC模块的USB接口须为冗余备份接口，在正常使用整机的内置摄像头、内置麦克风功能时，USB接口不被占用，确保教师有足够的接口外接存储设备及显示设备。</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具有独立非外扩展的视频输出接口：≥1路HDMI 。</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具有独立非外拓展的电脑 USB 接口：至少具备 3个USB3.0 接口。</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★整机具备供电保护模块，能够检测内置电脑是否插好在位，在内置电脑未在位的情况下，内置电脑无法上电工作。</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（二）嵌入式系统要求：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★嵌入式系统版本不低于Android 13，内存≥2GB，存储空间≥8GB。（供货时，中标人需提供关于该功能的国家认可的第三方检测机构出具的检测报告复印件，并加盖投标单位公章，如不能提供，按违约处理，采购人并有权解除合同。）</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嵌入式Android操作系统下，白板支持对已经书写的笔迹和形状的颜色进行更换。</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在嵌入式系统下使用白板软件时，整机可自行调节屏幕亮度</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嵌入式Android操作系统下，互动白板支持不同背景颜色，同时提供学科背景，如：五线谱、信纸、田字格、英文格、篮球和足球场地平面图。</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无PC状态下，嵌入式系统内置互动白板支持全局漫游，并能在工具栏中对全局内容进行预览和移动。</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无PC状态下，嵌入式Android操作系统下可使用白板书写、WPS软件和网页浏览。</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八、教学备授课软件设计：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★教学系统为全校教师提供可扩展，易于学校管理，安全可靠的云存储空间，根据每名教师使用时长与教学资料制作频率提供可扩展升级至不小于200G的个人云空间。</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互动教学课件支持定向精准分享：分享者可将互动课件、课件组精准推送至指定接收方账号云空间，接收方可在云空间接收并打开分享课件。</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支持软件联网自动静默升级，无需用户手动更新。</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九、智慧互动教学软件：</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（一）教师端功能设计：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统计考勤：互动反馈系统支持无感考勤功能，学生连接成功后名字可显示在签到列表上，签到列表实时统计已签到人数，并查看未到的人员。</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班级创建：支持老师主动创建班级，创建成功后，每次登录教师端即可直接进入班级列表，选择班级进入课堂。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抢答抽选：互动反馈系统支持抢答、抽选功能，活跃课堂氛围。</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观点云词：互动反馈系统支持主观观点收集功能，支持学生们自主提交不多于200字的观点评论，并自动生成班级关键词云，点击关键词可查看对应学生名单和具体评论信息。</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6、 学情报告；互动反馈系统在上课结束后支持实时生成课程报告，课堂报告支持查看签到人数，课堂互动总数，平均参与度，提问个数，支持查看考勤详情，互动详情和提问详情。资料分发。</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7、 资料下发：支持教师端一键下发资料到全体学生端，并且支持撤回功能。下发的资料支持的文件多样，包含但不局限于以下格式：音视频格式，文档格式，图片格式。</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8、 课堂答疑：教师端在连接状态下可实时接收到来自学生的提问，提问内容可根据老师操作自动判断为已读或者未读，并且支持问题放大全屏查看。</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9、 批注分发：教师端批注功能支持在课中任意时刻对教师端内容进行批注，并且支持批注内容一键保存，自动上传到教师空间，同时发送到全员学生端 。</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10、 授课小工具：教师播放课件时，提供授课小工具，包括画笔、橡皮擦、板中板、放大镜和批注分享功能 。</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11、 无线传屏：教师端工具栏支持无线传屏，点击开启无线传屏则打开传屏码，老师自带笔记本在互动教学软件输入传屏码即可进行无线传屏。</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（二）学生端功能设计：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资料回顾：支持接收教师端下发的资料，并且可根据日历查找不同时间接收的资料。支持通过学生端在任意时间查看文件。</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资料收藏管理：支持学生端对文件内的资料进行收藏管理，收藏过后的资料可以快速索引到。</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课堂动态：支持在课堂中记录课堂动态，包括老师下发的文件，老师课堂中的板书，课堂互动结果记录，课堂提问多种类型的记录。</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同步课件：当教师在全屏播放课件的时候，学生端也会同时播放课件，老师翻页学生端也会一起翻页，保证课堂课件同步展示。</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学习空间：学生端互动教学软件app上线学习空间，支持学生在学习空间查看老师上传在课程平台的课件，通知记录，笔记记录，作业记录等，学生可以对课件每一页的内容进行提问，收藏，做笔记。</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（三）小程序端功能设计：</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扫码连接：互动教学软件学生端小程序支持微信扫码加入课堂，方便快捷开启课堂互动。</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2、 课堂互动：支持在小程序接收课堂答题互动，支持单选，多选，判断，抢答，观点多种类型的答题互动。</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3、 课堂动态：支持在课堂中记录课堂动态，包括老师下发的文件，老师课堂中的板书，课堂互动结果记录，课堂提问多种类型的记录。</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4、 课堂提问：支持在小程序发起课堂提问，教师端会有提问记录，方便老师对学生疑问进行解答。</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5、 同步课件：当教师在全屏播放课件的时候，学生端也会同时播放课件，老师翻页学生端也会一起翻页，保证课堂课件同步展示。</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十、 其他要求：</w:t>
            </w:r>
            <w:r>
              <w:rPr>
                <w:rFonts w:hint="default" w:ascii="宋体" w:hAnsi="Courier New" w:eastAsia="宋体" w:cs="Courier New"/>
                <w:bCs/>
                <w:szCs w:val="22"/>
                <w:highlight w:val="none"/>
                <w:lang w:val="en-US" w:eastAsia="zh-CN"/>
              </w:rPr>
              <w:br w:type="textWrapping"/>
            </w:r>
            <w:r>
              <w:rPr>
                <w:rFonts w:hint="default" w:ascii="宋体" w:hAnsi="Courier New" w:eastAsia="宋体" w:cs="Courier New"/>
                <w:bCs/>
                <w:szCs w:val="22"/>
                <w:highlight w:val="none"/>
                <w:lang w:val="en-US" w:eastAsia="zh-CN"/>
              </w:rPr>
              <w:t>1、 打“★”号条款为重要技术参数，投标人必须满足否则中标无效。为确保功能的真实性和有效性，在签订合同后正式供货时，业主有权要求供应商提供与标书技术要求及功能符合的设备一套，与标书文件进行所有性能的核对，作为项目验收的依据，如出现所提供设备不符合招标要求，即按违约处理，采购人并有权解除合同。</w:t>
            </w:r>
            <w:r>
              <w:rPr>
                <w:rFonts w:hint="default" w:ascii="宋体" w:hAnsi="Courier New" w:eastAsia="宋体" w:cs="Courier New"/>
                <w:bCs/>
                <w:szCs w:val="22"/>
                <w:highlight w:val="none"/>
                <w:lang w:val="en-US" w:eastAsia="zh-CN"/>
              </w:rPr>
              <w:br w:type="textWrapping"/>
            </w:r>
          </w:p>
        </w:tc>
        <w:tc>
          <w:tcPr>
            <w:tcW w:w="688" w:type="dxa"/>
            <w:tcBorders>
              <w:top w:val="single" w:color="auto" w:sz="4" w:space="0"/>
              <w:left w:val="single" w:color="auto" w:sz="4" w:space="0"/>
              <w:bottom w:val="single" w:color="auto" w:sz="4" w:space="0"/>
              <w:right w:val="single" w:color="auto" w:sz="4" w:space="0"/>
            </w:tcBorders>
            <w:vAlign w:val="center"/>
          </w:tcPr>
          <w:p w14:paraId="44337EB2">
            <w:pPr>
              <w:widowControl/>
              <w:jc w:val="center"/>
              <w:rPr>
                <w:rFonts w:hint="eastAsia" w:ascii="宋体" w:hAnsi="Courier New" w:eastAsia="宋体" w:cs="Courier New"/>
                <w:bCs/>
                <w:szCs w:val="22"/>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年</w:t>
            </w:r>
          </w:p>
        </w:tc>
      </w:tr>
      <w:tr w14:paraId="0BEF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421CF93F">
            <w:pPr>
              <w:widowControl/>
              <w:jc w:val="left"/>
              <w:rPr>
                <w:rFonts w:hint="eastAsia" w:ascii="宋体" w:hAnsi="Courier New" w:eastAsia="宋体" w:cs="Courier New"/>
                <w:bCs/>
                <w:szCs w:val="22"/>
                <w:highlight w:val="none"/>
                <w:lang w:eastAsia="zh-CN"/>
              </w:rPr>
            </w:pPr>
            <w:r>
              <w:rPr>
                <w:rFonts w:hint="eastAsia" w:ascii="微软雅黑" w:hAnsi="微软雅黑" w:eastAsia="微软雅黑" w:cs="宋体"/>
                <w:color w:val="000000"/>
                <w:szCs w:val="21"/>
                <w:highlight w:val="none"/>
              </w:rPr>
              <w:t>交货期：</w:t>
            </w:r>
            <w:r>
              <w:rPr>
                <w:rFonts w:hint="eastAsia" w:hAnsi="宋体" w:cs="Arial"/>
                <w:highlight w:val="none"/>
              </w:rPr>
              <w:t>合同签</w:t>
            </w:r>
            <w:r>
              <w:rPr>
                <w:rFonts w:hint="eastAsia" w:ascii="宋体" w:hAnsi="宋体" w:eastAsia="宋体" w:cs="宋体"/>
                <w:highlight w:val="none"/>
              </w:rPr>
              <w:t>订之日起</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个工作日</w:t>
            </w:r>
            <w:r>
              <w:rPr>
                <w:rFonts w:hint="eastAsia" w:ascii="宋体" w:hAnsi="宋体" w:eastAsia="宋体" w:cs="宋体"/>
                <w:color w:val="auto"/>
                <w:highlight w:val="none"/>
              </w:rPr>
              <w:t>内</w:t>
            </w:r>
          </w:p>
        </w:tc>
      </w:tr>
      <w:tr w14:paraId="52C7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51" w:type="dxa"/>
            <w:gridSpan w:val="6"/>
            <w:shd w:val="clear" w:color="000000" w:fill="FFFFFF"/>
            <w:vAlign w:val="center"/>
          </w:tcPr>
          <w:p w14:paraId="60E51D75">
            <w:pPr>
              <w:spacing w:line="360" w:lineRule="auto"/>
              <w:rPr>
                <w:rFonts w:ascii="宋体" w:hAnsi="宋体" w:cs="宋体"/>
                <w:b/>
                <w:kern w:val="0"/>
                <w:szCs w:val="21"/>
                <w:highlight w:val="none"/>
              </w:rPr>
            </w:pPr>
            <w:r>
              <w:rPr>
                <w:rFonts w:hint="eastAsia" w:ascii="宋体" w:hAnsi="宋体"/>
                <w:b/>
                <w:iCs/>
                <w:szCs w:val="21"/>
                <w:highlight w:val="none"/>
              </w:rPr>
              <w:t>二、商务要求表</w:t>
            </w:r>
          </w:p>
        </w:tc>
      </w:tr>
      <w:tr w14:paraId="2E9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3D1A2566">
            <w:pPr>
              <w:spacing w:line="360" w:lineRule="auto"/>
              <w:rPr>
                <w:rFonts w:ascii="宋体" w:hAnsi="宋体"/>
                <w:b/>
                <w:iCs/>
                <w:szCs w:val="21"/>
                <w:highlight w:val="none"/>
              </w:rPr>
            </w:pPr>
            <w:r>
              <w:rPr>
                <w:rFonts w:hint="eastAsia" w:ascii="宋体" w:hAnsi="宋体"/>
                <w:b/>
                <w:iCs/>
                <w:szCs w:val="21"/>
                <w:highlight w:val="none"/>
              </w:rPr>
              <w:t>报价</w:t>
            </w:r>
            <w:r>
              <w:rPr>
                <w:rFonts w:ascii="宋体" w:hAnsi="宋体"/>
                <w:b/>
                <w:iCs/>
                <w:szCs w:val="21"/>
                <w:highlight w:val="none"/>
              </w:rPr>
              <w:t>要求</w:t>
            </w:r>
          </w:p>
        </w:tc>
        <w:tc>
          <w:tcPr>
            <w:tcW w:w="8316" w:type="dxa"/>
            <w:gridSpan w:val="4"/>
            <w:shd w:val="clear" w:color="000000" w:fill="FFFFFF"/>
            <w:vAlign w:val="center"/>
          </w:tcPr>
          <w:p w14:paraId="49254502">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供应商报价时必须响应本文件的“项目要求及技术需求”，否则报价无效。</w:t>
            </w:r>
          </w:p>
          <w:p w14:paraId="6C3EBFC6">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供应商报价时所投产品的参数必须与询价文件里的需求参数一致或者优于询价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p w14:paraId="4D97AC20">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highlight w:val="none"/>
              </w:rPr>
            </w:pPr>
            <w:r>
              <w:rPr>
                <w:rFonts w:hint="eastAsia"/>
                <w:highlight w:val="none"/>
              </w:rPr>
              <w:t>本项目为总价包干，竞标报价包含货物、服务、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7A61EE46">
            <w:pPr>
              <w:keepNext w:val="0"/>
              <w:keepLines w:val="0"/>
              <w:pageBreakBefore w:val="0"/>
              <w:widowControl w:val="0"/>
              <w:numPr>
                <w:ilvl w:val="0"/>
                <w:numId w:val="7"/>
              </w:numPr>
              <w:kinsoku/>
              <w:wordWrap/>
              <w:overflowPunct/>
              <w:topLinePunct w:val="0"/>
              <w:autoSpaceDE/>
              <w:autoSpaceDN/>
              <w:bidi w:val="0"/>
              <w:adjustRightInd/>
              <w:snapToGrid/>
              <w:spacing w:line="320" w:lineRule="exact"/>
              <w:ind w:left="425" w:leftChars="0" w:hanging="425" w:firstLineChars="0"/>
              <w:textAlignment w:val="auto"/>
              <w:rPr>
                <w:rFonts w:hint="eastAsia" w:eastAsia="宋体"/>
                <w:highlight w:val="none"/>
                <w:lang w:val="en-US" w:eastAsia="zh-CN"/>
              </w:rPr>
            </w:pPr>
            <w:r>
              <w:rPr>
                <w:rFonts w:hint="eastAsia"/>
                <w:highlight w:val="none"/>
              </w:rPr>
              <w:t>供应商在报价时必须按附件格式提供响应文件（加盖单位公章）扫描件，否则报价无效。如果不能按时按要求提供，则视为供应商响应无效。</w:t>
            </w:r>
          </w:p>
        </w:tc>
      </w:tr>
      <w:tr w14:paraId="2FDB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5495DAD7">
            <w:pPr>
              <w:spacing w:line="360" w:lineRule="auto"/>
              <w:rPr>
                <w:rFonts w:ascii="宋体" w:hAnsi="宋体"/>
                <w:iCs/>
                <w:szCs w:val="21"/>
                <w:highlight w:val="none"/>
              </w:rPr>
            </w:pPr>
            <w:r>
              <w:rPr>
                <w:rFonts w:hint="eastAsia" w:ascii="宋体" w:hAnsi="宋体"/>
                <w:b/>
                <w:iCs/>
                <w:szCs w:val="21"/>
                <w:highlight w:val="none"/>
              </w:rPr>
              <w:t>质保期及免费维护期限</w:t>
            </w:r>
          </w:p>
        </w:tc>
        <w:tc>
          <w:tcPr>
            <w:tcW w:w="8316" w:type="dxa"/>
            <w:gridSpan w:val="4"/>
            <w:shd w:val="clear" w:color="000000" w:fill="FFFFFF"/>
            <w:vAlign w:val="center"/>
          </w:tcPr>
          <w:p w14:paraId="22A48B7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质保期至少</w:t>
            </w:r>
            <w:r>
              <w:rPr>
                <w:rFonts w:hint="eastAsia" w:ascii="宋体" w:hAnsi="宋体" w:eastAsia="宋体" w:cs="宋体"/>
                <w:color w:val="auto"/>
                <w:highlight w:val="none"/>
              </w:rPr>
              <w:t>为</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年</w:t>
            </w:r>
            <w:r>
              <w:rPr>
                <w:rFonts w:hint="eastAsia" w:ascii="宋体" w:hAnsi="宋体" w:eastAsia="宋体" w:cs="宋体"/>
                <w:color w:val="auto"/>
                <w:highlight w:val="none"/>
              </w:rPr>
              <w:t>（具体以报价文件承诺为准），自通过验收合格之日起至质保期届满且经采购人确认无任何质量问题时止。质保期内，提供免费上门维修服务，免收维修费和配件费，保障正常运行并提供终身技术支持。</w:t>
            </w:r>
          </w:p>
        </w:tc>
      </w:tr>
      <w:tr w14:paraId="6593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0486AE30">
            <w:pPr>
              <w:spacing w:line="360" w:lineRule="auto"/>
              <w:rPr>
                <w:rFonts w:ascii="宋体" w:hAnsi="宋体"/>
                <w:b/>
                <w:iCs/>
                <w:szCs w:val="21"/>
                <w:highlight w:val="none"/>
              </w:rPr>
            </w:pPr>
            <w:r>
              <w:rPr>
                <w:rFonts w:hint="eastAsia" w:ascii="宋体" w:hAnsi="宋体"/>
                <w:b/>
                <w:iCs/>
                <w:szCs w:val="21"/>
                <w:highlight w:val="none"/>
              </w:rPr>
              <w:t>交货时间</w:t>
            </w:r>
          </w:p>
          <w:p w14:paraId="331CB8CE">
            <w:pPr>
              <w:spacing w:line="360" w:lineRule="auto"/>
              <w:rPr>
                <w:rFonts w:ascii="宋体" w:hAnsi="宋体" w:cs="宋体"/>
                <w:iCs/>
                <w:szCs w:val="21"/>
                <w:highlight w:val="none"/>
              </w:rPr>
            </w:pPr>
            <w:r>
              <w:rPr>
                <w:rFonts w:hint="eastAsia" w:ascii="宋体" w:hAnsi="宋体"/>
                <w:b/>
                <w:iCs/>
                <w:szCs w:val="21"/>
                <w:highlight w:val="none"/>
              </w:rPr>
              <w:t>及地点</w:t>
            </w:r>
          </w:p>
        </w:tc>
        <w:tc>
          <w:tcPr>
            <w:tcW w:w="8316" w:type="dxa"/>
            <w:gridSpan w:val="4"/>
            <w:shd w:val="clear" w:color="000000" w:fill="FFFFFF"/>
            <w:vAlign w:val="center"/>
          </w:tcPr>
          <w:p w14:paraId="7F149BDE">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供货安装时间：合同签订之日起10个工作日内，供应商须按采购人的要求全部供货调试完毕。如果出现不能按时供货，则视为成交供应商违约，采购人将追究成交供应商违约责任，并按照政府采购管理程序上报监督管理部门。</w:t>
            </w:r>
          </w:p>
          <w:p w14:paraId="3AAD27C2">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交货地点：采购人指定地点。供应商须安排专人与采购人对接现场上门送（退、换）货。采用快递、物流寄货给采购人且不安排专人送货上门安装的，采购人一律拒收。</w:t>
            </w:r>
          </w:p>
        </w:tc>
      </w:tr>
      <w:tr w14:paraId="017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3A2E38A0">
            <w:pPr>
              <w:spacing w:line="360" w:lineRule="auto"/>
              <w:rPr>
                <w:rFonts w:hint="eastAsia" w:ascii="宋体" w:hAnsi="宋体"/>
                <w:b/>
                <w:iCs/>
                <w:szCs w:val="21"/>
                <w:highlight w:val="none"/>
              </w:rPr>
            </w:pPr>
            <w:r>
              <w:rPr>
                <w:rFonts w:hint="eastAsia" w:ascii="宋体" w:hAnsi="宋体"/>
                <w:b/>
                <w:iCs/>
                <w:szCs w:val="21"/>
                <w:highlight w:val="none"/>
              </w:rPr>
              <w:t>质量保证</w:t>
            </w:r>
          </w:p>
        </w:tc>
        <w:tc>
          <w:tcPr>
            <w:tcW w:w="8316" w:type="dxa"/>
            <w:gridSpan w:val="4"/>
            <w:shd w:val="clear" w:color="000000" w:fill="FFFFFF"/>
            <w:vAlign w:val="center"/>
          </w:tcPr>
          <w:p w14:paraId="2F56F6D7">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highlight w:val="none"/>
              </w:rPr>
            </w:pPr>
            <w:r>
              <w:rPr>
                <w:rFonts w:hint="eastAsia"/>
                <w:highlight w:val="none"/>
                <w:lang w:eastAsia="zh-CN"/>
              </w:rPr>
              <w:t>供应商</w:t>
            </w:r>
            <w:r>
              <w:rPr>
                <w:highlight w:val="none"/>
              </w:rPr>
              <w:t>所提供的货物技术规格、技术参数等质量必须</w:t>
            </w:r>
            <w:r>
              <w:rPr>
                <w:rFonts w:hint="eastAsia"/>
                <w:highlight w:val="none"/>
                <w:lang w:val="en-US" w:eastAsia="zh-CN"/>
              </w:rPr>
              <w:t>符合</w:t>
            </w:r>
            <w:r>
              <w:rPr>
                <w:highlight w:val="none"/>
              </w:rPr>
              <w:t>本次采购要求</w:t>
            </w:r>
            <w:r>
              <w:rPr>
                <w:rFonts w:hint="eastAsia"/>
                <w:highlight w:val="none"/>
                <w:lang w:eastAsia="zh-CN"/>
              </w:rPr>
              <w:t>，</w:t>
            </w:r>
            <w:r>
              <w:rPr>
                <w:rFonts w:hint="eastAsia" w:hAnsi="宋体" w:cs="Arial"/>
                <w:highlight w:val="none"/>
              </w:rPr>
              <w:t>如发生所供货物</w:t>
            </w:r>
            <w:r>
              <w:rPr>
                <w:highlight w:val="none"/>
              </w:rPr>
              <w:t>技术规格、技术参数</w:t>
            </w:r>
            <w:r>
              <w:rPr>
                <w:rFonts w:hint="eastAsia" w:hAnsi="宋体" w:cs="Arial"/>
                <w:highlight w:val="none"/>
              </w:rPr>
              <w:t>不</w:t>
            </w:r>
            <w:r>
              <w:rPr>
                <w:rFonts w:hint="eastAsia" w:hAnsi="宋体" w:cs="Arial"/>
                <w:highlight w:val="none"/>
                <w:lang w:val="en-US" w:eastAsia="zh-CN"/>
              </w:rPr>
              <w:t>符合采购的参数要求</w:t>
            </w:r>
            <w:r>
              <w:rPr>
                <w:rFonts w:hint="eastAsia" w:hAnsi="宋体" w:cs="Arial"/>
                <w:highlight w:val="none"/>
              </w:rPr>
              <w:t>，采购人有权退货或要求成交</w:t>
            </w:r>
            <w:r>
              <w:rPr>
                <w:rFonts w:hint="eastAsia" w:hAnsi="宋体" w:cs="Arial"/>
                <w:highlight w:val="none"/>
                <w:lang w:eastAsia="zh-CN"/>
              </w:rPr>
              <w:t>供应商</w:t>
            </w:r>
            <w:r>
              <w:rPr>
                <w:rFonts w:hint="eastAsia" w:hAnsi="宋体" w:cs="Arial"/>
                <w:highlight w:val="none"/>
              </w:rPr>
              <w:t>进行更换、补齐，因此造成逾期交货的，所造成的损失由成交供应商承担</w:t>
            </w:r>
            <w:r>
              <w:rPr>
                <w:highlight w:val="none"/>
              </w:rPr>
              <w:t>。</w:t>
            </w:r>
          </w:p>
          <w:p w14:paraId="174FED36">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rFonts w:hint="eastAsia" w:hAnsi="宋体" w:cs="Arial"/>
                <w:highlight w:val="none"/>
              </w:rPr>
            </w:pPr>
            <w:r>
              <w:rPr>
                <w:rFonts w:hint="eastAsia"/>
                <w:highlight w:val="none"/>
                <w:lang w:eastAsia="zh-CN"/>
              </w:rPr>
              <w:t>供应商</w:t>
            </w:r>
            <w:r>
              <w:rPr>
                <w:highlight w:val="none"/>
              </w:rPr>
              <w:t>所提供的货物必须是全新、未使用的、正规渠道采购的原装产品，且在正常安装、使用和保养条件下，其使用寿命期内各项指标均达到质量要求。对达不到要求者，需要更换合格产品，</w:t>
            </w:r>
            <w:r>
              <w:rPr>
                <w:rFonts w:hint="eastAsia"/>
                <w:highlight w:val="none"/>
                <w:lang w:eastAsia="zh-CN"/>
              </w:rPr>
              <w:t>供应商</w:t>
            </w:r>
            <w:r>
              <w:rPr>
                <w:highlight w:val="none"/>
              </w:rPr>
              <w:t>承担所发生的全部费用。</w:t>
            </w:r>
          </w:p>
        </w:tc>
      </w:tr>
      <w:tr w14:paraId="54A3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7D1AD998">
            <w:pPr>
              <w:spacing w:line="360" w:lineRule="auto"/>
              <w:rPr>
                <w:rFonts w:ascii="宋体" w:hAnsi="宋体"/>
                <w:b/>
                <w:iCs/>
                <w:szCs w:val="21"/>
                <w:highlight w:val="none"/>
              </w:rPr>
            </w:pPr>
            <w:r>
              <w:rPr>
                <w:rFonts w:hint="eastAsia" w:ascii="宋体" w:hAnsi="宋体"/>
                <w:b/>
                <w:iCs/>
                <w:szCs w:val="21"/>
                <w:highlight w:val="none"/>
              </w:rPr>
              <w:t>安装与验收</w:t>
            </w:r>
          </w:p>
        </w:tc>
        <w:tc>
          <w:tcPr>
            <w:tcW w:w="8316" w:type="dxa"/>
            <w:gridSpan w:val="4"/>
            <w:shd w:val="clear" w:color="000000" w:fill="FFFFFF"/>
            <w:vAlign w:val="center"/>
          </w:tcPr>
          <w:p w14:paraId="32143F4D">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rPr>
                <w:rFonts w:hAnsi="宋体" w:cs="Arial"/>
                <w:highlight w:val="none"/>
              </w:rPr>
            </w:pPr>
            <w:r>
              <w:rPr>
                <w:rFonts w:hint="eastAsia" w:ascii="宋体" w:hAnsi="宋体"/>
                <w:bCs/>
                <w:szCs w:val="21"/>
                <w:highlight w:val="none"/>
              </w:rPr>
              <w:t>免费送货上门，免费安装、免费调试，免费提供现场技术培训，保证使用人员正常使用货物；其余按报价人承诺进行。</w:t>
            </w:r>
          </w:p>
          <w:p w14:paraId="5192176C">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rPr>
                <w:rFonts w:hAnsi="宋体" w:cs="Arial"/>
                <w:highlight w:val="none"/>
              </w:rPr>
            </w:pPr>
            <w:r>
              <w:rPr>
                <w:rFonts w:hint="eastAsia" w:hAnsi="宋体" w:cs="Arial"/>
                <w:highlight w:val="none"/>
              </w:rPr>
              <w:t>验收：按照《项目要求及技术需求》的各项指标和国家有关质量标准进行最终验收。采购方、学校各部门，</w:t>
            </w:r>
            <w:r>
              <w:rPr>
                <w:rFonts w:hint="eastAsia" w:hAnsi="宋体" w:cs="Arial"/>
                <w:highlight w:val="none"/>
                <w:lang w:eastAsia="zh-CN"/>
              </w:rPr>
              <w:t>供应商</w:t>
            </w:r>
            <w:r>
              <w:rPr>
                <w:rFonts w:hint="eastAsia" w:hAnsi="宋体" w:cs="Arial"/>
                <w:highlight w:val="none"/>
              </w:rPr>
              <w:t>对中标货物，严格按照采购文件上的品牌、型号、技术参数等要求进行逐条验收，以确认</w:t>
            </w:r>
            <w:r>
              <w:rPr>
                <w:rFonts w:hint="eastAsia" w:hAnsi="宋体" w:cs="Arial"/>
                <w:highlight w:val="none"/>
                <w:lang w:eastAsia="zh-CN"/>
              </w:rPr>
              <w:t>供应商</w:t>
            </w:r>
            <w:r>
              <w:rPr>
                <w:rFonts w:hint="eastAsia" w:hAnsi="宋体" w:cs="Arial"/>
                <w:highlight w:val="none"/>
              </w:rPr>
              <w:t>提供的货物是否达到竞标文件中所承诺的技术功能，如违反相关要求，追究相关责任。如发生所供货物不相符，采购人有权退货或要求成交</w:t>
            </w:r>
            <w:r>
              <w:rPr>
                <w:rFonts w:hint="eastAsia" w:hAnsi="宋体" w:cs="Arial"/>
                <w:highlight w:val="none"/>
                <w:lang w:eastAsia="zh-CN"/>
              </w:rPr>
              <w:t>供应商</w:t>
            </w:r>
            <w:r>
              <w:rPr>
                <w:rFonts w:hint="eastAsia" w:hAnsi="宋体" w:cs="Arial"/>
                <w:highlight w:val="none"/>
              </w:rPr>
              <w:t>进行更换、补齐，因此造成逾期交货的，所造成的损失由成交供应商承担。</w:t>
            </w:r>
            <w:r>
              <w:rPr>
                <w:rFonts w:hint="eastAsia" w:hAnsi="宋体" w:cs="Arial"/>
                <w:highlight w:val="none"/>
                <w:lang w:val="en-US" w:eastAsia="zh-CN"/>
              </w:rPr>
              <w:t>验收时提供需求参数所要提的相关检测报告。</w:t>
            </w:r>
          </w:p>
        </w:tc>
      </w:tr>
      <w:tr w14:paraId="38F3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0014081E">
            <w:pPr>
              <w:spacing w:line="360" w:lineRule="auto"/>
              <w:rPr>
                <w:rFonts w:ascii="宋体" w:hAnsi="宋体"/>
                <w:b/>
                <w:iCs/>
                <w:szCs w:val="21"/>
                <w:highlight w:val="none"/>
              </w:rPr>
            </w:pPr>
            <w:r>
              <w:rPr>
                <w:rFonts w:hint="eastAsia" w:ascii="宋体" w:hAnsi="宋体"/>
                <w:b/>
                <w:iCs/>
                <w:szCs w:val="21"/>
                <w:highlight w:val="none"/>
              </w:rPr>
              <w:t>售后服务</w:t>
            </w:r>
          </w:p>
          <w:p w14:paraId="6D3186DB">
            <w:pPr>
              <w:spacing w:line="360" w:lineRule="auto"/>
              <w:rPr>
                <w:rFonts w:ascii="宋体" w:hAnsi="宋体" w:cs="宋体"/>
                <w:b/>
                <w:iCs/>
                <w:szCs w:val="21"/>
                <w:highlight w:val="none"/>
              </w:rPr>
            </w:pPr>
            <w:r>
              <w:rPr>
                <w:rFonts w:hint="eastAsia" w:ascii="宋体" w:hAnsi="宋体"/>
                <w:b/>
                <w:iCs/>
                <w:szCs w:val="21"/>
                <w:highlight w:val="none"/>
              </w:rPr>
              <w:t>要求</w:t>
            </w:r>
          </w:p>
        </w:tc>
        <w:tc>
          <w:tcPr>
            <w:tcW w:w="8316" w:type="dxa"/>
            <w:gridSpan w:val="4"/>
            <w:shd w:val="clear" w:color="000000" w:fill="FFFFFF"/>
            <w:vAlign w:val="center"/>
          </w:tcPr>
          <w:p w14:paraId="1BA0407A">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在质保期内，成交供应商应对货物出现的质量及安全问题负责处理解决并承担一切费用。</w:t>
            </w:r>
          </w:p>
          <w:p w14:paraId="3B677728">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有专业维修工程师提供服务，一旦发生故障，2小时内响应，24小时内解决故障，否则须在二个工作日内提供与原设备技术参数要求相同或高于原设备技术参数要求的备用产品，以保证采购人的正常工作。</w:t>
            </w:r>
          </w:p>
          <w:p w14:paraId="4808AF74">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质保期届满后，成交供应商对货物提供终身维修服务，且维修时只收取所需维修部件的成本费，服务内容应与质保期内的要求相一致。</w:t>
            </w:r>
          </w:p>
        </w:tc>
      </w:tr>
      <w:tr w14:paraId="50824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18ECA917">
            <w:pPr>
              <w:spacing w:line="360" w:lineRule="auto"/>
              <w:rPr>
                <w:rFonts w:ascii="宋体" w:hAnsi="宋体" w:cs="宋体"/>
                <w:b/>
                <w:iCs/>
                <w:szCs w:val="21"/>
                <w:highlight w:val="none"/>
              </w:rPr>
            </w:pPr>
            <w:r>
              <w:rPr>
                <w:rFonts w:hint="eastAsia" w:ascii="宋体" w:hAnsi="宋体" w:cs="宋体"/>
                <w:b/>
                <w:iCs/>
                <w:szCs w:val="21"/>
                <w:highlight w:val="none"/>
              </w:rPr>
              <w:t>付款方式</w:t>
            </w:r>
          </w:p>
        </w:tc>
        <w:tc>
          <w:tcPr>
            <w:tcW w:w="8316" w:type="dxa"/>
            <w:gridSpan w:val="4"/>
            <w:tcBorders>
              <w:top w:val="single" w:color="auto" w:sz="4" w:space="0"/>
              <w:left w:val="single" w:color="auto" w:sz="4" w:space="0"/>
              <w:bottom w:val="single" w:color="auto" w:sz="4" w:space="0"/>
            </w:tcBorders>
            <w:vAlign w:val="center"/>
          </w:tcPr>
          <w:p w14:paraId="1207975E">
            <w:pPr>
              <w:pStyle w:val="2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highlight w:val="none"/>
              </w:rPr>
            </w:pPr>
            <w:r>
              <w:rPr>
                <w:rFonts w:hint="eastAsia" w:ascii="宋体" w:hAnsi="宋体" w:eastAsia="宋体" w:cs="宋体"/>
                <w:bCs/>
                <w:szCs w:val="22"/>
                <w:highlight w:val="none"/>
              </w:rPr>
              <w:t>成交供应商交货且安装调试完并经采购人验收合格无异议后五个工作日内开具发票给采购人，采购人自收到成交供应商发票之日起二十个工作日内，由采购人一次性付清成交供应商的全部货款（无预付款）。</w:t>
            </w:r>
          </w:p>
        </w:tc>
      </w:tr>
      <w:tr w14:paraId="1B23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4D17F941">
            <w:pPr>
              <w:spacing w:line="360" w:lineRule="auto"/>
              <w:rPr>
                <w:rFonts w:ascii="宋体" w:hAnsi="宋体" w:cs="宋体"/>
                <w:b/>
                <w:iCs/>
                <w:szCs w:val="21"/>
                <w:highlight w:val="none"/>
              </w:rPr>
            </w:pPr>
            <w:r>
              <w:rPr>
                <w:rFonts w:hint="eastAsia" w:ascii="宋体" w:hAnsi="Courier New"/>
                <w:b/>
                <w:bCs/>
                <w:iCs/>
                <w:szCs w:val="22"/>
                <w:highlight w:val="none"/>
              </w:rPr>
              <w:t>履约保证金</w:t>
            </w:r>
          </w:p>
        </w:tc>
        <w:tc>
          <w:tcPr>
            <w:tcW w:w="8316" w:type="dxa"/>
            <w:gridSpan w:val="4"/>
            <w:tcBorders>
              <w:top w:val="single" w:color="auto" w:sz="4" w:space="0"/>
              <w:left w:val="single" w:color="auto" w:sz="4" w:space="0"/>
              <w:bottom w:val="single" w:color="auto" w:sz="4" w:space="0"/>
            </w:tcBorders>
            <w:vAlign w:val="center"/>
          </w:tcPr>
          <w:p w14:paraId="37BD05A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highlight w:val="none"/>
                <w:lang w:eastAsia="zh-CN"/>
              </w:rPr>
            </w:pPr>
            <w:r>
              <w:rPr>
                <w:rFonts w:hint="eastAsia" w:ascii="宋体" w:hAnsi="宋体" w:eastAsia="宋体" w:cs="宋体"/>
                <w:bCs/>
                <w:szCs w:val="22"/>
                <w:highlight w:val="none"/>
                <w:lang w:eastAsia="zh-CN"/>
              </w:rPr>
              <w:t>无</w:t>
            </w:r>
          </w:p>
        </w:tc>
      </w:tr>
      <w:tr w14:paraId="3B6D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7ECFE5C2">
            <w:pPr>
              <w:spacing w:line="360" w:lineRule="auto"/>
              <w:rPr>
                <w:rFonts w:ascii="宋体" w:hAnsi="宋体"/>
                <w:b/>
                <w:iCs/>
                <w:szCs w:val="21"/>
                <w:highlight w:val="none"/>
              </w:rPr>
            </w:pPr>
            <w:r>
              <w:rPr>
                <w:rFonts w:hint="eastAsia" w:ascii="宋体" w:hAnsi="宋体"/>
                <w:b/>
                <w:iCs/>
                <w:szCs w:val="21"/>
                <w:highlight w:val="none"/>
              </w:rPr>
              <w:t>合同签订</w:t>
            </w:r>
          </w:p>
        </w:tc>
        <w:tc>
          <w:tcPr>
            <w:tcW w:w="8316" w:type="dxa"/>
            <w:gridSpan w:val="4"/>
            <w:tcBorders>
              <w:top w:val="single" w:color="auto" w:sz="4" w:space="0"/>
              <w:left w:val="single" w:color="auto" w:sz="4" w:space="0"/>
              <w:bottom w:val="single" w:color="auto" w:sz="4" w:space="0"/>
            </w:tcBorders>
            <w:vAlign w:val="center"/>
          </w:tcPr>
          <w:p w14:paraId="064EAF9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成交供应商应当在成交结果确定之日起5个工作日内，以政采云平台电子卖场生成的订单合同，按照确定的采购标的、规格型号、成交金额、成交数量、技术和服务等事项，与采购人签订采购合同。成交供应商超期不与采购人签订合同的，采购人有权取消其成交资格，并按规定追究其责任。</w:t>
            </w:r>
          </w:p>
        </w:tc>
      </w:tr>
      <w:tr w14:paraId="75772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00293F20">
            <w:pPr>
              <w:spacing w:line="360" w:lineRule="auto"/>
              <w:rPr>
                <w:rFonts w:hint="eastAsia" w:ascii="宋体" w:hAnsi="宋体"/>
                <w:b/>
                <w:iCs/>
                <w:szCs w:val="21"/>
                <w:highlight w:val="none"/>
              </w:rPr>
            </w:pPr>
            <w:r>
              <w:rPr>
                <w:rFonts w:hint="eastAsia" w:ascii="宋体" w:hAnsi="宋体"/>
                <w:b/>
                <w:iCs/>
                <w:szCs w:val="21"/>
                <w:highlight w:val="none"/>
              </w:rPr>
              <w:t>违约责任</w:t>
            </w:r>
          </w:p>
        </w:tc>
        <w:tc>
          <w:tcPr>
            <w:tcW w:w="8316" w:type="dxa"/>
            <w:gridSpan w:val="4"/>
            <w:tcBorders>
              <w:top w:val="single" w:color="auto" w:sz="4" w:space="0"/>
              <w:left w:val="single" w:color="auto" w:sz="4" w:space="0"/>
              <w:bottom w:val="single" w:color="auto" w:sz="4" w:space="0"/>
            </w:tcBorders>
            <w:vAlign w:val="center"/>
          </w:tcPr>
          <w:p w14:paraId="23183BB8">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应按合同规定的日期内交货，逾期交货的，每逾期一日，应按合同总额1‰向采购方支付违约金，逾期超过5个工作日不能交货的，采购方有权解除本合同，并要求</w:t>
            </w:r>
            <w:r>
              <w:rPr>
                <w:rFonts w:hint="eastAsia" w:ascii="宋体" w:hAnsi="宋体" w:eastAsia="宋体" w:cs="宋体"/>
                <w:highlight w:val="none"/>
                <w:lang w:eastAsia="zh-CN"/>
              </w:rPr>
              <w:t>供应商</w:t>
            </w:r>
            <w:r>
              <w:rPr>
                <w:rFonts w:hint="eastAsia" w:ascii="宋体" w:hAnsi="宋体" w:eastAsia="宋体" w:cs="宋体"/>
                <w:highlight w:val="none"/>
              </w:rPr>
              <w:t>支付合同总额30%的违约金。</w:t>
            </w:r>
          </w:p>
          <w:p w14:paraId="2A381DD9">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所交付的货物品种、型号、规格、技术参数、质量不符合合同规定及采购文件规定标准的，采购方有权拒收该货物。</w:t>
            </w:r>
            <w:r>
              <w:rPr>
                <w:rFonts w:hint="eastAsia" w:ascii="宋体" w:hAnsi="宋体" w:eastAsia="宋体" w:cs="宋体"/>
                <w:highlight w:val="none"/>
                <w:lang w:eastAsia="zh-CN"/>
              </w:rPr>
              <w:t>供应商</w:t>
            </w:r>
            <w:r>
              <w:rPr>
                <w:rFonts w:hint="eastAsia" w:ascii="宋体" w:hAnsi="宋体" w:eastAsia="宋体" w:cs="宋体"/>
                <w:highlight w:val="none"/>
              </w:rPr>
              <w:t>愿意更换货物但逾期交货的，按</w:t>
            </w:r>
            <w:r>
              <w:rPr>
                <w:rFonts w:hint="eastAsia" w:ascii="宋体" w:hAnsi="宋体" w:eastAsia="宋体" w:cs="宋体"/>
                <w:highlight w:val="none"/>
                <w:lang w:eastAsia="zh-CN"/>
              </w:rPr>
              <w:t>供应商</w:t>
            </w:r>
            <w:r>
              <w:rPr>
                <w:rFonts w:hint="eastAsia" w:ascii="宋体" w:hAnsi="宋体" w:eastAsia="宋体" w:cs="宋体"/>
                <w:highlight w:val="none"/>
              </w:rPr>
              <w:t>逾期交货处理。</w:t>
            </w:r>
            <w:r>
              <w:rPr>
                <w:rFonts w:hint="eastAsia" w:ascii="宋体" w:hAnsi="宋体" w:eastAsia="宋体" w:cs="宋体"/>
                <w:highlight w:val="none"/>
                <w:lang w:eastAsia="zh-CN"/>
              </w:rPr>
              <w:t>供应商</w:t>
            </w:r>
            <w:r>
              <w:rPr>
                <w:rFonts w:hint="eastAsia" w:ascii="宋体" w:hAnsi="宋体" w:eastAsia="宋体" w:cs="宋体"/>
                <w:highlight w:val="none"/>
              </w:rPr>
              <w:t>拒绝更换货物的，采购方可单方面解除合同，并要求</w:t>
            </w:r>
            <w:r>
              <w:rPr>
                <w:rFonts w:hint="eastAsia" w:ascii="宋体" w:hAnsi="宋体" w:eastAsia="宋体" w:cs="宋体"/>
                <w:highlight w:val="none"/>
                <w:lang w:eastAsia="zh-CN"/>
              </w:rPr>
              <w:t>供应商</w:t>
            </w:r>
            <w:r>
              <w:rPr>
                <w:rFonts w:hint="eastAsia" w:ascii="宋体" w:hAnsi="宋体" w:eastAsia="宋体" w:cs="宋体"/>
                <w:highlight w:val="none"/>
              </w:rPr>
              <w:t>支付合同总值30%的违约金，违约金不足以弥补采购方损失的，</w:t>
            </w:r>
            <w:r>
              <w:rPr>
                <w:rFonts w:hint="eastAsia" w:ascii="宋体" w:hAnsi="宋体" w:eastAsia="宋体" w:cs="宋体"/>
                <w:highlight w:val="none"/>
                <w:lang w:eastAsia="zh-CN"/>
              </w:rPr>
              <w:t>供应商</w:t>
            </w:r>
            <w:r>
              <w:rPr>
                <w:rFonts w:hint="eastAsia" w:ascii="宋体" w:hAnsi="宋体" w:eastAsia="宋体" w:cs="宋体"/>
                <w:highlight w:val="none"/>
              </w:rPr>
              <w:t>还应负责赔偿。</w:t>
            </w:r>
          </w:p>
          <w:p w14:paraId="588906DD">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提供的货物如侵犯了第三方合法权益而引发的任何纠纷或诉讼，均由</w:t>
            </w:r>
            <w:r>
              <w:rPr>
                <w:rFonts w:hint="eastAsia" w:ascii="宋体" w:hAnsi="宋体" w:eastAsia="宋体" w:cs="宋体"/>
                <w:highlight w:val="none"/>
                <w:lang w:eastAsia="zh-CN"/>
              </w:rPr>
              <w:t>供应商</w:t>
            </w:r>
            <w:r>
              <w:rPr>
                <w:rFonts w:hint="eastAsia" w:ascii="宋体" w:hAnsi="宋体" w:eastAsia="宋体" w:cs="宋体"/>
                <w:highlight w:val="none"/>
              </w:rPr>
              <w:t>负责交涉并承担全部责任。</w:t>
            </w:r>
          </w:p>
          <w:p w14:paraId="33B2EBAC">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rPr>
              <w:t>因包装、运输引起的货物损坏，按质量不合格处理。</w:t>
            </w:r>
          </w:p>
          <w:p w14:paraId="0CB2DA76">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供应商</w:t>
            </w:r>
            <w:r>
              <w:rPr>
                <w:rFonts w:hint="eastAsia" w:ascii="宋体" w:hAnsi="宋体" w:eastAsia="宋体" w:cs="宋体"/>
                <w:highlight w:val="none"/>
              </w:rPr>
              <w:t>未按服务承诺提供售后服务的，</w:t>
            </w:r>
            <w:r>
              <w:rPr>
                <w:rFonts w:hint="eastAsia" w:ascii="宋体" w:hAnsi="宋体" w:eastAsia="宋体" w:cs="宋体"/>
                <w:highlight w:val="none"/>
                <w:lang w:eastAsia="zh-CN"/>
              </w:rPr>
              <w:t>供应商</w:t>
            </w:r>
            <w:r>
              <w:rPr>
                <w:rFonts w:hint="eastAsia" w:ascii="宋体" w:hAnsi="宋体" w:eastAsia="宋体" w:cs="宋体"/>
                <w:highlight w:val="none"/>
              </w:rPr>
              <w:t>应按本合同合计金额30%向采购人支付违约金</w:t>
            </w:r>
            <w:r>
              <w:rPr>
                <w:rFonts w:hint="eastAsia" w:ascii="宋体" w:hAnsi="宋体" w:eastAsia="宋体" w:cs="宋体"/>
                <w:highlight w:val="none"/>
                <w:lang w:eastAsia="zh-CN"/>
              </w:rPr>
              <w:t>。</w:t>
            </w:r>
          </w:p>
          <w:p w14:paraId="426B1A7C">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提供的货物在质量保证期内，因设计、工艺或材料的缺陷和其它质量原因造成的问题，由</w:t>
            </w:r>
            <w:r>
              <w:rPr>
                <w:rFonts w:hint="eastAsia" w:ascii="宋体" w:hAnsi="宋体" w:eastAsia="宋体" w:cs="宋体"/>
                <w:highlight w:val="none"/>
                <w:lang w:eastAsia="zh-CN"/>
              </w:rPr>
              <w:t>供应商</w:t>
            </w:r>
            <w:r>
              <w:rPr>
                <w:rFonts w:hint="eastAsia" w:ascii="宋体" w:hAnsi="宋体" w:eastAsia="宋体" w:cs="宋体"/>
                <w:highlight w:val="none"/>
              </w:rPr>
              <w:t>负责处理至达到本采购要求，费用由</w:t>
            </w:r>
            <w:r>
              <w:rPr>
                <w:rFonts w:hint="eastAsia" w:ascii="宋体" w:hAnsi="宋体" w:eastAsia="宋体" w:cs="宋体"/>
                <w:highlight w:val="none"/>
                <w:lang w:eastAsia="zh-CN"/>
              </w:rPr>
              <w:t>供应商</w:t>
            </w:r>
            <w:r>
              <w:rPr>
                <w:rFonts w:hint="eastAsia" w:ascii="宋体" w:hAnsi="宋体" w:eastAsia="宋体" w:cs="宋体"/>
                <w:highlight w:val="none"/>
              </w:rPr>
              <w:t>承担。</w:t>
            </w:r>
          </w:p>
          <w:p w14:paraId="0C758AFB">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未能在规定期限内供货，影响采购方使用的，一切后果由</w:t>
            </w:r>
            <w:r>
              <w:rPr>
                <w:rFonts w:hint="eastAsia" w:ascii="宋体" w:hAnsi="宋体" w:eastAsia="宋体" w:cs="宋体"/>
                <w:highlight w:val="none"/>
                <w:lang w:eastAsia="zh-CN"/>
              </w:rPr>
              <w:t>供应商</w:t>
            </w:r>
            <w:r>
              <w:rPr>
                <w:rFonts w:hint="eastAsia" w:ascii="宋体" w:hAnsi="宋体" w:eastAsia="宋体" w:cs="宋体"/>
                <w:highlight w:val="none"/>
              </w:rPr>
              <w:t>承担。</w:t>
            </w:r>
          </w:p>
        </w:tc>
      </w:tr>
      <w:tr w14:paraId="3ECE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35" w:type="dxa"/>
            <w:gridSpan w:val="2"/>
            <w:tcBorders>
              <w:top w:val="single" w:color="auto" w:sz="4" w:space="0"/>
              <w:bottom w:val="single" w:color="auto" w:sz="4" w:space="0"/>
              <w:right w:val="single" w:color="auto" w:sz="4" w:space="0"/>
            </w:tcBorders>
            <w:vAlign w:val="center"/>
          </w:tcPr>
          <w:p w14:paraId="0804E438">
            <w:pPr>
              <w:spacing w:line="360" w:lineRule="auto"/>
              <w:rPr>
                <w:rFonts w:ascii="宋体" w:hAnsi="宋体"/>
                <w:b/>
                <w:iCs/>
                <w:szCs w:val="21"/>
                <w:highlight w:val="none"/>
              </w:rPr>
            </w:pPr>
            <w:r>
              <w:rPr>
                <w:rFonts w:hint="eastAsia" w:ascii="宋体" w:hAnsi="宋体"/>
                <w:b/>
                <w:iCs/>
                <w:szCs w:val="21"/>
                <w:highlight w:val="none"/>
              </w:rPr>
              <w:t>其他说明</w:t>
            </w:r>
          </w:p>
        </w:tc>
        <w:tc>
          <w:tcPr>
            <w:tcW w:w="8316" w:type="dxa"/>
            <w:gridSpan w:val="4"/>
            <w:tcBorders>
              <w:top w:val="single" w:color="auto" w:sz="4" w:space="0"/>
              <w:left w:val="single" w:color="auto" w:sz="4" w:space="0"/>
              <w:bottom w:val="single" w:color="auto" w:sz="4" w:space="0"/>
            </w:tcBorders>
            <w:vAlign w:val="center"/>
          </w:tcPr>
          <w:p w14:paraId="7D7F1420">
            <w:pPr>
              <w:rPr>
                <w:rFonts w:hint="eastAsia" w:ascii="宋体" w:hAnsi="宋体" w:eastAsia="宋体" w:cs="宋体"/>
                <w:highlight w:val="none"/>
                <w:lang w:val="en-US" w:eastAsia="zh-CN"/>
              </w:rPr>
            </w:pPr>
            <w:r>
              <w:rPr>
                <w:rFonts w:hint="eastAsia" w:ascii="宋体" w:hAnsi="宋体" w:eastAsia="宋体" w:cs="宋体"/>
                <w:highlight w:val="none"/>
              </w:rPr>
              <w:t>政采云系统排名第一的成交候选人为成交供应商，排名第一的成交候选人报价无效、放弃成交、或因不可抗力提出不能履行合同的，采购人将重新采购。</w:t>
            </w:r>
          </w:p>
        </w:tc>
      </w:tr>
      <w:tr w14:paraId="73502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304DFE2C">
            <w:pPr>
              <w:spacing w:line="360" w:lineRule="auto"/>
              <w:rPr>
                <w:rFonts w:ascii="宋体" w:hAnsi="宋体"/>
                <w:b/>
                <w:iCs/>
                <w:szCs w:val="21"/>
                <w:highlight w:val="none"/>
              </w:rPr>
            </w:pPr>
            <w:r>
              <w:rPr>
                <w:rFonts w:ascii="宋体" w:hAnsi="宋体"/>
                <w:b/>
                <w:iCs/>
                <w:szCs w:val="21"/>
                <w:highlight w:val="none"/>
              </w:rPr>
              <w:t>其他技术及服务要求</w:t>
            </w:r>
          </w:p>
        </w:tc>
        <w:tc>
          <w:tcPr>
            <w:tcW w:w="8316" w:type="dxa"/>
            <w:gridSpan w:val="4"/>
            <w:tcBorders>
              <w:top w:val="single" w:color="auto" w:sz="4" w:space="0"/>
              <w:left w:val="single" w:color="auto" w:sz="4" w:space="0"/>
              <w:bottom w:val="single" w:color="auto" w:sz="4" w:space="0"/>
            </w:tcBorders>
            <w:vAlign w:val="center"/>
          </w:tcPr>
          <w:p w14:paraId="291A71C9">
            <w:pPr>
              <w:numPr>
                <w:ilvl w:val="0"/>
                <w:numId w:val="0"/>
              </w:numPr>
              <w:ind w:leftChars="0"/>
              <w:rPr>
                <w:color w:val="5B9BD5" w:themeColor="accent5"/>
                <w:highlight w:val="none"/>
                <w14:textFill>
                  <w14:solidFill>
                    <w14:schemeClr w14:val="accent5"/>
                  </w14:solidFill>
                </w14:textFill>
              </w:rPr>
            </w:pPr>
          </w:p>
          <w:p w14:paraId="0111FBB5">
            <w:pPr>
              <w:numPr>
                <w:ilvl w:val="0"/>
                <w:numId w:val="0"/>
              </w:numPr>
              <w:ind w:lef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为确保货物质量及品质，采购人有权邀请参与此次竞价的未成交供应商参与验收。</w:t>
            </w:r>
          </w:p>
          <w:p w14:paraId="5CCDA7A3">
            <w:pPr>
              <w:pStyle w:val="22"/>
              <w:ind w:left="0" w:leftChars="0" w:firstLine="0" w:firstLineChars="0"/>
              <w:rPr>
                <w:rFonts w:hint="default" w:eastAsia="宋体"/>
                <w:highlight w:val="none"/>
                <w:lang w:val="en-US" w:eastAsia="zh-CN"/>
              </w:rPr>
            </w:pPr>
          </w:p>
          <w:p w14:paraId="09025DE9">
            <w:pPr>
              <w:numPr>
                <w:ilvl w:val="0"/>
                <w:numId w:val="0"/>
              </w:numPr>
              <w:ind w:leftChars="0"/>
              <w:rPr>
                <w:rFonts w:ascii="宋体" w:hAnsi="宋体"/>
                <w:szCs w:val="21"/>
                <w:highlight w:val="none"/>
              </w:rPr>
            </w:pPr>
          </w:p>
        </w:tc>
      </w:tr>
    </w:tbl>
    <w:p w14:paraId="11EB0EFE">
      <w:pPr>
        <w:rPr>
          <w:rFonts w:hint="eastAsia" w:ascii="微软雅黑" w:hAnsi="微软雅黑" w:eastAsia="微软雅黑"/>
          <w:b/>
          <w:bCs/>
          <w:color w:val="000000"/>
          <w:sz w:val="32"/>
          <w:szCs w:val="32"/>
          <w:highlight w:val="none"/>
        </w:rPr>
      </w:pPr>
      <w:r>
        <w:rPr>
          <w:rFonts w:hint="eastAsia" w:ascii="微软雅黑" w:hAnsi="微软雅黑" w:eastAsia="微软雅黑"/>
          <w:b/>
          <w:bCs/>
          <w:color w:val="000000"/>
          <w:sz w:val="32"/>
          <w:szCs w:val="32"/>
          <w:highlight w:val="none"/>
        </w:rPr>
        <w:br w:type="page"/>
      </w:r>
    </w:p>
    <w:p w14:paraId="5D7745F6">
      <w:pPr>
        <w:spacing w:line="240" w:lineRule="atLeast"/>
        <w:rPr>
          <w:rFonts w:ascii="微软雅黑" w:hAnsi="微软雅黑" w:eastAsia="微软雅黑"/>
          <w:bCs/>
          <w:color w:val="000000"/>
          <w:sz w:val="32"/>
          <w:szCs w:val="32"/>
          <w:highlight w:val="none"/>
        </w:rPr>
      </w:pPr>
      <w:r>
        <w:rPr>
          <w:rFonts w:hint="eastAsia" w:ascii="微软雅黑" w:hAnsi="微软雅黑" w:eastAsia="微软雅黑"/>
          <w:b/>
          <w:bCs/>
          <w:color w:val="000000"/>
          <w:sz w:val="32"/>
          <w:szCs w:val="32"/>
          <w:highlight w:val="none"/>
        </w:rPr>
        <w:t>附件：响应文件格式</w:t>
      </w:r>
    </w:p>
    <w:p w14:paraId="2CA2BA82">
      <w:pPr>
        <w:spacing w:line="240" w:lineRule="atLeast"/>
        <w:jc w:val="center"/>
        <w:rPr>
          <w:rFonts w:ascii="微软雅黑" w:hAnsi="微软雅黑" w:eastAsia="微软雅黑"/>
          <w:bCs/>
          <w:color w:val="000000"/>
          <w:sz w:val="24"/>
          <w:highlight w:val="none"/>
        </w:rPr>
      </w:pPr>
    </w:p>
    <w:p w14:paraId="7B610A5C">
      <w:pPr>
        <w:spacing w:line="240" w:lineRule="atLeast"/>
        <w:jc w:val="center"/>
        <w:rPr>
          <w:rFonts w:ascii="微软雅黑" w:hAnsi="微软雅黑" w:eastAsia="微软雅黑"/>
          <w:bCs/>
          <w:color w:val="000000"/>
          <w:sz w:val="24"/>
          <w:highlight w:val="none"/>
        </w:rPr>
      </w:pPr>
    </w:p>
    <w:p w14:paraId="5E43D6B8">
      <w:pPr>
        <w:spacing w:line="240" w:lineRule="atLeast"/>
        <w:jc w:val="center"/>
        <w:rPr>
          <w:rFonts w:ascii="微软雅黑" w:hAnsi="微软雅黑" w:eastAsia="微软雅黑" w:cs="方正小标宋简体"/>
          <w:bCs/>
          <w:color w:val="000000"/>
          <w:sz w:val="44"/>
          <w:szCs w:val="44"/>
          <w:highlight w:val="none"/>
        </w:rPr>
      </w:pPr>
    </w:p>
    <w:p w14:paraId="42A50194">
      <w:pPr>
        <w:spacing w:line="240" w:lineRule="atLeast"/>
        <w:jc w:val="center"/>
        <w:rPr>
          <w:rFonts w:ascii="微软雅黑" w:hAnsi="微软雅黑" w:eastAsia="微软雅黑"/>
          <w:b/>
          <w:color w:val="000000"/>
          <w:sz w:val="32"/>
          <w:szCs w:val="32"/>
          <w:highlight w:val="none"/>
        </w:rPr>
      </w:pPr>
      <w:r>
        <w:rPr>
          <w:rFonts w:hint="eastAsia" w:ascii="微软雅黑" w:hAnsi="微软雅黑" w:eastAsia="微软雅黑" w:cs="方正小标宋简体"/>
          <w:bCs/>
          <w:color w:val="000000"/>
          <w:sz w:val="44"/>
          <w:szCs w:val="44"/>
          <w:highlight w:val="none"/>
        </w:rPr>
        <w:t>响 应 文 件</w:t>
      </w:r>
      <w:r>
        <w:rPr>
          <w:rFonts w:hint="eastAsia" w:ascii="微软雅黑" w:hAnsi="微软雅黑" w:eastAsia="微软雅黑"/>
          <w:b/>
          <w:color w:val="000000"/>
          <w:sz w:val="32"/>
          <w:szCs w:val="32"/>
          <w:highlight w:val="none"/>
        </w:rPr>
        <w:t xml:space="preserve"> </w:t>
      </w:r>
      <w:r>
        <w:rPr>
          <w:rFonts w:hint="eastAsia" w:ascii="微软雅黑" w:hAnsi="微软雅黑" w:eastAsia="微软雅黑"/>
          <w:color w:val="000000"/>
          <w:szCs w:val="21"/>
          <w:highlight w:val="none"/>
        </w:rPr>
        <w:t>(封面)</w:t>
      </w:r>
    </w:p>
    <w:p w14:paraId="0621682E">
      <w:pPr>
        <w:spacing w:line="360" w:lineRule="auto"/>
        <w:jc w:val="center"/>
        <w:rPr>
          <w:rFonts w:ascii="微软雅黑" w:hAnsi="微软雅黑" w:eastAsia="微软雅黑"/>
          <w:color w:val="000000"/>
          <w:szCs w:val="21"/>
          <w:highlight w:val="none"/>
        </w:rPr>
      </w:pPr>
    </w:p>
    <w:p w14:paraId="7C079F9B">
      <w:pPr>
        <w:spacing w:line="360" w:lineRule="auto"/>
        <w:jc w:val="center"/>
        <w:rPr>
          <w:rFonts w:ascii="微软雅黑" w:hAnsi="微软雅黑" w:eastAsia="微软雅黑"/>
          <w:color w:val="000000"/>
          <w:szCs w:val="21"/>
          <w:highlight w:val="none"/>
        </w:rPr>
      </w:pPr>
    </w:p>
    <w:p w14:paraId="240D5817">
      <w:pPr>
        <w:spacing w:line="360" w:lineRule="auto"/>
        <w:jc w:val="center"/>
        <w:rPr>
          <w:rFonts w:ascii="微软雅黑" w:hAnsi="微软雅黑" w:eastAsia="微软雅黑"/>
          <w:color w:val="000000"/>
          <w:szCs w:val="21"/>
          <w:highlight w:val="none"/>
        </w:rPr>
      </w:pPr>
    </w:p>
    <w:p w14:paraId="1A741876">
      <w:pPr>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项目编号：</w:t>
      </w:r>
    </w:p>
    <w:p w14:paraId="4C266DBF">
      <w:pPr>
        <w:spacing w:line="360" w:lineRule="auto"/>
        <w:ind w:firstLine="640" w:firstLineChars="200"/>
        <w:jc w:val="left"/>
        <w:rPr>
          <w:rFonts w:ascii="微软雅黑" w:hAnsi="微软雅黑" w:eastAsia="微软雅黑" w:cs="仿宋_GB2312"/>
          <w:color w:val="000000"/>
          <w:sz w:val="32"/>
          <w:szCs w:val="32"/>
          <w:highlight w:val="none"/>
          <w:u w:val="single"/>
        </w:rPr>
      </w:pPr>
    </w:p>
    <w:p w14:paraId="6B3621B4">
      <w:pPr>
        <w:tabs>
          <w:tab w:val="left" w:pos="3240"/>
        </w:tabs>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项目名称：</w:t>
      </w:r>
    </w:p>
    <w:p w14:paraId="391149CD">
      <w:pPr>
        <w:tabs>
          <w:tab w:val="left" w:pos="3240"/>
        </w:tabs>
        <w:spacing w:line="360" w:lineRule="auto"/>
        <w:ind w:firstLine="640" w:firstLineChars="200"/>
        <w:jc w:val="left"/>
        <w:rPr>
          <w:rFonts w:ascii="微软雅黑" w:hAnsi="微软雅黑" w:eastAsia="微软雅黑" w:cs="仿宋_GB2312"/>
          <w:color w:val="000000"/>
          <w:sz w:val="32"/>
          <w:szCs w:val="32"/>
          <w:highlight w:val="none"/>
          <w:u w:val="single"/>
        </w:rPr>
      </w:pPr>
    </w:p>
    <w:p w14:paraId="10AEDF91">
      <w:pPr>
        <w:spacing w:line="360" w:lineRule="auto"/>
        <w:ind w:firstLine="640" w:firstLineChars="200"/>
        <w:jc w:val="left"/>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供应商名称：                         （盖公章）</w:t>
      </w:r>
    </w:p>
    <w:p w14:paraId="228E44C8">
      <w:pPr>
        <w:spacing w:line="360" w:lineRule="auto"/>
        <w:ind w:firstLine="640" w:firstLineChars="200"/>
        <w:jc w:val="left"/>
        <w:rPr>
          <w:rFonts w:ascii="微软雅黑" w:hAnsi="微软雅黑" w:eastAsia="微软雅黑" w:cs="仿宋_GB2312"/>
          <w:color w:val="000000"/>
          <w:sz w:val="32"/>
          <w:szCs w:val="32"/>
          <w:highlight w:val="none"/>
        </w:rPr>
      </w:pPr>
    </w:p>
    <w:p w14:paraId="7D0C7A28">
      <w:pPr>
        <w:spacing w:line="360" w:lineRule="auto"/>
        <w:ind w:firstLine="640" w:firstLineChars="200"/>
        <w:jc w:val="left"/>
        <w:rPr>
          <w:rFonts w:ascii="微软雅黑" w:hAnsi="微软雅黑" w:eastAsia="微软雅黑" w:cs="仿宋_GB2312"/>
          <w:color w:val="000000"/>
          <w:sz w:val="32"/>
          <w:szCs w:val="32"/>
          <w:highlight w:val="none"/>
        </w:rPr>
      </w:pPr>
    </w:p>
    <w:p w14:paraId="7D321F29">
      <w:pPr>
        <w:snapToGrid w:val="0"/>
        <w:spacing w:before="120" w:beforeLines="50" w:after="50"/>
        <w:rPr>
          <w:rFonts w:ascii="微软雅黑" w:hAnsi="微软雅黑" w:eastAsia="微软雅黑" w:cs="仿宋_GB2312"/>
          <w:color w:val="000000"/>
          <w:sz w:val="32"/>
          <w:szCs w:val="32"/>
          <w:highlight w:val="none"/>
        </w:rPr>
      </w:pPr>
    </w:p>
    <w:p w14:paraId="170B1E73">
      <w:pPr>
        <w:snapToGrid w:val="0"/>
        <w:spacing w:before="120" w:beforeLines="50" w:after="50"/>
        <w:rPr>
          <w:rFonts w:ascii="微软雅黑" w:hAnsi="微软雅黑" w:eastAsia="微软雅黑" w:cs="仿宋_GB2312"/>
          <w:color w:val="000000"/>
          <w:sz w:val="32"/>
          <w:szCs w:val="32"/>
          <w:highlight w:val="none"/>
        </w:rPr>
      </w:pPr>
    </w:p>
    <w:p w14:paraId="18D84C15">
      <w:pPr>
        <w:snapToGrid w:val="0"/>
        <w:spacing w:before="120" w:beforeLines="50" w:after="50"/>
        <w:jc w:val="center"/>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t>年    月    日</w:t>
      </w:r>
    </w:p>
    <w:p w14:paraId="2ECA008B">
      <w:pPr>
        <w:rPr>
          <w:rFonts w:ascii="微软雅黑" w:hAnsi="微软雅黑" w:eastAsia="微软雅黑" w:cs="仿宋_GB2312"/>
          <w:color w:val="000000"/>
          <w:sz w:val="32"/>
          <w:szCs w:val="32"/>
          <w:highlight w:val="none"/>
        </w:rPr>
      </w:pPr>
      <w:r>
        <w:rPr>
          <w:rFonts w:hint="eastAsia" w:ascii="微软雅黑" w:hAnsi="微软雅黑" w:eastAsia="微软雅黑" w:cs="仿宋_GB2312"/>
          <w:color w:val="000000"/>
          <w:sz w:val="32"/>
          <w:szCs w:val="32"/>
          <w:highlight w:val="none"/>
        </w:rPr>
        <w:br w:type="page"/>
      </w:r>
    </w:p>
    <w:p w14:paraId="29929E27">
      <w:pPr>
        <w:jc w:val="center"/>
        <w:rPr>
          <w:rFonts w:ascii="微软雅黑" w:hAnsi="微软雅黑" w:eastAsia="微软雅黑"/>
          <w:bCs/>
          <w:color w:val="000000"/>
          <w:sz w:val="44"/>
          <w:szCs w:val="44"/>
          <w:highlight w:val="none"/>
        </w:rPr>
      </w:pPr>
      <w:r>
        <w:rPr>
          <w:rFonts w:hint="eastAsia" w:ascii="微软雅黑" w:hAnsi="微软雅黑" w:eastAsia="微软雅黑"/>
          <w:bCs/>
          <w:color w:val="000000"/>
          <w:sz w:val="44"/>
          <w:szCs w:val="44"/>
          <w:highlight w:val="none"/>
        </w:rPr>
        <w:t>竞 标 声 明</w:t>
      </w:r>
    </w:p>
    <w:p w14:paraId="6CB310E8">
      <w:pPr>
        <w:spacing w:line="320" w:lineRule="exact"/>
        <w:jc w:val="center"/>
        <w:rPr>
          <w:rFonts w:ascii="微软雅黑" w:hAnsi="微软雅黑" w:eastAsia="微软雅黑"/>
          <w:color w:val="000000"/>
          <w:sz w:val="24"/>
          <w:szCs w:val="20"/>
          <w:highlight w:val="none"/>
        </w:rPr>
      </w:pPr>
    </w:p>
    <w:p w14:paraId="5C41ABD3">
      <w:pPr>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致：</w:t>
      </w:r>
      <w:r>
        <w:rPr>
          <w:rFonts w:hint="eastAsia" w:ascii="微软雅黑" w:hAnsi="微软雅黑" w:eastAsia="微软雅黑" w:cs="宋体"/>
          <w:color w:val="000000"/>
          <w:sz w:val="24"/>
          <w:highlight w:val="none"/>
          <w:u w:val="single"/>
        </w:rPr>
        <w:t xml:space="preserve"> 梧州学院 </w:t>
      </w:r>
      <w:r>
        <w:rPr>
          <w:rFonts w:hint="eastAsia" w:ascii="微软雅黑" w:hAnsi="微软雅黑" w:eastAsia="微软雅黑" w:cs="宋体"/>
          <w:color w:val="000000"/>
          <w:sz w:val="24"/>
          <w:highlight w:val="none"/>
        </w:rPr>
        <w:t>：</w:t>
      </w:r>
    </w:p>
    <w:p w14:paraId="1D004878">
      <w:p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w:t>
      </w:r>
      <w:r>
        <w:rPr>
          <w:rFonts w:hint="eastAsia" w:ascii="微软雅黑" w:hAnsi="微软雅黑" w:eastAsia="微软雅黑" w:cs="宋体"/>
          <w:color w:val="000000"/>
          <w:sz w:val="24"/>
          <w:highlight w:val="none"/>
          <w:u w:val="single"/>
        </w:rPr>
        <w:t>（供应商名称）</w:t>
      </w:r>
      <w:r>
        <w:rPr>
          <w:rFonts w:hint="eastAsia" w:ascii="微软雅黑" w:hAnsi="微软雅黑" w:eastAsia="微软雅黑" w:cs="宋体"/>
          <w:color w:val="000000"/>
          <w:sz w:val="24"/>
          <w:highlight w:val="none"/>
        </w:rPr>
        <w:t>系中华人民共和国合法供应商，经营地址</w:t>
      </w:r>
      <w:r>
        <w:rPr>
          <w:rFonts w:hint="eastAsia" w:ascii="微软雅黑" w:hAnsi="微软雅黑" w:eastAsia="微软雅黑" w:cs="宋体"/>
          <w:color w:val="000000"/>
          <w:sz w:val="24"/>
          <w:highlight w:val="none"/>
          <w:u w:val="single"/>
        </w:rPr>
        <w:t xml:space="preserve">                </w:t>
      </w:r>
      <w:r>
        <w:rPr>
          <w:rFonts w:hint="eastAsia" w:ascii="微软雅黑" w:hAnsi="微软雅黑" w:eastAsia="微软雅黑" w:cs="宋体"/>
          <w:color w:val="000000"/>
          <w:sz w:val="24"/>
          <w:highlight w:val="none"/>
        </w:rPr>
        <w:t>。</w:t>
      </w:r>
    </w:p>
    <w:p w14:paraId="48D3B6ED">
      <w:p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我方愿意参加贵方组织的</w:t>
      </w:r>
      <w:r>
        <w:rPr>
          <w:rFonts w:hint="eastAsia" w:ascii="微软雅黑" w:hAnsi="微软雅黑" w:eastAsia="微软雅黑" w:cs="宋体"/>
          <w:color w:val="000000"/>
          <w:sz w:val="24"/>
          <w:highlight w:val="none"/>
          <w:u w:val="single"/>
        </w:rPr>
        <w:t>（项目名称）</w:t>
      </w:r>
      <w:r>
        <w:rPr>
          <w:rFonts w:hint="eastAsia" w:ascii="微软雅黑" w:hAnsi="微软雅黑" w:eastAsia="微软雅黑" w:cs="宋体"/>
          <w:color w:val="000000"/>
          <w:sz w:val="24"/>
          <w:highlight w:val="none"/>
        </w:rPr>
        <w:t>项目的竞标，为便于贵方公正、择优地确定成交供应商及其竞标产品和服务，我方就本次竞标有关事项郑重声明如下：</w:t>
      </w:r>
    </w:p>
    <w:p w14:paraId="3D8CDBE8">
      <w:pPr>
        <w:numPr>
          <w:ilvl w:val="0"/>
          <w:numId w:val="13"/>
        </w:num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我方向贵方提交的所有响应文件、资料都是准确的和真实的。</w:t>
      </w:r>
    </w:p>
    <w:p w14:paraId="727F2956">
      <w:pPr>
        <w:numPr>
          <w:ilvl w:val="0"/>
          <w:numId w:val="13"/>
        </w:numPr>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在此，我方宣布同意如下：</w:t>
      </w:r>
    </w:p>
    <w:p w14:paraId="47F165C0">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将按询价文件的约定履行合同责任和义务；</w:t>
      </w:r>
    </w:p>
    <w:p w14:paraId="255D0DE7">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已详细审查全部询价文件，包括补遗文件（如有），我们完全理解并同意放弃对这方面有不明及误解的权力；</w:t>
      </w:r>
    </w:p>
    <w:p w14:paraId="7B804843">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同意提供按照贵方可能要求的与竞标有关的一切数据或者资料；</w:t>
      </w:r>
    </w:p>
    <w:p w14:paraId="76E2CCA5">
      <w:pPr>
        <w:numPr>
          <w:ilvl w:val="0"/>
          <w:numId w:val="14"/>
        </w:numPr>
        <w:ind w:left="0"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响应询价文件规定的竞标有效期。</w:t>
      </w:r>
    </w:p>
    <w:p w14:paraId="368874A4">
      <w:pPr>
        <w:numPr>
          <w:ilvl w:val="0"/>
          <w:numId w:val="13"/>
        </w:numPr>
        <w:ind w:firstLine="480" w:firstLineChars="200"/>
        <w:contextualSpacing/>
        <w:rPr>
          <w:rFonts w:ascii="微软雅黑" w:hAnsi="微软雅黑" w:eastAsia="微软雅黑" w:cs="宋体"/>
          <w:color w:val="000000"/>
          <w:kern w:val="0"/>
          <w:sz w:val="24"/>
          <w:highlight w:val="none"/>
          <w:u w:val="single"/>
        </w:rPr>
      </w:pPr>
      <w:r>
        <w:rPr>
          <w:rFonts w:hint="eastAsia" w:ascii="微软雅黑" w:hAnsi="微软雅黑" w:eastAsia="微软雅黑" w:cs="宋体"/>
          <w:color w:val="000000"/>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1FEA1A4">
      <w:pPr>
        <w:numPr>
          <w:ilvl w:val="0"/>
          <w:numId w:val="13"/>
        </w:numPr>
        <w:ind w:firstLine="480" w:firstLineChars="200"/>
        <w:contextualSpacing/>
        <w:rPr>
          <w:rFonts w:ascii="微软雅黑" w:hAnsi="微软雅黑" w:eastAsia="微软雅黑" w:cs="宋体"/>
          <w:color w:val="000000"/>
          <w:kern w:val="0"/>
          <w:sz w:val="24"/>
          <w:highlight w:val="none"/>
          <w:u w:val="single"/>
        </w:rPr>
      </w:pPr>
      <w:r>
        <w:rPr>
          <w:rFonts w:hint="eastAsia" w:ascii="微软雅黑" w:hAnsi="微软雅黑" w:eastAsia="微软雅黑" w:cs="宋体"/>
          <w:color w:val="000000"/>
          <w:kern w:val="0"/>
          <w:sz w:val="24"/>
          <w:highlight w:val="none"/>
        </w:rPr>
        <w:t>与本询价有关的一切正式往来信函请寄：</w:t>
      </w:r>
      <w:r>
        <w:rPr>
          <w:rFonts w:hint="eastAsia" w:ascii="微软雅黑" w:hAnsi="微软雅黑" w:eastAsia="微软雅黑" w:cs="宋体"/>
          <w:color w:val="000000"/>
          <w:kern w:val="0"/>
          <w:sz w:val="24"/>
          <w:highlight w:val="none"/>
          <w:u w:val="single"/>
        </w:rPr>
        <w:t xml:space="preserve">                                </w:t>
      </w:r>
    </w:p>
    <w:p w14:paraId="3C4FFF73">
      <w:pPr>
        <w:ind w:firstLine="480" w:firstLineChars="200"/>
        <w:contextualSpacing/>
        <w:rPr>
          <w:rFonts w:ascii="微软雅黑" w:hAnsi="微软雅黑" w:eastAsia="微软雅黑" w:cs="宋体"/>
          <w:color w:val="000000"/>
          <w:kern w:val="0"/>
          <w:sz w:val="24"/>
          <w:highlight w:val="none"/>
        </w:rPr>
      </w:pPr>
      <w:r>
        <w:rPr>
          <w:rFonts w:hint="eastAsia" w:ascii="微软雅黑" w:hAnsi="微软雅黑" w:eastAsia="微软雅黑" w:cs="宋体"/>
          <w:color w:val="000000"/>
          <w:kern w:val="0"/>
          <w:sz w:val="24"/>
          <w:highlight w:val="none"/>
        </w:rPr>
        <w:t>电话/传真：</w:t>
      </w:r>
      <w:r>
        <w:rPr>
          <w:rFonts w:hint="eastAsia" w:ascii="微软雅黑" w:hAnsi="微软雅黑" w:eastAsia="微软雅黑" w:cs="宋体"/>
          <w:color w:val="000000"/>
          <w:kern w:val="0"/>
          <w:sz w:val="24"/>
          <w:highlight w:val="none"/>
          <w:u w:val="single"/>
        </w:rPr>
        <w:t xml:space="preserve">                        </w:t>
      </w:r>
      <w:r>
        <w:rPr>
          <w:rFonts w:hint="eastAsia" w:ascii="微软雅黑" w:hAnsi="微软雅黑" w:eastAsia="微软雅黑" w:cs="宋体"/>
          <w:color w:val="000000"/>
          <w:kern w:val="0"/>
          <w:sz w:val="24"/>
          <w:highlight w:val="none"/>
        </w:rPr>
        <w:t xml:space="preserve">  电子函件：</w:t>
      </w:r>
      <w:r>
        <w:rPr>
          <w:rFonts w:hint="eastAsia" w:ascii="微软雅黑" w:hAnsi="微软雅黑" w:eastAsia="微软雅黑" w:cs="宋体"/>
          <w:color w:val="000000"/>
          <w:kern w:val="0"/>
          <w:sz w:val="24"/>
          <w:highlight w:val="none"/>
          <w:u w:val="single"/>
        </w:rPr>
        <w:t xml:space="preserve">                         </w:t>
      </w:r>
      <w:r>
        <w:rPr>
          <w:rFonts w:hint="eastAsia" w:ascii="微软雅黑" w:hAnsi="微软雅黑" w:eastAsia="微软雅黑" w:cs="宋体"/>
          <w:color w:val="000000"/>
          <w:kern w:val="0"/>
          <w:sz w:val="24"/>
          <w:highlight w:val="none"/>
        </w:rPr>
        <w:t xml:space="preserve">    </w:t>
      </w:r>
    </w:p>
    <w:p w14:paraId="55F24135">
      <w:pPr>
        <w:tabs>
          <w:tab w:val="left" w:pos="939"/>
        </w:tabs>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开户银行：</w:t>
      </w:r>
      <w:r>
        <w:rPr>
          <w:rFonts w:hint="eastAsia" w:ascii="微软雅黑" w:hAnsi="微软雅黑" w:eastAsia="微软雅黑" w:cs="宋体"/>
          <w:color w:val="000000"/>
          <w:sz w:val="24"/>
          <w:highlight w:val="none"/>
          <w:u w:val="single"/>
        </w:rPr>
        <w:t xml:space="preserve">                          </w:t>
      </w:r>
      <w:r>
        <w:rPr>
          <w:rFonts w:hint="eastAsia" w:ascii="微软雅黑" w:hAnsi="微软雅黑" w:eastAsia="微软雅黑" w:cs="宋体"/>
          <w:color w:val="000000"/>
          <w:sz w:val="24"/>
          <w:highlight w:val="none"/>
        </w:rPr>
        <w:t>账号/行号：</w:t>
      </w:r>
      <w:r>
        <w:rPr>
          <w:rFonts w:hint="eastAsia" w:ascii="微软雅黑" w:hAnsi="微软雅黑" w:eastAsia="微软雅黑" w:cs="宋体"/>
          <w:color w:val="000000"/>
          <w:sz w:val="24"/>
          <w:highlight w:val="none"/>
          <w:u w:val="single"/>
        </w:rPr>
        <w:t xml:space="preserve">                        </w:t>
      </w:r>
    </w:p>
    <w:p w14:paraId="3CFBFAB4">
      <w:pPr>
        <w:numPr>
          <w:ilvl w:val="0"/>
          <w:numId w:val="13"/>
        </w:numPr>
        <w:tabs>
          <w:tab w:val="left" w:pos="939"/>
        </w:tabs>
        <w:ind w:firstLine="480" w:firstLineChars="200"/>
        <w:contextualSpacing/>
        <w:rPr>
          <w:rFonts w:ascii="微软雅黑" w:hAnsi="微软雅黑" w:eastAsia="微软雅黑" w:cs="宋体"/>
          <w:color w:val="000000"/>
          <w:sz w:val="24"/>
          <w:highlight w:val="none"/>
        </w:rPr>
      </w:pPr>
      <w:r>
        <w:rPr>
          <w:rFonts w:hint="eastAsia" w:ascii="微软雅黑" w:hAnsi="微软雅黑" w:eastAsia="微软雅黑" w:cs="宋体"/>
          <w:color w:val="000000"/>
          <w:sz w:val="24"/>
          <w:highlight w:val="none"/>
        </w:rPr>
        <w:t>以上事项如有虚假或者隐瞒，我方愿意承担一切后果，并不再寻求任何旨在减轻或者免除法律责任的辩解。</w:t>
      </w:r>
    </w:p>
    <w:p w14:paraId="59E62B5E">
      <w:pPr>
        <w:tabs>
          <w:tab w:val="left" w:pos="939"/>
        </w:tabs>
        <w:ind w:left="141" w:leftChars="67" w:firstLine="480" w:firstLineChars="200"/>
        <w:contextualSpacing/>
        <w:rPr>
          <w:rFonts w:ascii="微软雅黑" w:hAnsi="微软雅黑" w:eastAsia="微软雅黑" w:cs="宋体"/>
          <w:color w:val="000000"/>
          <w:szCs w:val="21"/>
          <w:highlight w:val="none"/>
        </w:rPr>
      </w:pPr>
      <w:r>
        <w:rPr>
          <w:rFonts w:hint="eastAsia" w:ascii="微软雅黑" w:hAnsi="微软雅黑" w:eastAsia="微软雅黑" w:cs="宋体"/>
          <w:color w:val="000000"/>
          <w:sz w:val="24"/>
          <w:highlight w:val="none"/>
        </w:rPr>
        <w:t>特此承诺。</w:t>
      </w:r>
    </w:p>
    <w:p w14:paraId="062FBF2F">
      <w:pPr>
        <w:spacing w:line="360" w:lineRule="auto"/>
        <w:contextualSpacing/>
        <w:jc w:val="left"/>
        <w:rPr>
          <w:rFonts w:ascii="微软雅黑" w:hAnsi="微软雅黑" w:eastAsia="微软雅黑" w:cs="宋体"/>
          <w:color w:val="000000"/>
          <w:sz w:val="24"/>
          <w:highlight w:val="none"/>
        </w:rPr>
      </w:pPr>
    </w:p>
    <w:p w14:paraId="04BB9943">
      <w:pPr>
        <w:spacing w:line="360" w:lineRule="auto"/>
        <w:ind w:firstLine="480" w:firstLineChars="200"/>
        <w:contextualSpacing/>
        <w:rPr>
          <w:rFonts w:ascii="微软雅黑" w:hAnsi="微软雅黑" w:eastAsia="微软雅黑"/>
          <w:color w:val="000000"/>
          <w:sz w:val="24"/>
          <w:highlight w:val="none"/>
          <w:u w:val="single"/>
        </w:rPr>
      </w:pPr>
      <w:r>
        <w:rPr>
          <w:rFonts w:hint="eastAsia" w:ascii="微软雅黑" w:hAnsi="微软雅黑" w:eastAsia="微软雅黑"/>
          <w:color w:val="000000"/>
          <w:sz w:val="24"/>
          <w:highlight w:val="none"/>
        </w:rPr>
        <w:t>法定代表人或委托代理人（被授权人）（签字）：</w:t>
      </w:r>
      <w:r>
        <w:rPr>
          <w:rFonts w:hint="eastAsia" w:ascii="微软雅黑" w:hAnsi="微软雅黑" w:eastAsia="微软雅黑"/>
          <w:color w:val="000000"/>
          <w:sz w:val="24"/>
          <w:highlight w:val="none"/>
          <w:u w:val="single"/>
        </w:rPr>
        <w:t xml:space="preserve">           </w:t>
      </w:r>
    </w:p>
    <w:p w14:paraId="590D9A20">
      <w:pPr>
        <w:spacing w:line="360" w:lineRule="auto"/>
        <w:ind w:firstLine="480" w:firstLineChars="200"/>
        <w:contextualSpacing/>
        <w:rPr>
          <w:rFonts w:ascii="微软雅黑" w:hAnsi="微软雅黑" w:eastAsia="微软雅黑"/>
          <w:color w:val="000000"/>
          <w:sz w:val="24"/>
          <w:highlight w:val="none"/>
          <w:u w:val="single"/>
        </w:rPr>
      </w:pPr>
      <w:r>
        <w:rPr>
          <w:rFonts w:hint="eastAsia" w:ascii="微软雅黑" w:hAnsi="微软雅黑" w:eastAsia="微软雅黑"/>
          <w:color w:val="000000"/>
          <w:sz w:val="24"/>
          <w:highlight w:val="none"/>
        </w:rPr>
        <w:t>供应商名称（盖公章）：</w:t>
      </w:r>
      <w:r>
        <w:rPr>
          <w:rFonts w:hint="eastAsia" w:ascii="微软雅黑" w:hAnsi="微软雅黑" w:eastAsia="微软雅黑"/>
          <w:color w:val="000000"/>
          <w:sz w:val="24"/>
          <w:highlight w:val="none"/>
          <w:u w:val="single"/>
        </w:rPr>
        <w:t xml:space="preserve">                                 </w:t>
      </w:r>
    </w:p>
    <w:p w14:paraId="405F934F">
      <w:pPr>
        <w:tabs>
          <w:tab w:val="left" w:pos="3479"/>
        </w:tabs>
        <w:spacing w:line="520" w:lineRule="exact"/>
        <w:jc w:val="left"/>
        <w:rPr>
          <w:rFonts w:ascii="宋体" w:hAnsi="宋体"/>
          <w:b/>
          <w:sz w:val="24"/>
          <w:highlight w:val="none"/>
        </w:rPr>
      </w:pPr>
      <w:r>
        <w:rPr>
          <w:rFonts w:hint="eastAsia" w:ascii="微软雅黑" w:hAnsi="微软雅黑" w:eastAsia="微软雅黑" w:cs="宋体"/>
          <w:color w:val="000000"/>
          <w:sz w:val="24"/>
          <w:highlight w:val="none"/>
        </w:rPr>
        <w:t xml:space="preserve">                                                        </w:t>
      </w:r>
      <w:r>
        <w:rPr>
          <w:rFonts w:hint="eastAsia" w:ascii="微软雅黑" w:hAnsi="微软雅黑" w:eastAsia="微软雅黑"/>
          <w:color w:val="000000"/>
          <w:sz w:val="24"/>
          <w:highlight w:val="none"/>
        </w:rPr>
        <w:t xml:space="preserve"> 年    月    日</w:t>
      </w:r>
      <w:r>
        <w:rPr>
          <w:rFonts w:hint="eastAsia" w:ascii="宋体" w:hAnsi="宋体"/>
          <w:b/>
          <w:sz w:val="24"/>
          <w:highlight w:val="none"/>
        </w:rPr>
        <w:br w:type="page"/>
      </w:r>
    </w:p>
    <w:p w14:paraId="57D275CC">
      <w:pPr>
        <w:spacing w:line="520" w:lineRule="exact"/>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无串通竞标行为的承诺函</w:t>
      </w:r>
    </w:p>
    <w:p w14:paraId="25FDC5A8">
      <w:pPr>
        <w:spacing w:line="400" w:lineRule="exact"/>
        <w:ind w:firstLine="640" w:firstLineChars="200"/>
        <w:rPr>
          <w:rFonts w:ascii="仿宋_GB2312" w:hAnsi="仿宋_GB2312" w:eastAsia="仿宋_GB2312" w:cs="仿宋_GB2312"/>
          <w:sz w:val="32"/>
          <w:szCs w:val="32"/>
          <w:highlight w:val="none"/>
        </w:rPr>
      </w:pPr>
    </w:p>
    <w:p w14:paraId="043ACDFB">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一、我公司承诺无下列相互串通竞标的情形：</w:t>
      </w:r>
    </w:p>
    <w:p w14:paraId="12BEC9F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1.不同供应商的响应文件由同一单位或者个人编制；或者不同供应商报名的IP地址一致的；</w:t>
      </w:r>
    </w:p>
    <w:p w14:paraId="1C1D878F">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78887F5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221B2C8E">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6C867F86">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5.不同供应商的响应文件相互混装；</w:t>
      </w:r>
    </w:p>
    <w:p w14:paraId="587F731A">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14:paraId="6CB10A51">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二、我公司承诺无下列恶意串通的情形：</w:t>
      </w:r>
    </w:p>
    <w:p w14:paraId="06C3CC0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1ED9651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63AAC146">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1F949C79">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068D6DD4">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1B2651D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2BACFDC0">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175B66F4">
      <w:pPr>
        <w:spacing w:line="360" w:lineRule="auto"/>
        <w:ind w:firstLine="480" w:firstLineChars="200"/>
        <w:rPr>
          <w:rFonts w:ascii="宋体" w:hAnsi="宋体" w:cs="仿宋_GB2312"/>
          <w:sz w:val="24"/>
          <w:highlight w:val="none"/>
        </w:rPr>
      </w:pPr>
    </w:p>
    <w:p w14:paraId="4C37429C">
      <w:pPr>
        <w:spacing w:line="360" w:lineRule="auto"/>
        <w:ind w:firstLine="482" w:firstLineChars="200"/>
        <w:rPr>
          <w:rFonts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6F1C610E">
      <w:pPr>
        <w:spacing w:line="360" w:lineRule="auto"/>
        <w:ind w:firstLine="480" w:firstLineChars="200"/>
        <w:rPr>
          <w:rFonts w:ascii="宋体" w:hAnsi="宋体" w:cs="仿宋_GB2312"/>
          <w:sz w:val="24"/>
          <w:highlight w:val="none"/>
        </w:rPr>
      </w:pPr>
    </w:p>
    <w:p w14:paraId="19DE8DF1">
      <w:pPr>
        <w:spacing w:line="360" w:lineRule="auto"/>
        <w:rPr>
          <w:rFonts w:ascii="宋体" w:hAnsi="宋体" w:cs="仿宋_GB2312"/>
          <w:sz w:val="24"/>
          <w:highlight w:val="none"/>
        </w:rPr>
      </w:pPr>
    </w:p>
    <w:p w14:paraId="2CAC2D7D">
      <w:pPr>
        <w:spacing w:line="360" w:lineRule="auto"/>
        <w:ind w:firstLine="3600" w:firstLineChars="1500"/>
        <w:rPr>
          <w:rFonts w:ascii="宋体" w:hAnsi="宋体" w:cs="仿宋_GB2312"/>
          <w:sz w:val="24"/>
          <w:highlight w:val="none"/>
        </w:rPr>
      </w:pPr>
      <w:r>
        <w:rPr>
          <w:rFonts w:hint="eastAsia" w:ascii="宋体" w:hAnsi="宋体" w:cs="仿宋_GB2312"/>
          <w:sz w:val="24"/>
          <w:highlight w:val="none"/>
        </w:rPr>
        <w:t>供应商（盖公章 ）：</w:t>
      </w:r>
    </w:p>
    <w:p w14:paraId="5685A9B6">
      <w:pPr>
        <w:spacing w:line="360" w:lineRule="auto"/>
        <w:ind w:firstLine="480" w:firstLineChars="200"/>
        <w:jc w:val="center"/>
        <w:rPr>
          <w:rFonts w:ascii="宋体" w:hAnsi="宋体" w:cs="仿宋_GB2312"/>
          <w:sz w:val="24"/>
          <w:highlight w:val="none"/>
        </w:rPr>
      </w:pPr>
      <w:r>
        <w:rPr>
          <w:rFonts w:hint="eastAsia" w:ascii="宋体" w:hAnsi="宋体" w:cs="仿宋_GB2312"/>
          <w:sz w:val="24"/>
          <w:highlight w:val="none"/>
        </w:rPr>
        <w:t xml:space="preserve">                               年   月   日</w:t>
      </w:r>
    </w:p>
    <w:p w14:paraId="6EAADD47">
      <w:pPr>
        <w:widowControl/>
        <w:jc w:val="left"/>
        <w:rPr>
          <w:rFonts w:ascii="宋体" w:hAnsi="宋体" w:cs="仿宋_GB2312"/>
          <w:sz w:val="24"/>
          <w:highlight w:val="none"/>
        </w:rPr>
      </w:pPr>
      <w:r>
        <w:rPr>
          <w:rFonts w:ascii="宋体" w:hAnsi="宋体" w:cs="仿宋_GB2312"/>
          <w:sz w:val="24"/>
          <w:highlight w:val="none"/>
        </w:rPr>
        <w:br w:type="page"/>
      </w:r>
    </w:p>
    <w:p w14:paraId="53FDCC96">
      <w:pPr>
        <w:spacing w:line="50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商务条款偏离表格式</w:t>
      </w:r>
    </w:p>
    <w:p w14:paraId="5D41BD1D">
      <w:pPr>
        <w:spacing w:line="500" w:lineRule="exact"/>
        <w:jc w:val="center"/>
        <w:rPr>
          <w:rFonts w:ascii="宋体" w:hAnsi="宋体"/>
          <w:b/>
          <w:sz w:val="32"/>
          <w:szCs w:val="32"/>
          <w:highlight w:val="none"/>
        </w:rPr>
      </w:pPr>
      <w:r>
        <w:rPr>
          <w:rFonts w:hint="eastAsia" w:ascii="方正小标宋简体" w:hAnsi="方正小标宋简体" w:eastAsia="方正小标宋简体" w:cs="方正小标宋简体"/>
          <w:bCs/>
          <w:sz w:val="44"/>
          <w:szCs w:val="44"/>
          <w:highlight w:val="none"/>
        </w:rPr>
        <w:t>(注：按采购需求具体条款修改)</w:t>
      </w:r>
    </w:p>
    <w:p w14:paraId="0BDC36A8">
      <w:pPr>
        <w:snapToGrid w:val="0"/>
        <w:spacing w:before="50"/>
        <w:jc w:val="left"/>
        <w:rPr>
          <w:rFonts w:ascii="宋体" w:hAnsi="宋体"/>
          <w:sz w:val="24"/>
          <w:highlight w:val="none"/>
        </w:rPr>
      </w:pPr>
    </w:p>
    <w:p w14:paraId="4F281144">
      <w:pPr>
        <w:pStyle w:val="23"/>
        <w:spacing w:line="360" w:lineRule="auto"/>
        <w:rPr>
          <w:rFonts w:hAnsi="宋体" w:cs="仿宋_GB2312"/>
          <w:sz w:val="24"/>
          <w:szCs w:val="24"/>
          <w:highlight w:val="none"/>
        </w:rPr>
      </w:pPr>
      <w:bookmarkStart w:id="0" w:name="_Hlk48036267"/>
    </w:p>
    <w:tbl>
      <w:tblPr>
        <w:tblStyle w:val="40"/>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277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1381CEF">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01B407E">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竞争性在线询价文件商务条款要求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29980630">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2F4F2403">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偏离说明</w:t>
            </w:r>
          </w:p>
        </w:tc>
      </w:tr>
      <w:tr w14:paraId="4B77D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91548F2">
            <w:pPr>
              <w:spacing w:line="360" w:lineRule="auto"/>
              <w:jc w:val="center"/>
              <w:rPr>
                <w:rFonts w:ascii="宋体" w:hAnsi="宋体" w:cs="仿宋_GB2312"/>
                <w:sz w:val="24"/>
                <w:highlight w:val="none"/>
              </w:rPr>
            </w:pPr>
            <w:r>
              <w:rPr>
                <w:rFonts w:hint="eastAsia" w:ascii="宋体" w:hAnsi="宋体" w:cs="仿宋_GB2312"/>
                <w:sz w:val="24"/>
                <w:highlight w:val="none"/>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7AF8E1AA">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B35FC74">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25866BDA">
            <w:pPr>
              <w:snapToGrid w:val="0"/>
              <w:spacing w:before="120" w:beforeLines="50" w:line="360" w:lineRule="auto"/>
              <w:jc w:val="center"/>
              <w:rPr>
                <w:rFonts w:ascii="宋体" w:hAnsi="宋体" w:cs="仿宋_GB2312"/>
                <w:sz w:val="24"/>
                <w:highlight w:val="none"/>
              </w:rPr>
            </w:pPr>
          </w:p>
        </w:tc>
      </w:tr>
      <w:tr w14:paraId="14E53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2AF79903">
            <w:pPr>
              <w:spacing w:line="360" w:lineRule="auto"/>
              <w:jc w:val="center"/>
              <w:rPr>
                <w:rFonts w:ascii="宋体" w:hAnsi="宋体" w:cs="仿宋_GB2312"/>
                <w:sz w:val="24"/>
                <w:highlight w:val="none"/>
              </w:rPr>
            </w:pPr>
            <w:r>
              <w:rPr>
                <w:rFonts w:hint="eastAsia" w:ascii="宋体" w:hAnsi="宋体" w:cs="仿宋_GB2312"/>
                <w:sz w:val="24"/>
                <w:highlight w:val="none"/>
              </w:rPr>
              <w:t>配套（售后）服务要求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21DB3936">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E792B50">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C62E6E4">
            <w:pPr>
              <w:snapToGrid w:val="0"/>
              <w:spacing w:before="120" w:beforeLines="50" w:line="360" w:lineRule="auto"/>
              <w:jc w:val="center"/>
              <w:rPr>
                <w:rFonts w:ascii="宋体" w:hAnsi="宋体" w:cs="仿宋_GB2312"/>
                <w:sz w:val="24"/>
                <w:highlight w:val="none"/>
              </w:rPr>
            </w:pPr>
          </w:p>
        </w:tc>
      </w:tr>
      <w:tr w14:paraId="74380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1FB5CA84">
            <w:pPr>
              <w:spacing w:line="360" w:lineRule="auto"/>
              <w:jc w:val="center"/>
              <w:rPr>
                <w:rFonts w:ascii="宋体" w:hAnsi="宋体" w:cs="仿宋_GB2312"/>
                <w:sz w:val="24"/>
                <w:highlight w:val="none"/>
              </w:rPr>
            </w:pPr>
            <w:r>
              <w:rPr>
                <w:rFonts w:hint="eastAsia" w:ascii="宋体" w:hAnsi="宋体" w:cs="仿宋_GB2312"/>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69192FC8">
            <w:pPr>
              <w:spacing w:line="360" w:lineRule="auto"/>
              <w:jc w:val="center"/>
              <w:rPr>
                <w:rFonts w:ascii="宋体" w:hAnsi="宋体" w:cs="仿宋_GB2312"/>
                <w:sz w:val="24"/>
                <w:highlight w:val="none"/>
              </w:rPr>
            </w:pPr>
            <w:r>
              <w:rPr>
                <w:rFonts w:hint="eastAsia" w:ascii="宋体" w:hAnsi="宋体" w:cs="仿宋_GB2312"/>
                <w:sz w:val="24"/>
                <w:highlight w:val="none"/>
              </w:rPr>
              <w:t>1.交付时间：</w:t>
            </w:r>
          </w:p>
          <w:p w14:paraId="6BCE293B">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2.交付地点：</w:t>
            </w:r>
          </w:p>
        </w:tc>
        <w:tc>
          <w:tcPr>
            <w:tcW w:w="2633" w:type="dxa"/>
            <w:tcBorders>
              <w:top w:val="single" w:color="auto" w:sz="4" w:space="0"/>
              <w:left w:val="single" w:color="auto" w:sz="4" w:space="0"/>
              <w:bottom w:val="single" w:color="auto" w:sz="4" w:space="0"/>
              <w:right w:val="single" w:color="auto" w:sz="4" w:space="0"/>
            </w:tcBorders>
            <w:vAlign w:val="center"/>
          </w:tcPr>
          <w:p w14:paraId="023E48EE">
            <w:pPr>
              <w:snapToGrid w:val="0"/>
              <w:spacing w:before="120" w:beforeLines="50" w:line="360" w:lineRule="auto"/>
              <w:ind w:left="43"/>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B924C7D">
            <w:pPr>
              <w:snapToGrid w:val="0"/>
              <w:spacing w:before="120" w:beforeLines="50" w:line="360" w:lineRule="auto"/>
              <w:ind w:left="43"/>
              <w:jc w:val="center"/>
              <w:rPr>
                <w:rFonts w:ascii="宋体" w:hAnsi="宋体" w:cs="仿宋_GB2312"/>
                <w:sz w:val="24"/>
                <w:highlight w:val="none"/>
              </w:rPr>
            </w:pPr>
          </w:p>
        </w:tc>
      </w:tr>
      <w:tr w14:paraId="29159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066D8897">
            <w:pPr>
              <w:spacing w:line="360" w:lineRule="auto"/>
              <w:jc w:val="center"/>
              <w:rPr>
                <w:rFonts w:ascii="宋体" w:hAnsi="宋体" w:cs="仿宋_GB2312"/>
                <w:sz w:val="24"/>
                <w:highlight w:val="none"/>
              </w:rPr>
            </w:pPr>
            <w:r>
              <w:rPr>
                <w:rFonts w:hint="eastAsia" w:ascii="宋体" w:hAnsi="宋体" w:cs="仿宋_GB2312"/>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000CA7B7">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FA78A6C">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749A681">
            <w:pPr>
              <w:snapToGrid w:val="0"/>
              <w:spacing w:before="120" w:beforeLines="50" w:line="360" w:lineRule="auto"/>
              <w:jc w:val="center"/>
              <w:rPr>
                <w:rFonts w:ascii="宋体" w:hAnsi="宋体" w:cs="仿宋_GB2312"/>
                <w:sz w:val="24"/>
                <w:highlight w:val="none"/>
              </w:rPr>
            </w:pPr>
          </w:p>
        </w:tc>
      </w:tr>
      <w:tr w14:paraId="7F4AF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5456CC2">
            <w:pPr>
              <w:snapToGrid w:val="0"/>
              <w:spacing w:before="120" w:beforeLines="50" w:line="360" w:lineRule="auto"/>
              <w:jc w:val="center"/>
              <w:rPr>
                <w:rFonts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D9E5047">
            <w:pPr>
              <w:snapToGrid w:val="0"/>
              <w:spacing w:before="120" w:beforeLines="50" w:line="360" w:lineRule="auto"/>
              <w:jc w:val="center"/>
              <w:rPr>
                <w:rFonts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B82C268">
            <w:pPr>
              <w:snapToGrid w:val="0"/>
              <w:spacing w:before="120" w:beforeLines="50" w:line="360" w:lineRule="auto"/>
              <w:jc w:val="center"/>
              <w:rPr>
                <w:rFonts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31B7A68">
            <w:pPr>
              <w:snapToGrid w:val="0"/>
              <w:spacing w:before="120" w:beforeLines="50" w:line="360" w:lineRule="auto"/>
              <w:jc w:val="center"/>
              <w:rPr>
                <w:rFonts w:ascii="宋体" w:hAnsi="宋体" w:cs="仿宋_GB2312"/>
                <w:sz w:val="24"/>
                <w:highlight w:val="none"/>
              </w:rPr>
            </w:pPr>
          </w:p>
        </w:tc>
      </w:tr>
    </w:tbl>
    <w:p w14:paraId="23EED23F">
      <w:pPr>
        <w:pStyle w:val="18"/>
        <w:ind w:firstLine="845"/>
        <w:rPr>
          <w:rFonts w:ascii="宋体" w:hAnsi="宋体"/>
          <w:kern w:val="0"/>
          <w:highlight w:val="none"/>
        </w:rPr>
      </w:pPr>
      <w:bookmarkStart w:id="1" w:name="_Hlk55980472"/>
      <w:r>
        <w:rPr>
          <w:rFonts w:hint="eastAsia" w:ascii="宋体" w:hAnsi="宋体"/>
          <w:kern w:val="0"/>
          <w:highlight w:val="none"/>
        </w:rPr>
        <w:t>注：</w:t>
      </w:r>
    </w:p>
    <w:p w14:paraId="747229B9">
      <w:pPr>
        <w:pStyle w:val="18"/>
        <w:spacing w:line="360" w:lineRule="auto"/>
        <w:ind w:firstLine="845"/>
        <w:rPr>
          <w:rFonts w:ascii="宋体" w:hAnsi="宋体"/>
          <w:kern w:val="0"/>
          <w:highlight w:val="none"/>
        </w:rPr>
      </w:pPr>
      <w:r>
        <w:rPr>
          <w:rFonts w:hint="eastAsia" w:ascii="宋体" w:hAnsi="宋体"/>
          <w:kern w:val="0"/>
          <w:highlight w:val="none"/>
        </w:rPr>
        <w:t>1. 说明：应对照在线询价文件“项目需求”中的商务条款逐条实质性响应，并作出偏离说明。</w:t>
      </w:r>
    </w:p>
    <w:p w14:paraId="7151FB94">
      <w:pPr>
        <w:pStyle w:val="18"/>
        <w:spacing w:line="360" w:lineRule="auto"/>
        <w:ind w:firstLine="845"/>
        <w:rPr>
          <w:rFonts w:ascii="宋体" w:hAnsi="宋体"/>
          <w:kern w:val="0"/>
          <w:highlight w:val="none"/>
        </w:rPr>
      </w:pPr>
      <w:r>
        <w:rPr>
          <w:rFonts w:hint="eastAsia" w:ascii="宋体" w:hAnsi="宋体"/>
          <w:kern w:val="0"/>
          <w:highlight w:val="none"/>
        </w:rPr>
        <w:t>2.供应商应根据自身的承诺，对照在线询价文件要求在“偏离说明”中注明“正偏离”、“负偏离”或者“无偏离”。</w:t>
      </w:r>
      <w:r>
        <w:rPr>
          <w:rFonts w:hint="eastAsia" w:ascii="宋体" w:hAnsi="宋体"/>
          <w:kern w:val="0"/>
          <w:highlight w:val="none"/>
          <w:lang w:val="en-US" w:eastAsia="zh-CN"/>
        </w:rPr>
        <w:t>完全响应</w:t>
      </w:r>
      <w:r>
        <w:rPr>
          <w:rFonts w:hint="eastAsia" w:ascii="宋体" w:hAnsi="宋体"/>
          <w:kern w:val="0"/>
          <w:highlight w:val="none"/>
        </w:rPr>
        <w:t>即为“无偏离”。</w:t>
      </w:r>
      <w:bookmarkEnd w:id="1"/>
    </w:p>
    <w:p w14:paraId="0C7D7AEE">
      <w:pPr>
        <w:pStyle w:val="18"/>
        <w:spacing w:line="360" w:lineRule="auto"/>
        <w:ind w:firstLine="845"/>
        <w:rPr>
          <w:rFonts w:ascii="宋体" w:hAnsi="宋体"/>
          <w:kern w:val="0"/>
          <w:highlight w:val="none"/>
        </w:rPr>
      </w:pPr>
      <w:r>
        <w:rPr>
          <w:rFonts w:ascii="宋体" w:hAnsi="宋体"/>
          <w:kern w:val="0"/>
          <w:highlight w:val="none"/>
        </w:rPr>
        <w:t>3.</w:t>
      </w:r>
      <w:r>
        <w:rPr>
          <w:rFonts w:hint="eastAsia" w:ascii="宋体" w:hAnsi="宋体"/>
          <w:kern w:val="0"/>
          <w:highlight w:val="none"/>
        </w:rPr>
        <w:t>本表必须加盖供应商公章并由法定代表人或者委托代理人签字，</w:t>
      </w:r>
      <w:r>
        <w:rPr>
          <w:rFonts w:hint="eastAsia" w:ascii="宋体" w:hAnsi="宋体"/>
          <w:kern w:val="0"/>
          <w:highlight w:val="none"/>
          <w:lang w:val="en-US" w:eastAsia="zh-CN"/>
        </w:rPr>
        <w:t>如表格多于一页则须每一页加盖公章，</w:t>
      </w:r>
      <w:r>
        <w:rPr>
          <w:rFonts w:hint="eastAsia" w:ascii="宋体" w:hAnsi="宋体"/>
          <w:kern w:val="0"/>
          <w:highlight w:val="none"/>
        </w:rPr>
        <w:t>否则其响应文件按无效处理。</w:t>
      </w:r>
    </w:p>
    <w:p w14:paraId="3935C40A">
      <w:pPr>
        <w:pStyle w:val="18"/>
        <w:spacing w:line="360" w:lineRule="auto"/>
        <w:ind w:firstLine="845"/>
        <w:rPr>
          <w:rFonts w:ascii="宋体" w:hAnsi="宋体"/>
          <w:kern w:val="0"/>
          <w:highlight w:val="none"/>
        </w:rPr>
      </w:pPr>
      <w:r>
        <w:rPr>
          <w:rFonts w:hint="eastAsia" w:ascii="宋体" w:hAnsi="宋体"/>
          <w:kern w:val="0"/>
          <w:highlight w:val="none"/>
        </w:rPr>
        <w:t>4．本表</w:t>
      </w:r>
      <w:r>
        <w:rPr>
          <w:rFonts w:ascii="宋体" w:hAnsi="宋体"/>
          <w:kern w:val="0"/>
          <w:highlight w:val="none"/>
        </w:rPr>
        <w:t>内容</w:t>
      </w:r>
      <w:r>
        <w:rPr>
          <w:rFonts w:hint="eastAsia" w:ascii="宋体" w:hAnsi="宋体"/>
          <w:kern w:val="0"/>
          <w:highlight w:val="none"/>
        </w:rPr>
        <w:t>一经涂改，应在涂改处加盖供应商公章或者由法定代表人或者授权委托人签字或者盖章，否则其响应文件按无效处理。</w:t>
      </w:r>
    </w:p>
    <w:p w14:paraId="5C7DBD22">
      <w:pPr>
        <w:snapToGrid w:val="0"/>
        <w:spacing w:before="50" w:after="50" w:line="360" w:lineRule="auto"/>
        <w:ind w:right="-817" w:rightChars="-389"/>
        <w:rPr>
          <w:rFonts w:ascii="宋体" w:hAnsi="宋体" w:cs="仿宋_GB2312"/>
          <w:sz w:val="24"/>
          <w:highlight w:val="none"/>
        </w:rPr>
      </w:pPr>
    </w:p>
    <w:p w14:paraId="055F98F2">
      <w:pPr>
        <w:snapToGrid w:val="0"/>
        <w:spacing w:before="50" w:after="50" w:line="360" w:lineRule="auto"/>
        <w:ind w:right="-817" w:rightChars="-389"/>
        <w:jc w:val="center"/>
        <w:rPr>
          <w:rFonts w:ascii="宋体" w:hAnsi="宋体" w:cs="仿宋_GB2312"/>
          <w:sz w:val="24"/>
          <w:highlight w:val="none"/>
        </w:rPr>
      </w:pPr>
      <w:r>
        <w:rPr>
          <w:rFonts w:hint="eastAsia" w:ascii="宋体" w:hAnsi="宋体" w:cs="仿宋_GB2312"/>
          <w:sz w:val="24"/>
          <w:highlight w:val="none"/>
        </w:rPr>
        <w:t>法定代表人或者委托代理人（签字）：</w:t>
      </w:r>
    </w:p>
    <w:p w14:paraId="0CA29B9C">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 xml:space="preserve">供应商（盖公章）：      </w:t>
      </w:r>
    </w:p>
    <w:p w14:paraId="439C530B">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日期：   年   月   日</w:t>
      </w:r>
      <w:bookmarkEnd w:id="0"/>
    </w:p>
    <w:p w14:paraId="6BCB8B5F">
      <w:pPr>
        <w:adjustRightInd w:val="0"/>
        <w:snapToGrid w:val="0"/>
        <w:spacing w:line="300" w:lineRule="auto"/>
        <w:jc w:val="center"/>
        <w:rPr>
          <w:rFonts w:ascii="方正小标宋简体" w:hAnsi="方正小标宋简体" w:eastAsia="方正小标宋简体" w:cs="方正小标宋简体"/>
          <w:bCs/>
          <w:sz w:val="44"/>
          <w:szCs w:val="44"/>
          <w:highlight w:val="none"/>
        </w:rPr>
      </w:pPr>
      <w:r>
        <w:rPr>
          <w:rFonts w:ascii="宋体" w:hAnsi="宋体" w:cs="仿宋_GB2312"/>
          <w:sz w:val="24"/>
          <w:highlight w:val="none"/>
        </w:rPr>
        <w:br w:type="page"/>
      </w:r>
      <w:r>
        <w:rPr>
          <w:rFonts w:hint="eastAsia" w:ascii="方正小标宋简体" w:hAnsi="方正小标宋简体" w:eastAsia="方正小标宋简体" w:cs="方正小标宋简体"/>
          <w:bCs/>
          <w:sz w:val="44"/>
          <w:szCs w:val="44"/>
          <w:highlight w:val="none"/>
        </w:rPr>
        <w:t>技术需求偏离表</w:t>
      </w:r>
    </w:p>
    <w:p w14:paraId="5723115E">
      <w:pPr>
        <w:spacing w:line="520" w:lineRule="exact"/>
        <w:rPr>
          <w:rFonts w:ascii="仿宋_GB2312" w:hAnsi="仿宋_GB2312" w:eastAsia="仿宋_GB2312" w:cs="仿宋_GB2312"/>
          <w:sz w:val="32"/>
          <w:szCs w:val="32"/>
          <w:highlight w:val="none"/>
        </w:rPr>
      </w:pPr>
    </w:p>
    <w:p w14:paraId="3F58C979">
      <w:pPr>
        <w:spacing w:line="360" w:lineRule="auto"/>
        <w:rPr>
          <w:rFonts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14:paraId="3888BC67">
      <w:pPr>
        <w:spacing w:line="360" w:lineRule="auto"/>
        <w:rPr>
          <w:rFonts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bookmarkStart w:id="2" w:name="_Hlk55980577"/>
    </w:p>
    <w:tbl>
      <w:tblPr>
        <w:tblStyle w:val="40"/>
        <w:tblW w:w="9206" w:type="dxa"/>
        <w:tblInd w:w="0" w:type="dxa"/>
        <w:tblLayout w:type="fixed"/>
        <w:tblCellMar>
          <w:top w:w="0" w:type="dxa"/>
          <w:left w:w="108" w:type="dxa"/>
          <w:bottom w:w="0" w:type="dxa"/>
          <w:right w:w="108" w:type="dxa"/>
        </w:tblCellMar>
      </w:tblPr>
      <w:tblGrid>
        <w:gridCol w:w="524"/>
        <w:gridCol w:w="1172"/>
        <w:gridCol w:w="1339"/>
        <w:gridCol w:w="674"/>
        <w:gridCol w:w="665"/>
        <w:gridCol w:w="2738"/>
        <w:gridCol w:w="838"/>
        <w:gridCol w:w="1256"/>
      </w:tblGrid>
      <w:tr w14:paraId="3BDB2266">
        <w:tblPrEx>
          <w:tblCellMar>
            <w:top w:w="0" w:type="dxa"/>
            <w:left w:w="108" w:type="dxa"/>
            <w:bottom w:w="0" w:type="dxa"/>
            <w:right w:w="108" w:type="dxa"/>
          </w:tblCellMar>
        </w:tblPrEx>
        <w:trPr>
          <w:trHeight w:val="435"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6BBDFC6B">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序号</w:t>
            </w:r>
          </w:p>
        </w:tc>
        <w:tc>
          <w:tcPr>
            <w:tcW w:w="1172" w:type="dxa"/>
            <w:tcBorders>
              <w:top w:val="single" w:color="000000" w:sz="4" w:space="0"/>
              <w:left w:val="single" w:color="000000" w:sz="4" w:space="0"/>
              <w:bottom w:val="single" w:color="000000" w:sz="4" w:space="0"/>
              <w:right w:val="single" w:color="000000" w:sz="4" w:space="0"/>
            </w:tcBorders>
            <w:vAlign w:val="center"/>
          </w:tcPr>
          <w:p w14:paraId="19435EA5">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采购标的</w:t>
            </w:r>
          </w:p>
        </w:tc>
        <w:tc>
          <w:tcPr>
            <w:tcW w:w="1339" w:type="dxa"/>
            <w:tcBorders>
              <w:top w:val="single" w:color="000000" w:sz="4" w:space="0"/>
              <w:left w:val="single" w:color="000000" w:sz="4" w:space="0"/>
              <w:bottom w:val="single" w:color="000000" w:sz="4" w:space="0"/>
              <w:right w:val="single" w:color="000000" w:sz="4" w:space="0"/>
            </w:tcBorders>
            <w:vAlign w:val="center"/>
          </w:tcPr>
          <w:p w14:paraId="19431900">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品牌、型号规格、生产厂家</w:t>
            </w:r>
          </w:p>
        </w:tc>
        <w:tc>
          <w:tcPr>
            <w:tcW w:w="674" w:type="dxa"/>
            <w:tcBorders>
              <w:top w:val="single" w:color="000000" w:sz="4" w:space="0"/>
              <w:left w:val="single" w:color="000000" w:sz="4" w:space="0"/>
              <w:bottom w:val="single" w:color="000000" w:sz="4" w:space="0"/>
              <w:right w:val="single" w:color="000000" w:sz="4" w:space="0"/>
            </w:tcBorders>
            <w:vAlign w:val="center"/>
          </w:tcPr>
          <w:p w14:paraId="27C15FA4">
            <w:pPr>
              <w:spacing w:line="360" w:lineRule="exact"/>
              <w:jc w:val="center"/>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数量</w:t>
            </w:r>
          </w:p>
        </w:tc>
        <w:tc>
          <w:tcPr>
            <w:tcW w:w="665" w:type="dxa"/>
            <w:tcBorders>
              <w:top w:val="single" w:color="000000" w:sz="4" w:space="0"/>
              <w:left w:val="single" w:color="000000" w:sz="4" w:space="0"/>
              <w:bottom w:val="single" w:color="000000" w:sz="4" w:space="0"/>
              <w:right w:val="single" w:color="000000" w:sz="4" w:space="0"/>
            </w:tcBorders>
            <w:vAlign w:val="center"/>
          </w:tcPr>
          <w:p w14:paraId="0A28BDC4">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单位</w:t>
            </w:r>
          </w:p>
        </w:tc>
        <w:tc>
          <w:tcPr>
            <w:tcW w:w="2738" w:type="dxa"/>
            <w:tcBorders>
              <w:top w:val="single" w:color="000000" w:sz="4" w:space="0"/>
              <w:left w:val="single" w:color="000000" w:sz="4" w:space="0"/>
              <w:bottom w:val="single" w:color="000000" w:sz="4" w:space="0"/>
              <w:right w:val="single" w:color="000000" w:sz="4" w:space="0"/>
            </w:tcBorders>
            <w:vAlign w:val="center"/>
          </w:tcPr>
          <w:p w14:paraId="45A44A2B">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技术参数及性能配置、服务要求</w:t>
            </w:r>
          </w:p>
        </w:tc>
        <w:tc>
          <w:tcPr>
            <w:tcW w:w="838" w:type="dxa"/>
            <w:tcBorders>
              <w:top w:val="single" w:color="000000" w:sz="4" w:space="0"/>
              <w:left w:val="single" w:color="000000" w:sz="4" w:space="0"/>
              <w:bottom w:val="single" w:color="000000" w:sz="4" w:space="0"/>
              <w:right w:val="single" w:color="000000" w:sz="4" w:space="0"/>
            </w:tcBorders>
            <w:vAlign w:val="center"/>
          </w:tcPr>
          <w:p w14:paraId="3918681C">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质保期</w:t>
            </w:r>
          </w:p>
        </w:tc>
        <w:tc>
          <w:tcPr>
            <w:tcW w:w="1256" w:type="dxa"/>
            <w:tcBorders>
              <w:top w:val="single" w:color="000000" w:sz="4" w:space="0"/>
              <w:left w:val="single" w:color="000000" w:sz="4" w:space="0"/>
              <w:bottom w:val="single" w:color="000000" w:sz="4" w:space="0"/>
              <w:right w:val="single" w:color="000000" w:sz="4" w:space="0"/>
            </w:tcBorders>
            <w:vAlign w:val="center"/>
          </w:tcPr>
          <w:p w14:paraId="5939F537">
            <w:pPr>
              <w:spacing w:line="360" w:lineRule="exact"/>
              <w:jc w:val="center"/>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偏离说明</w:t>
            </w:r>
          </w:p>
        </w:tc>
      </w:tr>
      <w:tr w14:paraId="1FB2535F">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1D63097A">
            <w:pPr>
              <w:spacing w:line="360" w:lineRule="exact"/>
              <w:jc w:val="center"/>
              <w:rPr>
                <w:rFonts w:ascii="微软雅黑" w:hAnsi="微软雅黑" w:eastAsia="微软雅黑"/>
                <w:color w:val="000000"/>
                <w:szCs w:val="21"/>
                <w:highlight w:val="none"/>
              </w:rPr>
            </w:pPr>
            <w:r>
              <w:rPr>
                <w:rFonts w:hint="eastAsia" w:ascii="微软雅黑" w:hAnsi="微软雅黑" w:eastAsia="微软雅黑" w:cs="宋体"/>
                <w:color w:val="000000"/>
                <w:szCs w:val="21"/>
                <w:highlight w:val="none"/>
              </w:rPr>
              <w:t>1</w:t>
            </w:r>
          </w:p>
        </w:tc>
        <w:tc>
          <w:tcPr>
            <w:tcW w:w="1172" w:type="dxa"/>
            <w:tcBorders>
              <w:top w:val="single" w:color="000000" w:sz="4" w:space="0"/>
              <w:left w:val="single" w:color="000000" w:sz="4" w:space="0"/>
              <w:bottom w:val="single" w:color="000000" w:sz="4" w:space="0"/>
              <w:right w:val="single" w:color="000000" w:sz="4" w:space="0"/>
            </w:tcBorders>
            <w:vAlign w:val="center"/>
          </w:tcPr>
          <w:p w14:paraId="6CD08F99">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2655F686">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07766E5F">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80CCD24">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21AC50A3">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0371328E">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1DF5FB5C">
            <w:pPr>
              <w:snapToGrid w:val="0"/>
              <w:spacing w:line="360" w:lineRule="exact"/>
              <w:rPr>
                <w:rFonts w:ascii="微软雅黑" w:hAnsi="微软雅黑" w:eastAsia="微软雅黑" w:cs="宋体"/>
                <w:color w:val="000000"/>
                <w:szCs w:val="21"/>
                <w:highlight w:val="none"/>
              </w:rPr>
            </w:pPr>
          </w:p>
        </w:tc>
      </w:tr>
      <w:tr w14:paraId="2422C60E">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5752E7C3">
            <w:pPr>
              <w:spacing w:line="360" w:lineRule="exact"/>
              <w:jc w:val="center"/>
              <w:rPr>
                <w:rFonts w:hint="eastAsia" w:ascii="微软雅黑" w:hAnsi="微软雅黑" w:eastAsia="微软雅黑" w:cs="宋体"/>
                <w:color w:val="000000"/>
                <w:szCs w:val="21"/>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0EF65791">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5CC6F8A1">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42C1CF6C">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8B58658">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6E6BA2DA">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41CBC73B">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075C91D">
            <w:pPr>
              <w:snapToGrid w:val="0"/>
              <w:spacing w:line="360" w:lineRule="exact"/>
              <w:rPr>
                <w:rFonts w:ascii="微软雅黑" w:hAnsi="微软雅黑" w:eastAsia="微软雅黑" w:cs="宋体"/>
                <w:color w:val="000000"/>
                <w:szCs w:val="21"/>
                <w:highlight w:val="none"/>
              </w:rPr>
            </w:pPr>
          </w:p>
        </w:tc>
      </w:tr>
      <w:tr w14:paraId="097AAA07">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307AFE62">
            <w:pPr>
              <w:spacing w:line="360" w:lineRule="exact"/>
              <w:jc w:val="center"/>
              <w:rPr>
                <w:rFonts w:hint="eastAsia" w:ascii="微软雅黑" w:hAnsi="微软雅黑" w:eastAsia="微软雅黑" w:cs="宋体"/>
                <w:color w:val="000000"/>
                <w:szCs w:val="21"/>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20F8E678">
            <w:pPr>
              <w:snapToGrid w:val="0"/>
              <w:spacing w:line="360" w:lineRule="exact"/>
              <w:rPr>
                <w:rFonts w:ascii="微软雅黑" w:hAnsi="微软雅黑" w:eastAsia="微软雅黑" w:cs="宋体"/>
                <w:color w:val="000000"/>
                <w:szCs w:val="21"/>
                <w:highlight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5AD7A1DC">
            <w:pPr>
              <w:snapToGrid w:val="0"/>
              <w:spacing w:line="360" w:lineRule="exact"/>
              <w:rPr>
                <w:rFonts w:ascii="微软雅黑" w:hAnsi="微软雅黑" w:eastAsia="微软雅黑" w:cs="宋体"/>
                <w:color w:val="000000"/>
                <w:szCs w:val="21"/>
                <w:highlight w:val="none"/>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41E7890C">
            <w:pPr>
              <w:snapToGrid w:val="0"/>
              <w:spacing w:line="360" w:lineRule="exact"/>
              <w:rPr>
                <w:rFonts w:ascii="微软雅黑" w:hAnsi="微软雅黑" w:eastAsia="微软雅黑" w:cs="宋体"/>
                <w:color w:val="000000"/>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0318872">
            <w:pPr>
              <w:snapToGrid w:val="0"/>
              <w:spacing w:line="360" w:lineRule="exact"/>
              <w:rPr>
                <w:rFonts w:ascii="微软雅黑" w:hAnsi="微软雅黑" w:eastAsia="微软雅黑" w:cs="宋体"/>
                <w:color w:val="000000"/>
                <w:szCs w:val="21"/>
                <w:highlight w:val="none"/>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5953F715">
            <w:pPr>
              <w:snapToGrid w:val="0"/>
              <w:spacing w:line="360" w:lineRule="exact"/>
              <w:rPr>
                <w:rFonts w:ascii="微软雅黑" w:hAnsi="微软雅黑" w:eastAsia="微软雅黑" w:cs="宋体"/>
                <w:color w:val="000000"/>
                <w:szCs w:val="21"/>
                <w:highlight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51D73290">
            <w:pPr>
              <w:snapToGrid w:val="0"/>
              <w:spacing w:line="360" w:lineRule="exact"/>
              <w:rPr>
                <w:rFonts w:ascii="微软雅黑" w:hAnsi="微软雅黑" w:eastAsia="微软雅黑" w:cs="宋体"/>
                <w:color w:val="000000"/>
                <w:szCs w:val="21"/>
                <w:highlight w:val="none"/>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3E15C7E">
            <w:pPr>
              <w:snapToGrid w:val="0"/>
              <w:spacing w:line="360" w:lineRule="exact"/>
              <w:rPr>
                <w:rFonts w:ascii="微软雅黑" w:hAnsi="微软雅黑" w:eastAsia="微软雅黑" w:cs="宋体"/>
                <w:color w:val="000000"/>
                <w:szCs w:val="21"/>
                <w:highlight w:val="none"/>
              </w:rPr>
            </w:pPr>
          </w:p>
        </w:tc>
      </w:tr>
      <w:tr w14:paraId="30BD27D7">
        <w:tblPrEx>
          <w:tblCellMar>
            <w:top w:w="0" w:type="dxa"/>
            <w:left w:w="108" w:type="dxa"/>
            <w:bottom w:w="0" w:type="dxa"/>
            <w:right w:w="108" w:type="dxa"/>
          </w:tblCellMar>
        </w:tblPrEx>
        <w:trPr>
          <w:trHeight w:val="419" w:hRule="atLeast"/>
        </w:trPr>
        <w:tc>
          <w:tcPr>
            <w:tcW w:w="9206" w:type="dxa"/>
            <w:gridSpan w:val="8"/>
            <w:tcBorders>
              <w:top w:val="single" w:color="000000" w:sz="4" w:space="0"/>
              <w:left w:val="single" w:color="000000" w:sz="4" w:space="0"/>
              <w:bottom w:val="single" w:color="000000" w:sz="4" w:space="0"/>
              <w:right w:val="single" w:color="000000" w:sz="4" w:space="0"/>
            </w:tcBorders>
            <w:vAlign w:val="center"/>
          </w:tcPr>
          <w:p w14:paraId="34BAF5AD">
            <w:pPr>
              <w:spacing w:line="360" w:lineRule="exact"/>
              <w:rPr>
                <w:rFonts w:ascii="微软雅黑" w:hAnsi="微软雅黑" w:eastAsia="微软雅黑" w:cs="宋体"/>
                <w:color w:val="000000"/>
                <w:szCs w:val="21"/>
                <w:highlight w:val="none"/>
              </w:rPr>
            </w:pPr>
            <w:r>
              <w:rPr>
                <w:rFonts w:hint="eastAsia" w:ascii="微软雅黑" w:hAnsi="微软雅黑" w:eastAsia="微软雅黑" w:cs="宋体"/>
                <w:color w:val="000000"/>
                <w:szCs w:val="21"/>
                <w:highlight w:val="none"/>
              </w:rPr>
              <w:t>交货期：</w:t>
            </w:r>
          </w:p>
        </w:tc>
      </w:tr>
    </w:tbl>
    <w:p w14:paraId="656A82FC">
      <w:pPr>
        <w:pStyle w:val="19"/>
        <w:spacing w:line="360" w:lineRule="auto"/>
        <w:ind w:firstLine="0" w:firstLineChars="0"/>
        <w:rPr>
          <w:rFonts w:ascii="宋体" w:hAnsi="宋体" w:eastAsia="宋体" w:cs="仿宋_GB2312"/>
          <w:sz w:val="24"/>
          <w:szCs w:val="24"/>
          <w:highlight w:val="none"/>
        </w:rPr>
      </w:pPr>
    </w:p>
    <w:p w14:paraId="7F2FAEA9">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注：</w:t>
      </w:r>
    </w:p>
    <w:p w14:paraId="78E7AC43">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1.说明：应对照在线</w:t>
      </w:r>
      <w:r>
        <w:rPr>
          <w:rFonts w:ascii="宋体" w:hAnsi="宋体" w:eastAsia="宋体" w:cs="仿宋_GB2312"/>
          <w:sz w:val="24"/>
          <w:szCs w:val="24"/>
          <w:highlight w:val="none"/>
        </w:rPr>
        <w:t>询价</w:t>
      </w:r>
      <w:r>
        <w:rPr>
          <w:rFonts w:hint="eastAsia" w:ascii="宋体" w:hAnsi="宋体" w:eastAsia="宋体" w:cs="仿宋_GB2312"/>
          <w:sz w:val="24"/>
          <w:szCs w:val="24"/>
          <w:highlight w:val="none"/>
        </w:rPr>
        <w:t>文件“项目需求”中的技术需求逐条实质性响应，并作出偏离说明。</w:t>
      </w:r>
    </w:p>
    <w:p w14:paraId="681774B8">
      <w:pPr>
        <w:pStyle w:val="19"/>
        <w:spacing w:line="360" w:lineRule="auto"/>
        <w:ind w:left="420" w:firstLine="0" w:firstLineChars="0"/>
        <w:rPr>
          <w:rFonts w:ascii="宋体" w:hAnsi="宋体" w:eastAsia="宋体" w:cs="仿宋_GB2312"/>
          <w:sz w:val="24"/>
          <w:szCs w:val="24"/>
          <w:highlight w:val="none"/>
        </w:rPr>
      </w:pPr>
      <w:r>
        <w:rPr>
          <w:rFonts w:hint="eastAsia" w:ascii="宋体" w:hAnsi="宋体" w:eastAsia="宋体" w:cs="仿宋_GB2312"/>
          <w:sz w:val="24"/>
          <w:szCs w:val="24"/>
          <w:highlight w:val="none"/>
        </w:rPr>
        <w:t>2.表中的“采购标的”、“数量”、“单位”、“技术参数及性能配置、服务要求”、“质保期”、“单价”、“单项合价”列必须填写，“技术参数及性能配置、服务要求”如果篇幅过大可用附件说明；货物类标的“品牌、型号规格、生产厂家”列必须填写，定制产品可写“定制”，填写有缺漏的，其响应文件作无效处理。</w:t>
      </w:r>
    </w:p>
    <w:p w14:paraId="3800E7B2">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3.</w:t>
      </w:r>
      <w:r>
        <w:rPr>
          <w:rFonts w:hint="eastAsia" w:ascii="宋体" w:hAnsi="宋体" w:eastAsia="宋体" w:cs="仿宋_GB2312"/>
          <w:sz w:val="24"/>
          <w:szCs w:val="24"/>
          <w:highlight w:val="none"/>
        </w:rPr>
        <w:t>供应商应根据竞标设备的性能指标，对照在线询价文件要求，在“偏离说明”中注明“正偏离”、“负偏离”或者“无偏离”。</w:t>
      </w:r>
      <w:r>
        <w:rPr>
          <w:rFonts w:hint="eastAsia" w:ascii="宋体" w:hAnsi="宋体" w:eastAsia="宋体" w:cs="仿宋_GB2312"/>
          <w:sz w:val="24"/>
          <w:szCs w:val="24"/>
          <w:highlight w:val="none"/>
          <w:lang w:val="en-US" w:eastAsia="zh-CN"/>
        </w:rPr>
        <w:t>完全响应</w:t>
      </w:r>
      <w:r>
        <w:rPr>
          <w:rFonts w:hint="eastAsia" w:ascii="宋体" w:hAnsi="宋体" w:eastAsia="宋体" w:cs="仿宋_GB2312"/>
          <w:sz w:val="24"/>
          <w:szCs w:val="24"/>
          <w:highlight w:val="none"/>
        </w:rPr>
        <w:t>即为“无偏离”。</w:t>
      </w:r>
      <w:bookmarkEnd w:id="2"/>
    </w:p>
    <w:p w14:paraId="3B82AEA6">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4.</w:t>
      </w:r>
      <w:r>
        <w:rPr>
          <w:rFonts w:hint="eastAsia" w:ascii="宋体" w:hAnsi="宋体" w:eastAsia="宋体" w:cs="仿宋_GB2312"/>
          <w:sz w:val="24"/>
          <w:szCs w:val="24"/>
          <w:highlight w:val="none"/>
        </w:rPr>
        <w:t>.本表必须加盖供应商公章并由法定代表人或者委托代理人签字，</w:t>
      </w:r>
      <w:r>
        <w:rPr>
          <w:rFonts w:hint="eastAsia" w:ascii="宋体" w:hAnsi="宋体" w:eastAsia="宋体" w:cs="仿宋_GB2312"/>
          <w:sz w:val="24"/>
          <w:szCs w:val="24"/>
          <w:highlight w:val="none"/>
          <w:lang w:val="en-US" w:eastAsia="zh-CN"/>
        </w:rPr>
        <w:t>如表格多于一页则须每一页加盖公章，</w:t>
      </w:r>
      <w:r>
        <w:rPr>
          <w:rFonts w:hint="eastAsia" w:ascii="宋体" w:hAnsi="宋体" w:eastAsia="宋体" w:cs="仿宋_GB2312"/>
          <w:sz w:val="24"/>
          <w:szCs w:val="24"/>
          <w:highlight w:val="none"/>
        </w:rPr>
        <w:t>否则其响应文件按无效处理。</w:t>
      </w:r>
    </w:p>
    <w:p w14:paraId="5B952296">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5</w:t>
      </w:r>
      <w:r>
        <w:rPr>
          <w:rFonts w:hint="eastAsia" w:ascii="宋体" w:hAnsi="宋体" w:eastAsia="宋体" w:cs="仿宋_GB2312"/>
          <w:sz w:val="24"/>
          <w:szCs w:val="24"/>
          <w:highlight w:val="none"/>
        </w:rPr>
        <w:t>．本表内容一经涂改，应在涂改处加盖供应</w:t>
      </w:r>
      <w:bookmarkStart w:id="3" w:name="_GoBack"/>
      <w:bookmarkEnd w:id="3"/>
      <w:r>
        <w:rPr>
          <w:rFonts w:hint="eastAsia" w:ascii="宋体" w:hAnsi="宋体" w:eastAsia="宋体" w:cs="仿宋_GB2312"/>
          <w:sz w:val="24"/>
          <w:szCs w:val="24"/>
          <w:highlight w:val="none"/>
        </w:rPr>
        <w:t>商公章或者由法定代表人或者授权委托人签字或者盖章，否则其响应文件按无效处理。</w:t>
      </w:r>
    </w:p>
    <w:p w14:paraId="085A475E">
      <w:pPr>
        <w:pStyle w:val="19"/>
        <w:spacing w:line="360" w:lineRule="auto"/>
        <w:ind w:left="420" w:firstLine="0" w:firstLineChars="0"/>
        <w:rPr>
          <w:rFonts w:ascii="宋体" w:hAnsi="宋体" w:eastAsia="宋体" w:cs="仿宋_GB2312"/>
          <w:sz w:val="24"/>
          <w:szCs w:val="24"/>
          <w:highlight w:val="none"/>
        </w:rPr>
      </w:pPr>
      <w:r>
        <w:rPr>
          <w:rFonts w:ascii="宋体" w:hAnsi="宋体" w:eastAsia="宋体" w:cs="仿宋_GB2312"/>
          <w:sz w:val="24"/>
          <w:szCs w:val="24"/>
          <w:highlight w:val="none"/>
        </w:rPr>
        <w:t>6</w:t>
      </w:r>
      <w:r>
        <w:rPr>
          <w:rFonts w:hint="eastAsia" w:ascii="宋体" w:hAnsi="宋体" w:eastAsia="宋体" w:cs="仿宋_GB2312"/>
          <w:sz w:val="24"/>
          <w:szCs w:val="24"/>
          <w:highlight w:val="none"/>
        </w:rPr>
        <w:t>．在线询价文件中列明采购专用耗材的，应按询价文件规定的耗材量或者按耗材的常规试用量提供报价。</w:t>
      </w:r>
    </w:p>
    <w:p w14:paraId="58B94FDD">
      <w:pPr>
        <w:snapToGrid w:val="0"/>
        <w:spacing w:before="50" w:after="50" w:line="360" w:lineRule="auto"/>
        <w:ind w:right="-817" w:rightChars="-389"/>
        <w:jc w:val="center"/>
        <w:rPr>
          <w:rFonts w:ascii="宋体" w:hAnsi="宋体" w:cs="仿宋_GB2312"/>
          <w:sz w:val="24"/>
          <w:highlight w:val="none"/>
        </w:rPr>
      </w:pPr>
      <w:r>
        <w:rPr>
          <w:rFonts w:hint="eastAsia" w:ascii="宋体" w:hAnsi="宋体" w:cs="仿宋_GB2312"/>
          <w:sz w:val="24"/>
          <w:highlight w:val="none"/>
        </w:rPr>
        <w:t>法定代表人或者委托代理人（签字）：</w:t>
      </w:r>
    </w:p>
    <w:p w14:paraId="6066483E">
      <w:pPr>
        <w:snapToGrid w:val="0"/>
        <w:spacing w:before="50" w:after="50" w:line="360" w:lineRule="auto"/>
        <w:ind w:right="-817" w:rightChars="-389" w:firstLine="2880" w:firstLineChars="1200"/>
        <w:rPr>
          <w:rFonts w:ascii="宋体" w:hAnsi="宋体" w:cs="仿宋_GB2312"/>
          <w:sz w:val="24"/>
          <w:highlight w:val="none"/>
        </w:rPr>
      </w:pPr>
      <w:r>
        <w:rPr>
          <w:rFonts w:hint="eastAsia" w:ascii="宋体" w:hAnsi="宋体" w:cs="仿宋_GB2312"/>
          <w:sz w:val="24"/>
          <w:highlight w:val="none"/>
        </w:rPr>
        <w:t xml:space="preserve">供应商（盖公章）：      </w:t>
      </w:r>
    </w:p>
    <w:p w14:paraId="7E19D56A">
      <w:pPr>
        <w:adjustRightInd w:val="0"/>
        <w:snapToGrid w:val="0"/>
        <w:spacing w:line="520" w:lineRule="exact"/>
        <w:jc w:val="center"/>
        <w:rPr>
          <w:rFonts w:ascii="宋体" w:hAnsi="宋体" w:cs="仿宋_GB2312"/>
          <w:sz w:val="24"/>
          <w:highlight w:val="none"/>
        </w:rPr>
      </w:pPr>
      <w:r>
        <w:rPr>
          <w:rFonts w:hint="eastAsia" w:ascii="宋体" w:hAnsi="宋体" w:cs="仿宋_GB2312"/>
          <w:sz w:val="24"/>
          <w:highlight w:val="none"/>
        </w:rPr>
        <w:t>日期：   年   月   日</w:t>
      </w:r>
      <w:r>
        <w:rPr>
          <w:rFonts w:ascii="方正小标宋简体" w:hAnsi="方正小标宋简体" w:eastAsia="方正小标宋简体" w:cs="方正小标宋简体"/>
          <w:bCs/>
          <w:sz w:val="44"/>
          <w:szCs w:val="44"/>
          <w:highlight w:val="none"/>
        </w:rPr>
        <w:br w:type="page"/>
      </w:r>
    </w:p>
    <w:p w14:paraId="0EFEFEDE">
      <w:pPr>
        <w:spacing w:line="360" w:lineRule="auto"/>
        <w:jc w:val="center"/>
        <w:rPr>
          <w:rFonts w:ascii="微软雅黑" w:hAnsi="微软雅黑" w:eastAsia="微软雅黑" w:cs="方正小标宋简体"/>
          <w:bCs/>
          <w:color w:val="000000"/>
          <w:sz w:val="44"/>
          <w:szCs w:val="44"/>
          <w:highlight w:val="none"/>
        </w:rPr>
      </w:pPr>
      <w:r>
        <w:rPr>
          <w:rFonts w:hint="eastAsia" w:ascii="微软雅黑" w:hAnsi="微软雅黑" w:eastAsia="微软雅黑" w:cs="方正小标宋简体"/>
          <w:bCs/>
          <w:color w:val="000000"/>
          <w:sz w:val="44"/>
          <w:szCs w:val="44"/>
          <w:highlight w:val="none"/>
        </w:rPr>
        <w:t>营 业 执 照</w:t>
      </w:r>
    </w:p>
    <w:p w14:paraId="3524AD13">
      <w:pPr>
        <w:pStyle w:val="2"/>
        <w:rPr>
          <w:highlight w:val="none"/>
        </w:rPr>
      </w:pPr>
      <w:r>
        <w:rPr>
          <w:rFonts w:hint="eastAsia" w:hAnsi="宋体" w:cs="Arial"/>
          <w:highlight w:val="none"/>
        </w:rPr>
        <w:t>（有效的营业执照正本或副本扫描件，如营业执照不是三证合一或五证合一的还需提供有效的组织机构代码证副本、税务登记证扫描件，加盖单位公章）</w:t>
      </w:r>
    </w:p>
    <w:p w14:paraId="1F58C4C8">
      <w:pPr>
        <w:rPr>
          <w:rFonts w:ascii="微软雅黑" w:hAnsi="微软雅黑" w:eastAsia="微软雅黑" w:cs="方正小标宋简体"/>
          <w:color w:val="000000"/>
          <w:sz w:val="44"/>
          <w:szCs w:val="44"/>
          <w:highlight w:val="none"/>
        </w:rPr>
      </w:pPr>
      <w:r>
        <w:rPr>
          <w:rFonts w:hint="eastAsia" w:ascii="微软雅黑" w:hAnsi="微软雅黑" w:eastAsia="微软雅黑" w:cs="方正小标宋简体"/>
          <w:color w:val="000000"/>
          <w:sz w:val="44"/>
          <w:szCs w:val="44"/>
          <w:highlight w:val="none"/>
        </w:rPr>
        <w:br w:type="page"/>
      </w:r>
    </w:p>
    <w:p w14:paraId="7E729F28">
      <w:pPr>
        <w:spacing w:before="240" w:beforeLines="100" w:after="120" w:afterLines="50" w:line="520" w:lineRule="exact"/>
        <w:ind w:left="540"/>
        <w:jc w:val="center"/>
        <w:rPr>
          <w:rFonts w:ascii="宋体" w:hAnsi="宋体" w:cs="宋体"/>
          <w:color w:val="000000"/>
          <w:sz w:val="32"/>
          <w:szCs w:val="32"/>
          <w:highlight w:val="none"/>
        </w:rPr>
      </w:pPr>
      <w:r>
        <w:rPr>
          <w:rFonts w:hint="eastAsia" w:ascii="宋体" w:hAnsi="宋体" w:cs="宋体"/>
          <w:bCs/>
          <w:color w:val="000000"/>
          <w:sz w:val="44"/>
          <w:szCs w:val="44"/>
          <w:highlight w:val="none"/>
        </w:rPr>
        <w:t>法定代表人证明书（必须</w:t>
      </w:r>
      <w:r>
        <w:rPr>
          <w:rFonts w:ascii="宋体" w:hAnsi="宋体" w:cs="宋体"/>
          <w:bCs/>
          <w:color w:val="000000"/>
          <w:sz w:val="44"/>
          <w:szCs w:val="44"/>
          <w:highlight w:val="none"/>
        </w:rPr>
        <w:t>提供</w:t>
      </w:r>
      <w:r>
        <w:rPr>
          <w:rFonts w:hint="eastAsia" w:ascii="宋体" w:hAnsi="宋体" w:cs="宋体"/>
          <w:bCs/>
          <w:color w:val="000000"/>
          <w:sz w:val="44"/>
          <w:szCs w:val="44"/>
          <w:highlight w:val="none"/>
        </w:rPr>
        <w:t>）</w:t>
      </w:r>
    </w:p>
    <w:p w14:paraId="2B6AF32C">
      <w:pPr>
        <w:spacing w:line="520" w:lineRule="exact"/>
        <w:ind w:left="540"/>
        <w:rPr>
          <w:rFonts w:ascii="宋体" w:hAnsi="宋体" w:cs="宋体"/>
          <w:color w:val="000000"/>
          <w:sz w:val="32"/>
          <w:szCs w:val="32"/>
          <w:highlight w:val="none"/>
        </w:rPr>
      </w:pPr>
    </w:p>
    <w:p w14:paraId="521C0E4F">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供应商名称：</w:t>
      </w:r>
      <w:r>
        <w:rPr>
          <w:rFonts w:hint="eastAsia" w:ascii="宋体" w:hAnsi="宋体" w:cs="宋体"/>
          <w:color w:val="000000"/>
          <w:sz w:val="24"/>
          <w:highlight w:val="none"/>
          <w:u w:val="single"/>
        </w:rPr>
        <w:t xml:space="preserve">                                                        </w:t>
      </w:r>
    </w:p>
    <w:p w14:paraId="03F7ED5F">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14:paraId="1C700056">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姓    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      别：</w:t>
      </w:r>
      <w:r>
        <w:rPr>
          <w:rFonts w:hint="eastAsia" w:ascii="宋体" w:hAnsi="宋体" w:cs="宋体"/>
          <w:color w:val="000000"/>
          <w:sz w:val="24"/>
          <w:highlight w:val="none"/>
          <w:u w:val="single"/>
        </w:rPr>
        <w:t xml:space="preserve">                </w:t>
      </w:r>
    </w:p>
    <w:p w14:paraId="12EF9D88">
      <w:pPr>
        <w:spacing w:line="360" w:lineRule="auto"/>
        <w:ind w:left="540"/>
        <w:rPr>
          <w:rFonts w:ascii="宋体" w:hAnsi="宋体" w:cs="宋体"/>
          <w:color w:val="000000"/>
          <w:sz w:val="24"/>
          <w:highlight w:val="none"/>
          <w:u w:val="single"/>
        </w:rPr>
      </w:pPr>
      <w:r>
        <w:rPr>
          <w:rFonts w:hint="eastAsia" w:ascii="宋体" w:hAnsi="宋体" w:cs="宋体"/>
          <w:color w:val="000000"/>
          <w:sz w:val="24"/>
          <w:highlight w:val="none"/>
        </w:rPr>
        <w:t>年    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14:paraId="64CBCDA1">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02B38058">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（供应商名称）   </w:t>
      </w:r>
      <w:r>
        <w:rPr>
          <w:rFonts w:hint="eastAsia" w:ascii="宋体" w:hAnsi="宋体" w:cs="宋体"/>
          <w:color w:val="000000"/>
          <w:sz w:val="24"/>
          <w:highlight w:val="none"/>
        </w:rPr>
        <w:t>的法定代表人，参加“</w:t>
      </w:r>
      <w:r>
        <w:rPr>
          <w:rFonts w:hint="eastAsia" w:ascii="宋体" w:hAnsi="宋体" w:cs="宋体"/>
          <w:color w:val="000000"/>
          <w:sz w:val="24"/>
          <w:highlight w:val="none"/>
          <w:u w:val="single"/>
        </w:rPr>
        <w:t xml:space="preserve">       （项目名称）              </w:t>
      </w:r>
      <w:r>
        <w:rPr>
          <w:rFonts w:hint="eastAsia" w:ascii="宋体" w:hAnsi="宋体" w:cs="宋体"/>
          <w:color w:val="000000"/>
          <w:sz w:val="24"/>
          <w:highlight w:val="none"/>
        </w:rPr>
        <w:t>”项目采购活动。</w:t>
      </w:r>
    </w:p>
    <w:p w14:paraId="3CA557C4">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特此证明。</w:t>
      </w:r>
    </w:p>
    <w:p w14:paraId="7360FB61">
      <w:pPr>
        <w:spacing w:line="360" w:lineRule="auto"/>
        <w:rPr>
          <w:rFonts w:ascii="宋体" w:hAnsi="宋体" w:cs="宋体"/>
          <w:color w:val="000000"/>
          <w:sz w:val="24"/>
          <w:highlight w:val="none"/>
        </w:rPr>
      </w:pPr>
    </w:p>
    <w:p w14:paraId="2485DC85">
      <w:pPr>
        <w:spacing w:line="360" w:lineRule="auto"/>
        <w:ind w:left="540"/>
        <w:rPr>
          <w:rFonts w:ascii="宋体" w:hAnsi="宋体" w:cs="宋体"/>
          <w:color w:val="000000"/>
          <w:sz w:val="24"/>
          <w:highlight w:val="none"/>
        </w:rPr>
      </w:pPr>
      <w:r>
        <w:rPr>
          <w:rFonts w:hint="eastAsia" w:ascii="宋体" w:hAnsi="宋体" w:cs="宋体"/>
          <w:color w:val="000000"/>
          <w:sz w:val="24"/>
          <w:highlight w:val="none"/>
        </w:rPr>
        <w:t>附件：法定代表人有效身份证正反面复印件</w:t>
      </w:r>
    </w:p>
    <w:p w14:paraId="0D5341B3">
      <w:pPr>
        <w:pStyle w:val="3"/>
        <w:rPr>
          <w:rFonts w:ascii="宋体" w:hAnsi="宋体" w:cs="宋体"/>
          <w:highlight w:val="none"/>
        </w:rPr>
      </w:pPr>
      <w:r>
        <w:rPr>
          <w:rFonts w:hint="eastAsia"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2708275</wp:posOffset>
                </wp:positionH>
                <wp:positionV relativeFrom="paragraph">
                  <wp:posOffset>230505</wp:posOffset>
                </wp:positionV>
                <wp:extent cx="3081020" cy="1943735"/>
                <wp:effectExtent l="0" t="0" r="24130" b="18415"/>
                <wp:wrapNone/>
                <wp:docPr id="3" name="矩形 3"/>
                <wp:cNvGraphicFramePr/>
                <a:graphic xmlns:a="http://schemas.openxmlformats.org/drawingml/2006/main">
                  <a:graphicData uri="http://schemas.microsoft.com/office/word/2010/wordprocessingShape">
                    <wps:wsp>
                      <wps:cNvSpPr/>
                      <wps:spPr>
                        <a:xfrm>
                          <a:off x="0" y="0"/>
                          <a:ext cx="3081020" cy="1943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5DFDE5">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49C9F61F">
                            <w:pPr>
                              <w:pStyle w:val="2"/>
                              <w:jc w:val="center"/>
                            </w:pPr>
                            <w:r>
                              <w:rPr>
                                <w:rFonts w:hint="eastAsia"/>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25pt;margin-top:18.15pt;height:153.05pt;width:242.6pt;z-index:251661312;v-text-anchor:middle;mso-width-relative:page;mso-height-relative:page;" fillcolor="#FFFFFF [3201]" filled="t" stroked="t" coordsize="21600,21600" o:gfxdata="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93JE2AAAAAoBAAAPAAAAAAAAAAEAIAAAACIAAABkcnMv&#10;ZG93bnJldi54bWxQSwECFAAUAAAACACHTuJA+hqEAHUCAAAABQAADgAAAAAAAAABACAAAAAnAQAA&#10;ZHJzL2Uyb0RvYy54bWxQSwUGAAAAAAYABgBZAQAADgYAAAAA&#10;">
                <v:fill on="t" focussize="0,0"/>
                <v:stroke weight="1pt" color="#000000 [3213]" miterlimit="8" joinstyle="miter"/>
                <v:imagedata o:title=""/>
                <o:lock v:ext="edit" aspectratio="f"/>
                <v:textbox>
                  <w:txbxContent>
                    <w:p w14:paraId="115DFDE5">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49C9F61F">
                      <w:pPr>
                        <w:pStyle w:val="2"/>
                        <w:jc w:val="center"/>
                      </w:pPr>
                      <w:r>
                        <w:rPr>
                          <w:rFonts w:hint="eastAsia"/>
                        </w:rPr>
                        <w:t>（国徽）</w:t>
                      </w:r>
                    </w:p>
                  </w:txbxContent>
                </v:textbox>
              </v:rect>
            </w:pict>
          </mc:Fallback>
        </mc:AlternateContent>
      </w: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230505</wp:posOffset>
                </wp:positionV>
                <wp:extent cx="3081655" cy="1943735"/>
                <wp:effectExtent l="0" t="0" r="24130" b="18415"/>
                <wp:wrapNone/>
                <wp:docPr id="4" name="矩形 4"/>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5D7199">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1E5FD6B1">
                            <w:pPr>
                              <w:pStyle w:val="2"/>
                              <w:jc w:val="center"/>
                            </w:pPr>
                            <w:r>
                              <w:rPr>
                                <w:rFonts w:hint="eastAsia"/>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18.15pt;height:153.05pt;width:242.65pt;z-index:251662336;v-text-anchor:middle;mso-width-relative:page;mso-height-relative:page;" fillcolor="#FFFFFF [3201]" filled="t" stroked="t" coordsize="21600,21600" o:gfxdata="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VJ8rXAAAACgEAAA8AAAAAAAAAAQAgAAAAIgAAAGRycy9k&#10;b3ducmV2LnhtbFBLAQIUABQAAAAIAIdO4kC5XLX8dQIAAAAFAAAOAAAAAAAAAAEAIAAAACYBAABk&#10;cnMvZTJvRG9jLnhtbFBLBQYAAAAABgAGAFkBAAANBgAAAAA=&#10;">
                <v:fill on="t" focussize="0,0"/>
                <v:stroke weight="1pt" color="#000000 [3213]" miterlimit="8" joinstyle="miter"/>
                <v:imagedata o:title=""/>
                <o:lock v:ext="edit" aspectratio="f"/>
                <v:textbox>
                  <w:txbxContent>
                    <w:p w14:paraId="4A5D7199">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1E5FD6B1">
                      <w:pPr>
                        <w:pStyle w:val="2"/>
                        <w:jc w:val="center"/>
                      </w:pPr>
                      <w:r>
                        <w:rPr>
                          <w:rFonts w:hint="eastAsia"/>
                        </w:rPr>
                        <w:t>（人像）</w:t>
                      </w:r>
                    </w:p>
                  </w:txbxContent>
                </v:textbox>
              </v:rect>
            </w:pict>
          </mc:Fallback>
        </mc:AlternateContent>
      </w:r>
    </w:p>
    <w:p w14:paraId="1A160315">
      <w:pPr>
        <w:rPr>
          <w:rFonts w:ascii="宋体" w:hAnsi="宋体" w:cs="宋体"/>
          <w:highlight w:val="none"/>
        </w:rPr>
      </w:pPr>
    </w:p>
    <w:p w14:paraId="70EA851A">
      <w:pPr>
        <w:pStyle w:val="3"/>
        <w:rPr>
          <w:rFonts w:ascii="宋体" w:hAnsi="宋体" w:cs="宋体"/>
          <w:highlight w:val="none"/>
        </w:rPr>
      </w:pPr>
    </w:p>
    <w:p w14:paraId="40FB3238">
      <w:pPr>
        <w:rPr>
          <w:rFonts w:ascii="宋体" w:hAnsi="宋体" w:cs="宋体"/>
          <w:highlight w:val="none"/>
        </w:rPr>
      </w:pPr>
    </w:p>
    <w:p w14:paraId="5E45B359">
      <w:pPr>
        <w:spacing w:line="360" w:lineRule="auto"/>
        <w:ind w:left="540"/>
        <w:rPr>
          <w:rFonts w:ascii="宋体" w:hAnsi="宋体" w:cs="宋体"/>
          <w:color w:val="000000"/>
          <w:sz w:val="24"/>
          <w:highlight w:val="none"/>
        </w:rPr>
      </w:pPr>
    </w:p>
    <w:p w14:paraId="32E2E6FF">
      <w:pPr>
        <w:spacing w:line="360" w:lineRule="auto"/>
        <w:ind w:right="480" w:firstLine="3720" w:firstLineChars="1550"/>
        <w:rPr>
          <w:rFonts w:ascii="宋体" w:hAnsi="宋体" w:cs="宋体"/>
          <w:color w:val="000000"/>
          <w:sz w:val="24"/>
          <w:highlight w:val="none"/>
          <w:u w:val="single"/>
        </w:rPr>
      </w:pPr>
      <w:r>
        <w:rPr>
          <w:rFonts w:hint="eastAsia" w:ascii="宋体" w:hAnsi="宋体" w:cs="宋体"/>
          <w:color w:val="000000"/>
          <w:sz w:val="24"/>
          <w:highlight w:val="none"/>
        </w:rPr>
        <w:t>供应商（盖公章）：</w:t>
      </w:r>
      <w:r>
        <w:rPr>
          <w:rFonts w:hint="eastAsia" w:ascii="宋体" w:hAnsi="宋体" w:cs="宋体"/>
          <w:color w:val="000000"/>
          <w:sz w:val="24"/>
          <w:highlight w:val="none"/>
          <w:u w:val="single"/>
        </w:rPr>
        <w:t xml:space="preserve">               </w:t>
      </w:r>
    </w:p>
    <w:p w14:paraId="078BE5D1">
      <w:pPr>
        <w:spacing w:line="360" w:lineRule="auto"/>
        <w:ind w:right="480" w:firstLine="3720" w:firstLineChars="1550"/>
        <w:rPr>
          <w:rFonts w:ascii="宋体" w:hAnsi="宋体" w:cs="宋体"/>
          <w:color w:val="000000"/>
          <w:sz w:val="24"/>
          <w:highlight w:val="none"/>
          <w:u w:val="single"/>
        </w:rPr>
      </w:pPr>
      <w:r>
        <w:rPr>
          <w:rFonts w:hint="eastAsia" w:ascii="宋体" w:hAnsi="宋体" w:cs="宋体"/>
          <w:color w:val="000000"/>
          <w:sz w:val="24"/>
          <w:highlight w:val="none"/>
        </w:rPr>
        <w:t>联系电话：</w:t>
      </w:r>
      <w:r>
        <w:rPr>
          <w:rFonts w:hint="eastAsia" w:ascii="宋体" w:hAnsi="宋体" w:cs="宋体"/>
          <w:color w:val="000000"/>
          <w:sz w:val="24"/>
          <w:highlight w:val="none"/>
          <w:u w:val="single"/>
        </w:rPr>
        <w:t xml:space="preserve">                     </w:t>
      </w:r>
    </w:p>
    <w:p w14:paraId="00575E9A">
      <w:pPr>
        <w:snapToGrid w:val="0"/>
        <w:spacing w:before="120" w:beforeLines="50" w:after="50" w:line="360" w:lineRule="auto"/>
        <w:ind w:firstLine="5040" w:firstLineChars="2100"/>
        <w:rPr>
          <w:rFonts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170A9BC6">
      <w:pPr>
        <w:snapToGrid w:val="0"/>
        <w:spacing w:before="120" w:beforeLines="50" w:after="50" w:line="360" w:lineRule="auto"/>
        <w:jc w:val="left"/>
        <w:rPr>
          <w:rFonts w:ascii="宋体" w:hAnsi="宋体" w:cs="宋体"/>
          <w:color w:val="000000"/>
          <w:sz w:val="24"/>
          <w:highlight w:val="none"/>
        </w:rPr>
      </w:pPr>
      <w:r>
        <w:rPr>
          <w:rFonts w:hint="eastAsia" w:ascii="宋体" w:hAnsi="宋体" w:cs="宋体"/>
          <w:color w:val="000000"/>
          <w:sz w:val="24"/>
          <w:highlight w:val="none"/>
        </w:rPr>
        <w:t>注：1.联合体竞标的只需牵头人出具。</w:t>
      </w:r>
    </w:p>
    <w:p w14:paraId="0C6A13F0">
      <w:pPr>
        <w:snapToGrid w:val="0"/>
        <w:spacing w:before="120" w:beforeLines="50" w:after="50" w:line="360" w:lineRule="auto"/>
        <w:ind w:firstLine="480" w:firstLineChars="200"/>
        <w:jc w:val="left"/>
        <w:rPr>
          <w:rFonts w:ascii="微软雅黑" w:hAnsi="微软雅黑" w:eastAsia="微软雅黑" w:cs="方正小标宋简体"/>
          <w:color w:val="000000"/>
          <w:sz w:val="44"/>
          <w:szCs w:val="44"/>
          <w:highlight w:val="none"/>
        </w:rPr>
      </w:pPr>
      <w:r>
        <w:rPr>
          <w:rFonts w:hint="eastAsia" w:ascii="宋体" w:hAnsi="宋体" w:cs="宋体"/>
          <w:color w:val="000000"/>
          <w:sz w:val="24"/>
          <w:highlight w:val="none"/>
        </w:rPr>
        <w:t>2.供应商为其他组织或者自然人时，本文件规定的法定代表人指负责人或者自然人。本文件所称负责人是指参加竞标的其他组织营业执照上的负责人，本文件所称自然人指参与竞标的自然人本人。</w:t>
      </w:r>
      <w:r>
        <w:rPr>
          <w:rFonts w:hint="eastAsia" w:ascii="微软雅黑" w:hAnsi="微软雅黑" w:eastAsia="微软雅黑" w:cs="方正小标宋简体"/>
          <w:color w:val="000000"/>
          <w:sz w:val="44"/>
          <w:szCs w:val="44"/>
          <w:highlight w:val="none"/>
        </w:rPr>
        <w:br w:type="page"/>
      </w:r>
    </w:p>
    <w:p w14:paraId="1D2BC1FD">
      <w:pPr>
        <w:spacing w:line="360" w:lineRule="auto"/>
        <w:jc w:val="center"/>
        <w:rPr>
          <w:rFonts w:ascii="微软雅黑" w:hAnsi="微软雅黑" w:eastAsia="微软雅黑" w:cs="方正小标宋简体"/>
          <w:color w:val="000000"/>
          <w:sz w:val="44"/>
          <w:szCs w:val="44"/>
          <w:highlight w:val="none"/>
        </w:rPr>
      </w:pPr>
      <w:r>
        <w:rPr>
          <w:rFonts w:hint="eastAsia" w:ascii="微软雅黑" w:hAnsi="微软雅黑" w:eastAsia="微软雅黑" w:cs="方正小标宋简体"/>
          <w:color w:val="000000"/>
          <w:sz w:val="44"/>
          <w:szCs w:val="44"/>
          <w:highlight w:val="none"/>
        </w:rPr>
        <w:t>授 权 委 托 书（委托</w:t>
      </w:r>
      <w:r>
        <w:rPr>
          <w:rFonts w:ascii="微软雅黑" w:hAnsi="微软雅黑" w:eastAsia="微软雅黑" w:cs="方正小标宋简体"/>
          <w:color w:val="000000"/>
          <w:sz w:val="44"/>
          <w:szCs w:val="44"/>
          <w:highlight w:val="none"/>
        </w:rPr>
        <w:t>时提供</w:t>
      </w:r>
      <w:r>
        <w:rPr>
          <w:rFonts w:hint="eastAsia" w:ascii="微软雅黑" w:hAnsi="微软雅黑" w:eastAsia="微软雅黑" w:cs="方正小标宋简体"/>
          <w:color w:val="000000"/>
          <w:sz w:val="44"/>
          <w:szCs w:val="44"/>
          <w:highlight w:val="none"/>
        </w:rPr>
        <w:t>）</w:t>
      </w:r>
    </w:p>
    <w:p w14:paraId="0BEAEB8C">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致：</w:t>
      </w:r>
      <w:r>
        <w:rPr>
          <w:rFonts w:hint="eastAsia" w:ascii="微软雅黑" w:hAnsi="微软雅黑" w:eastAsia="微软雅黑" w:cs="仿宋_GB2312"/>
          <w:color w:val="000000"/>
          <w:sz w:val="24"/>
          <w:highlight w:val="none"/>
          <w:u w:val="single"/>
        </w:rPr>
        <w:t>（采购人名称）</w:t>
      </w:r>
      <w:r>
        <w:rPr>
          <w:rFonts w:hint="eastAsia" w:ascii="微软雅黑" w:hAnsi="微软雅黑" w:eastAsia="微软雅黑" w:cs="仿宋_GB2312"/>
          <w:color w:val="000000"/>
          <w:sz w:val="24"/>
          <w:highlight w:val="none"/>
        </w:rPr>
        <w:t>：</w:t>
      </w:r>
    </w:p>
    <w:p w14:paraId="20C29A29">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我</w:t>
      </w:r>
      <w:r>
        <w:rPr>
          <w:rFonts w:hint="eastAsia" w:ascii="微软雅黑" w:hAnsi="微软雅黑" w:eastAsia="微软雅黑" w:cs="仿宋_GB2312"/>
          <w:color w:val="000000"/>
          <w:sz w:val="24"/>
          <w:highlight w:val="none"/>
          <w:u w:val="single"/>
        </w:rPr>
        <w:t xml:space="preserve">  （姓名）  </w:t>
      </w:r>
      <w:r>
        <w:rPr>
          <w:rFonts w:hint="eastAsia" w:ascii="微软雅黑" w:hAnsi="微软雅黑" w:eastAsia="微软雅黑" w:cs="仿宋_GB2312"/>
          <w:color w:val="000000"/>
          <w:sz w:val="24"/>
          <w:highlight w:val="none"/>
        </w:rPr>
        <w:t>系</w:t>
      </w:r>
      <w:r>
        <w:rPr>
          <w:rFonts w:hint="eastAsia" w:ascii="微软雅黑" w:hAnsi="微软雅黑" w:eastAsia="微软雅黑" w:cs="仿宋_GB2312"/>
          <w:color w:val="000000"/>
          <w:sz w:val="24"/>
          <w:highlight w:val="none"/>
          <w:u w:val="single"/>
        </w:rPr>
        <w:t xml:space="preserve">  （供应商名称）  </w:t>
      </w:r>
      <w:r>
        <w:rPr>
          <w:rFonts w:hint="eastAsia" w:ascii="微软雅黑" w:hAnsi="微软雅黑" w:eastAsia="微软雅黑" w:cs="仿宋_GB2312"/>
          <w:color w:val="000000"/>
          <w:sz w:val="24"/>
          <w:highlight w:val="none"/>
        </w:rPr>
        <w:t>的（</w:t>
      </w:r>
      <w:r>
        <w:rPr>
          <w:rFonts w:hint="eastAsia" w:ascii="微软雅黑" w:hAnsi="微软雅黑" w:eastAsia="微软雅黑" w:cs="仿宋_GB2312"/>
          <w:color w:val="000000"/>
          <w:sz w:val="24"/>
          <w:highlight w:val="none"/>
          <w:u w:val="single"/>
        </w:rPr>
        <w:sym w:font="Wingdings" w:char="00FE"/>
      </w:r>
      <w:r>
        <w:rPr>
          <w:rFonts w:hint="eastAsia" w:ascii="微软雅黑" w:hAnsi="微软雅黑" w:eastAsia="微软雅黑" w:cs="仿宋_GB2312"/>
          <w:color w:val="000000"/>
          <w:sz w:val="24"/>
          <w:highlight w:val="none"/>
          <w:u w:val="single"/>
        </w:rPr>
        <w:t>法定代表人/</w:t>
      </w:r>
      <w:r>
        <w:rPr>
          <w:rFonts w:hint="eastAsia" w:ascii="微软雅黑" w:hAnsi="微软雅黑" w:eastAsia="微软雅黑" w:cs="仿宋_GB2312"/>
          <w:color w:val="000000"/>
          <w:sz w:val="24"/>
          <w:highlight w:val="none"/>
          <w:u w:val="single"/>
        </w:rPr>
        <w:sym w:font="Wingdings" w:char="00A8"/>
      </w:r>
      <w:r>
        <w:rPr>
          <w:rFonts w:hint="eastAsia" w:ascii="微软雅黑" w:hAnsi="微软雅黑" w:eastAsia="微软雅黑" w:cs="仿宋_GB2312"/>
          <w:color w:val="000000"/>
          <w:sz w:val="24"/>
          <w:highlight w:val="none"/>
          <w:u w:val="single"/>
        </w:rPr>
        <w:t>负责人/</w:t>
      </w:r>
      <w:r>
        <w:rPr>
          <w:rFonts w:hint="eastAsia" w:ascii="微软雅黑" w:hAnsi="微软雅黑" w:eastAsia="微软雅黑" w:cs="仿宋_GB2312"/>
          <w:color w:val="000000"/>
          <w:sz w:val="24"/>
          <w:highlight w:val="none"/>
          <w:u w:val="single"/>
        </w:rPr>
        <w:sym w:font="Wingdings" w:char="00A8"/>
      </w:r>
      <w:r>
        <w:rPr>
          <w:rFonts w:hint="eastAsia" w:ascii="微软雅黑" w:hAnsi="微软雅黑" w:eastAsia="微软雅黑" w:cs="仿宋_GB2312"/>
          <w:color w:val="000000"/>
          <w:sz w:val="24"/>
          <w:highlight w:val="none"/>
          <w:u w:val="single"/>
        </w:rPr>
        <w:t>自然人本人</w:t>
      </w:r>
      <w:r>
        <w:rPr>
          <w:rFonts w:hint="eastAsia" w:ascii="微软雅黑" w:hAnsi="微软雅黑" w:eastAsia="微软雅黑" w:cs="仿宋_GB2312"/>
          <w:color w:val="000000"/>
          <w:sz w:val="24"/>
          <w:highlight w:val="none"/>
        </w:rPr>
        <w:t>），现授权</w:t>
      </w:r>
      <w:r>
        <w:rPr>
          <w:rFonts w:hint="eastAsia" w:ascii="微软雅黑" w:hAnsi="微软雅黑" w:eastAsia="微软雅黑" w:cs="仿宋_GB2312"/>
          <w:color w:val="000000"/>
          <w:sz w:val="24"/>
          <w:highlight w:val="none"/>
          <w:u w:val="single"/>
        </w:rPr>
        <w:t xml:space="preserve"> （姓名） </w:t>
      </w:r>
      <w:r>
        <w:rPr>
          <w:rFonts w:hint="eastAsia" w:ascii="微软雅黑" w:hAnsi="微软雅黑" w:eastAsia="微软雅黑" w:cs="仿宋_GB2312"/>
          <w:color w:val="000000"/>
          <w:sz w:val="24"/>
          <w:highlight w:val="none"/>
        </w:rPr>
        <w:t>以我方的名义参加</w:t>
      </w:r>
      <w:r>
        <w:rPr>
          <w:rFonts w:hint="eastAsia" w:ascii="微软雅黑" w:hAnsi="微软雅黑" w:eastAsia="微软雅黑" w:cs="仿宋_GB2312"/>
          <w:color w:val="000000"/>
          <w:sz w:val="24"/>
          <w:highlight w:val="none"/>
          <w:u w:val="single"/>
        </w:rPr>
        <w:t xml:space="preserve">              </w:t>
      </w:r>
      <w:r>
        <w:rPr>
          <w:rFonts w:hint="eastAsia" w:ascii="微软雅黑" w:hAnsi="微软雅黑" w:eastAsia="微软雅黑" w:cs="仿宋_GB2312"/>
          <w:color w:val="000000"/>
          <w:sz w:val="24"/>
          <w:highlight w:val="none"/>
        </w:rPr>
        <w:t>项目的竞标活动，并代表我方全权办理针对上述项目的所有采购程序和环节的具体事务和签署相关文件。</w:t>
      </w:r>
    </w:p>
    <w:p w14:paraId="382215BF">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我方对委托代理人的签字事项负全部责任。</w:t>
      </w:r>
    </w:p>
    <w:p w14:paraId="6D443B3C">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本授权书自签署之日起生效，在撤销授权的书面通知以前，本授权书一直有效。委托代理人在授权书有效期内签署的所有文件不因授权的撤销而失效。</w:t>
      </w:r>
    </w:p>
    <w:p w14:paraId="5BDD445F">
      <w:pPr>
        <w:ind w:firstLine="480" w:firstLineChars="20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委托代理人无转委托权，特此委托。</w:t>
      </w:r>
    </w:p>
    <w:p w14:paraId="436E1396">
      <w:pPr>
        <w:ind w:firstLine="480" w:firstLineChars="200"/>
        <w:contextualSpacing/>
        <w:rPr>
          <w:rFonts w:ascii="微软雅黑" w:hAnsi="微软雅黑" w:eastAsia="微软雅黑" w:cs="仿宋_GB2312"/>
          <w:color w:val="000000"/>
          <w:sz w:val="24"/>
          <w:highlight w:val="none"/>
        </w:rPr>
      </w:pPr>
    </w:p>
    <w:p w14:paraId="7E76AFC8">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委托代理人（签字）：         法定代表人（签字或盖章）：                    </w:t>
      </w:r>
    </w:p>
    <w:p w14:paraId="203309F3">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委托代理人身份证号码：                </w:t>
      </w:r>
    </w:p>
    <w:p w14:paraId="5B8432C7">
      <w:pPr>
        <w:spacing w:line="360" w:lineRule="auto"/>
        <w:rPr>
          <w:rFonts w:ascii="宋体" w:hAnsi="宋体" w:cs="宋体"/>
          <w:color w:val="000000"/>
          <w:sz w:val="24"/>
          <w:highlight w:val="none"/>
        </w:rPr>
      </w:pPr>
      <w:r>
        <w:rPr>
          <w:rFonts w:hint="eastAsia" w:ascii="宋体" w:hAnsi="宋体" w:cs="宋体"/>
          <w:color w:val="000000"/>
          <w:sz w:val="24"/>
          <w:highlight w:val="none"/>
        </w:rPr>
        <w:t>附：法定代表人身份证明书及委托代理人有效身份证正反面复印件</w:t>
      </w: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346075</wp:posOffset>
                </wp:positionV>
                <wp:extent cx="3081655" cy="1943735"/>
                <wp:effectExtent l="0" t="0" r="24130" b="18415"/>
                <wp:wrapNone/>
                <wp:docPr id="6" name="矩形 6"/>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EDF168">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7DB8E111">
                            <w:pPr>
                              <w:jc w:val="center"/>
                            </w:pPr>
                            <w:r>
                              <w:rPr>
                                <w:rFonts w:hint="eastAsia" w:ascii="宋体" w:hAnsi="宋体" w:cs="仿宋_GB2312"/>
                                <w:color w:val="000000"/>
                                <w:sz w:val="24"/>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5pt;margin-top:27.25pt;height:153.05pt;width:242.65pt;z-index:251660288;v-text-anchor:middle;mso-width-relative:page;mso-height-relative:page;" fillcolor="#FFFFFF [3201]" filled="t" stroked="t" coordsize="21600,21600" o:gfxdata="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gBPn2AAAAAoBAAAPAAAAAAAAAAEAIAAAACIAAABkcnMv&#10;ZG93bnJldi54bWxQSwECFAAUAAAACACHTuJATeAN4nUCAAAABQAADgAAAAAAAAABACAAAAAnAQAA&#10;ZHJzL2Uyb0RvYy54bWxQSwUGAAAAAAYABgBZAQAADgYAAAAA&#10;">
                <v:fill on="t" focussize="0,0"/>
                <v:stroke weight="1pt" color="#000000 [3213]" miterlimit="8" joinstyle="miter"/>
                <v:imagedata o:title=""/>
                <o:lock v:ext="edit" aspectratio="f"/>
                <v:textbox>
                  <w:txbxContent>
                    <w:p w14:paraId="16EDF168">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7DB8E111">
                      <w:pPr>
                        <w:jc w:val="center"/>
                      </w:pPr>
                      <w:r>
                        <w:rPr>
                          <w:rFonts w:hint="eastAsia" w:ascii="宋体" w:hAnsi="宋体" w:cs="仿宋_GB2312"/>
                          <w:color w:val="000000"/>
                          <w:sz w:val="24"/>
                        </w:rPr>
                        <w:t>（人像）</w:t>
                      </w:r>
                    </w:p>
                  </w:txbxContent>
                </v:textbox>
              </v:rect>
            </w:pict>
          </mc:Fallback>
        </mc:AlternateContent>
      </w:r>
    </w:p>
    <w:p w14:paraId="1A8A5F8A">
      <w:pPr>
        <w:pStyle w:val="3"/>
        <w:rPr>
          <w:rFonts w:ascii="宋体" w:hAnsi="宋体" w:cs="宋体"/>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2710180</wp:posOffset>
                </wp:positionH>
                <wp:positionV relativeFrom="paragraph">
                  <wp:posOffset>38100</wp:posOffset>
                </wp:positionV>
                <wp:extent cx="3081655" cy="1943735"/>
                <wp:effectExtent l="0" t="0" r="24130" b="18415"/>
                <wp:wrapNone/>
                <wp:docPr id="5" name="矩形 5"/>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61364">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082FD0A8">
                            <w:pPr>
                              <w:jc w:val="center"/>
                            </w:pPr>
                            <w:r>
                              <w:rPr>
                                <w:rFonts w:hint="eastAsia" w:ascii="宋体" w:hAnsi="宋体" w:cs="仿宋_GB2312"/>
                                <w:color w:val="000000"/>
                                <w:sz w:val="24"/>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4pt;margin-top:3pt;height:153.05pt;width:242.65pt;z-index:251659264;v-text-anchor:middle;mso-width-relative:page;mso-height-relative:page;" fillcolor="#FFFFFF [3201]" filled="t" stroked="t" coordsize="21600,21600" o:gfxdata="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rIbVAAAACQEAAA8AAAAAAAAAAQAgAAAAIgAAAGRycy9kb3du&#10;cmV2LnhtbFBLAQIUABQAAAAIAIdO4kDDAunzdAIAAAAFAAAOAAAAAAAAAAEAIAAAACQBAABkcnMv&#10;ZTJvRG9jLnhtbFBLBQYAAAAABgAGAFkBAAAKBgAAAAA=&#10;">
                <v:fill on="t" focussize="0,0"/>
                <v:stroke weight="1pt" color="#000000 [3213]" miterlimit="8" joinstyle="miter"/>
                <v:imagedata o:title=""/>
                <o:lock v:ext="edit" aspectratio="f"/>
                <v:textbox>
                  <w:txbxContent>
                    <w:p w14:paraId="7D561364">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082FD0A8">
                      <w:pPr>
                        <w:jc w:val="center"/>
                      </w:pPr>
                      <w:r>
                        <w:rPr>
                          <w:rFonts w:hint="eastAsia" w:ascii="宋体" w:hAnsi="宋体" w:cs="仿宋_GB2312"/>
                          <w:color w:val="000000"/>
                          <w:sz w:val="24"/>
                        </w:rPr>
                        <w:t>（国徽）</w:t>
                      </w:r>
                    </w:p>
                  </w:txbxContent>
                </v:textbox>
              </v:rect>
            </w:pict>
          </mc:Fallback>
        </mc:AlternateContent>
      </w:r>
    </w:p>
    <w:p w14:paraId="60DDFA67">
      <w:pPr>
        <w:contextualSpacing/>
        <w:rPr>
          <w:rFonts w:ascii="微软雅黑" w:hAnsi="微软雅黑" w:eastAsia="微软雅黑" w:cs="仿宋_GB2312"/>
          <w:color w:val="000000"/>
          <w:sz w:val="24"/>
          <w:highlight w:val="none"/>
        </w:rPr>
      </w:pPr>
    </w:p>
    <w:p w14:paraId="567FDEA4">
      <w:pPr>
        <w:pStyle w:val="2"/>
        <w:rPr>
          <w:highlight w:val="none"/>
        </w:rPr>
      </w:pPr>
    </w:p>
    <w:p w14:paraId="4D6D8511">
      <w:pPr>
        <w:rPr>
          <w:highlight w:val="none"/>
        </w:rPr>
      </w:pPr>
    </w:p>
    <w:p w14:paraId="2A2F4381">
      <w:pPr>
        <w:contextualSpacing/>
        <w:rPr>
          <w:rFonts w:ascii="微软雅黑" w:hAnsi="微软雅黑" w:eastAsia="微软雅黑" w:cs="仿宋_GB2312"/>
          <w:color w:val="000000"/>
          <w:sz w:val="24"/>
          <w:highlight w:val="none"/>
        </w:rPr>
      </w:pPr>
    </w:p>
    <w:p w14:paraId="26DA3D07">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供应商名称（盖公章）：     </w:t>
      </w:r>
      <w:r>
        <w:rPr>
          <w:rFonts w:ascii="微软雅黑" w:hAnsi="微软雅黑" w:eastAsia="微软雅黑" w:cs="仿宋_GB2312"/>
          <w:color w:val="000000"/>
          <w:sz w:val="24"/>
          <w:highlight w:val="none"/>
        </w:rPr>
        <w:t xml:space="preserve">             </w:t>
      </w:r>
      <w:r>
        <w:rPr>
          <w:rFonts w:hint="eastAsia" w:ascii="微软雅黑" w:hAnsi="微软雅黑" w:eastAsia="微软雅黑" w:cs="仿宋_GB2312"/>
          <w:color w:val="000000"/>
          <w:sz w:val="24"/>
          <w:highlight w:val="none"/>
        </w:rPr>
        <w:t xml:space="preserve"> </w:t>
      </w:r>
    </w:p>
    <w:p w14:paraId="7A6DE8E9">
      <w:pPr>
        <w:ind w:firstLine="3960" w:firstLineChars="165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供应商委托</w:t>
      </w:r>
      <w:r>
        <w:rPr>
          <w:rFonts w:ascii="微软雅黑" w:hAnsi="微软雅黑" w:eastAsia="微软雅黑" w:cs="仿宋_GB2312"/>
          <w:color w:val="000000"/>
          <w:sz w:val="24"/>
          <w:highlight w:val="none"/>
        </w:rPr>
        <w:t>代理人</w:t>
      </w:r>
      <w:r>
        <w:rPr>
          <w:rFonts w:hint="eastAsia" w:ascii="微软雅黑" w:hAnsi="微软雅黑" w:eastAsia="微软雅黑" w:cs="仿宋_GB2312"/>
          <w:color w:val="000000"/>
          <w:sz w:val="24"/>
          <w:highlight w:val="none"/>
        </w:rPr>
        <w:t>联系</w:t>
      </w:r>
      <w:r>
        <w:rPr>
          <w:rFonts w:ascii="微软雅黑" w:hAnsi="微软雅黑" w:eastAsia="微软雅黑" w:cs="仿宋_GB2312"/>
          <w:color w:val="000000"/>
          <w:sz w:val="24"/>
          <w:highlight w:val="none"/>
        </w:rPr>
        <w:t>电话</w:t>
      </w:r>
      <w:r>
        <w:rPr>
          <w:rFonts w:hint="eastAsia" w:ascii="微软雅黑" w:hAnsi="微软雅黑" w:eastAsia="微软雅黑" w:cs="仿宋_GB2312"/>
          <w:color w:val="000000"/>
          <w:sz w:val="24"/>
          <w:highlight w:val="none"/>
        </w:rPr>
        <w:t xml:space="preserve">：                </w:t>
      </w:r>
    </w:p>
    <w:p w14:paraId="4438D84B">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 xml:space="preserve">                                    </w:t>
      </w:r>
      <w:r>
        <w:rPr>
          <w:rFonts w:ascii="微软雅黑" w:hAnsi="微软雅黑" w:eastAsia="微软雅黑" w:cs="仿宋_GB2312"/>
          <w:color w:val="000000"/>
          <w:sz w:val="24"/>
          <w:highlight w:val="none"/>
        </w:rPr>
        <w:t xml:space="preserve">         </w:t>
      </w:r>
      <w:r>
        <w:rPr>
          <w:rFonts w:hint="eastAsia" w:ascii="微软雅黑" w:hAnsi="微软雅黑" w:eastAsia="微软雅黑" w:cs="仿宋_GB2312"/>
          <w:color w:val="000000"/>
          <w:sz w:val="24"/>
          <w:highlight w:val="none"/>
        </w:rPr>
        <w:t xml:space="preserve">     年    月    日</w:t>
      </w:r>
    </w:p>
    <w:p w14:paraId="62F2CF50">
      <w:pPr>
        <w:pStyle w:val="2"/>
        <w:rPr>
          <w:highlight w:val="none"/>
        </w:rPr>
      </w:pPr>
    </w:p>
    <w:p w14:paraId="60FDFA95">
      <w:pPr>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注：1. 本授权委托书如有委托时必须提供。</w:t>
      </w:r>
    </w:p>
    <w:p w14:paraId="093C283A">
      <w:pPr>
        <w:numPr>
          <w:ilvl w:val="0"/>
          <w:numId w:val="15"/>
        </w:numPr>
        <w:ind w:firstLine="480"/>
        <w:contextualSpacing/>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法定代表人必须在授权委托书上亲笔签字或盖章，委托代理人必须在授权委托书上亲笔签字，不得使用印章、签名章或者其他电子制版签名代替，</w:t>
      </w:r>
      <w:r>
        <w:rPr>
          <w:rFonts w:hint="eastAsia" w:ascii="微软雅黑" w:hAnsi="微软雅黑" w:eastAsia="微软雅黑" w:cs="仿宋_GB2312"/>
          <w:b/>
          <w:color w:val="000000"/>
          <w:sz w:val="24"/>
          <w:highlight w:val="none"/>
        </w:rPr>
        <w:t>否则其响应文件按无效响应处理。</w:t>
      </w:r>
    </w:p>
    <w:p w14:paraId="5853237E">
      <w:pPr>
        <w:numPr>
          <w:ilvl w:val="0"/>
          <w:numId w:val="15"/>
        </w:numPr>
        <w:ind w:firstLine="480" w:firstLineChars="200"/>
        <w:contextualSpacing/>
        <w:jc w:val="left"/>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5CA9A4A">
      <w:pPr>
        <w:numPr>
          <w:ilvl w:val="0"/>
          <w:numId w:val="15"/>
        </w:numPr>
        <w:ind w:firstLine="480" w:firstLineChars="200"/>
        <w:contextualSpacing/>
        <w:jc w:val="left"/>
        <w:rPr>
          <w:rFonts w:ascii="微软雅黑" w:hAnsi="微软雅黑" w:eastAsia="微软雅黑" w:cs="仿宋_GB2312"/>
          <w:color w:val="000000"/>
          <w:sz w:val="24"/>
          <w:highlight w:val="none"/>
        </w:rPr>
      </w:pPr>
      <w:r>
        <w:rPr>
          <w:rFonts w:hint="eastAsia" w:ascii="微软雅黑" w:hAnsi="微软雅黑" w:eastAsia="微软雅黑" w:cs="仿宋_GB2312"/>
          <w:color w:val="000000"/>
          <w:sz w:val="24"/>
          <w:highlight w:val="none"/>
        </w:rPr>
        <w:t>法人、其他组织竞标时“我方”是指“我单位”，自然人竞标时“我方”是指“本人”。</w:t>
      </w:r>
    </w:p>
    <w:sectPr>
      <w:footerReference r:id="rId4" w:type="first"/>
      <w:footerReference r:id="rId3" w:type="default"/>
      <w:pgSz w:w="11906" w:h="16838"/>
      <w:pgMar w:top="907" w:right="1469" w:bottom="907" w:left="1440" w:header="851" w:footer="283"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Arial Narrow">
    <w:altName w:val="Arial"/>
    <w:panose1 w:val="020B0506020202030204"/>
    <w:charset w:val="00"/>
    <w:family w:val="roman"/>
    <w:pitch w:val="default"/>
    <w:sig w:usb0="00000000"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decorative"/>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741B">
    <w:pPr>
      <w:pStyle w:val="28"/>
      <w:jc w:val="center"/>
    </w:pPr>
    <w:r>
      <w:fldChar w:fldCharType="begin"/>
    </w:r>
    <w:r>
      <w:instrText xml:space="preserve">PAGE   \* MERGEFORMAT</w:instrText>
    </w:r>
    <w:r>
      <w:fldChar w:fldCharType="separate"/>
    </w:r>
    <w:r>
      <w:rPr>
        <w:lang w:val="zh-CN"/>
      </w:rPr>
      <w:t>11</w:t>
    </w:r>
    <w:r>
      <w:fldChar w:fldCharType="end"/>
    </w:r>
  </w:p>
  <w:p w14:paraId="3A33F75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6808">
    <w:pPr>
      <w:pStyle w:val="28"/>
      <w:jc w:val="center"/>
    </w:pPr>
    <w:r>
      <w:fldChar w:fldCharType="begin"/>
    </w:r>
    <w:r>
      <w:rPr>
        <w:rStyle w:val="43"/>
      </w:rPr>
      <w:instrText xml:space="preserve"> PAGE </w:instrText>
    </w:r>
    <w:r>
      <w:fldChar w:fldCharType="separate"/>
    </w:r>
    <w:r>
      <w:rPr>
        <w:rStyle w:val="43"/>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9893B"/>
    <w:multiLevelType w:val="singleLevel"/>
    <w:tmpl w:val="9CB9893B"/>
    <w:lvl w:ilvl="0" w:tentative="0">
      <w:start w:val="1"/>
      <w:numFmt w:val="decimal"/>
      <w:lvlText w:val="%1."/>
      <w:lvlJc w:val="left"/>
      <w:pPr>
        <w:ind w:left="425" w:hanging="425"/>
      </w:pPr>
      <w:rPr>
        <w:rFonts w:hint="default" w:ascii="宋体" w:hAnsi="宋体" w:eastAsia="宋体" w:cs="宋体"/>
      </w:rPr>
    </w:lvl>
  </w:abstractNum>
  <w:abstractNum w:abstractNumId="1">
    <w:nsid w:val="9D2E6C61"/>
    <w:multiLevelType w:val="singleLevel"/>
    <w:tmpl w:val="9D2E6C61"/>
    <w:lvl w:ilvl="0" w:tentative="0">
      <w:start w:val="2"/>
      <w:numFmt w:val="decimal"/>
      <w:suff w:val="space"/>
      <w:lvlText w:val="%1."/>
      <w:lvlJc w:val="left"/>
    </w:lvl>
  </w:abstractNum>
  <w:abstractNum w:abstractNumId="2">
    <w:nsid w:val="A86AC7DE"/>
    <w:multiLevelType w:val="singleLevel"/>
    <w:tmpl w:val="A86AC7DE"/>
    <w:lvl w:ilvl="0" w:tentative="0">
      <w:start w:val="1"/>
      <w:numFmt w:val="decimal"/>
      <w:lvlText w:val="%1."/>
      <w:lvlJc w:val="left"/>
      <w:pPr>
        <w:ind w:left="425" w:hanging="425"/>
      </w:pPr>
      <w:rPr>
        <w:rFonts w:hint="default" w:ascii="宋体" w:hAnsi="宋体" w:eastAsia="宋体" w:cs="宋体"/>
      </w:rPr>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076C7C35"/>
    <w:multiLevelType w:val="multilevel"/>
    <w:tmpl w:val="076C7C35"/>
    <w:lvl w:ilvl="0" w:tentative="0">
      <w:start w:val="1"/>
      <w:numFmt w:val="decimal"/>
      <w:pStyle w:val="13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209410B"/>
    <w:multiLevelType w:val="singleLevel"/>
    <w:tmpl w:val="1209410B"/>
    <w:lvl w:ilvl="0" w:tentative="0">
      <w:start w:val="1"/>
      <w:numFmt w:val="decimal"/>
      <w:lvlText w:val="%1."/>
      <w:lvlJc w:val="left"/>
      <w:pPr>
        <w:ind w:left="425" w:hanging="425"/>
      </w:pPr>
      <w:rPr>
        <w:rFonts w:hint="default" w:ascii="宋体" w:hAnsi="宋体" w:eastAsia="宋体" w:cs="宋体"/>
      </w:rPr>
    </w:lvl>
  </w:abstractNum>
  <w:abstractNum w:abstractNumId="6">
    <w:nsid w:val="2357098D"/>
    <w:multiLevelType w:val="singleLevel"/>
    <w:tmpl w:val="2357098D"/>
    <w:lvl w:ilvl="0" w:tentative="0">
      <w:start w:val="1"/>
      <w:numFmt w:val="decimal"/>
      <w:lvlText w:val="(%1)"/>
      <w:lvlJc w:val="left"/>
      <w:pPr>
        <w:ind w:left="425" w:hanging="425"/>
      </w:pPr>
      <w:rPr>
        <w:rFonts w:hint="default"/>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8">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9">
    <w:nsid w:val="4F886337"/>
    <w:multiLevelType w:val="multilevel"/>
    <w:tmpl w:val="4F886337"/>
    <w:lvl w:ilvl="0" w:tentative="0">
      <w:start w:val="1"/>
      <w:numFmt w:val="decimal"/>
      <w:pStyle w:val="125"/>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0">
    <w:nsid w:val="4FF1187F"/>
    <w:multiLevelType w:val="multilevel"/>
    <w:tmpl w:val="4FF1187F"/>
    <w:lvl w:ilvl="0" w:tentative="0">
      <w:start w:val="1"/>
      <w:numFmt w:val="decimal"/>
      <w:pStyle w:val="146"/>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1">
    <w:nsid w:val="53D8FA3B"/>
    <w:multiLevelType w:val="singleLevel"/>
    <w:tmpl w:val="53D8FA3B"/>
    <w:lvl w:ilvl="0" w:tentative="0">
      <w:start w:val="1"/>
      <w:numFmt w:val="decimal"/>
      <w:lvlText w:val="%1."/>
      <w:lvlJc w:val="left"/>
      <w:pPr>
        <w:ind w:left="425" w:hanging="425"/>
      </w:pPr>
      <w:rPr>
        <w:rFonts w:hint="default" w:ascii="宋体" w:hAnsi="宋体" w:eastAsia="宋体" w:cs="宋体"/>
      </w:rPr>
    </w:lvl>
  </w:abstractNum>
  <w:abstractNum w:abstractNumId="12">
    <w:nsid w:val="56692B5F"/>
    <w:multiLevelType w:val="multilevel"/>
    <w:tmpl w:val="56692B5F"/>
    <w:lvl w:ilvl="0" w:tentative="0">
      <w:start w:val="1"/>
      <w:numFmt w:val="decimal"/>
      <w:pStyle w:val="10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2D3353D"/>
    <w:multiLevelType w:val="singleLevel"/>
    <w:tmpl w:val="62D3353D"/>
    <w:lvl w:ilvl="0" w:tentative="0">
      <w:start w:val="1"/>
      <w:numFmt w:val="decimal"/>
      <w:lvlText w:val="%1."/>
      <w:lvlJc w:val="left"/>
      <w:pPr>
        <w:ind w:left="425" w:hanging="425"/>
      </w:pPr>
      <w:rPr>
        <w:rFonts w:hint="default" w:ascii="宋体" w:hAnsi="宋体" w:eastAsia="宋体" w:cs="宋体"/>
      </w:rPr>
    </w:lvl>
  </w:abstractNum>
  <w:abstractNum w:abstractNumId="14">
    <w:nsid w:val="6D279828"/>
    <w:multiLevelType w:val="singleLevel"/>
    <w:tmpl w:val="6D279828"/>
    <w:lvl w:ilvl="0" w:tentative="0">
      <w:start w:val="1"/>
      <w:numFmt w:val="decimal"/>
      <w:lvlText w:val="%1."/>
      <w:lvlJc w:val="left"/>
      <w:pPr>
        <w:ind w:left="425" w:hanging="425"/>
      </w:pPr>
      <w:rPr>
        <w:rFonts w:hint="default" w:ascii="宋体" w:hAnsi="宋体" w:eastAsia="宋体" w:cs="宋体"/>
      </w:rPr>
    </w:lvl>
  </w:abstractNum>
  <w:num w:numId="1">
    <w:abstractNumId w:val="7"/>
  </w:num>
  <w:num w:numId="2">
    <w:abstractNumId w:val="3"/>
  </w:num>
  <w:num w:numId="3">
    <w:abstractNumId w:val="12"/>
  </w:num>
  <w:num w:numId="4">
    <w:abstractNumId w:val="9"/>
  </w:num>
  <w:num w:numId="5">
    <w:abstractNumId w:val="4"/>
  </w:num>
  <w:num w:numId="6">
    <w:abstractNumId w:val="10"/>
  </w:num>
  <w:num w:numId="7">
    <w:abstractNumId w:val="2"/>
  </w:num>
  <w:num w:numId="8">
    <w:abstractNumId w:val="13"/>
  </w:num>
  <w:num w:numId="9">
    <w:abstractNumId w:val="14"/>
  </w:num>
  <w:num w:numId="10">
    <w:abstractNumId w:val="0"/>
  </w:num>
  <w:num w:numId="11">
    <w:abstractNumId w:val="5"/>
  </w:num>
  <w:num w:numId="12">
    <w:abstractNumId w:val="11"/>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NjBmOGI0N2FmMjU5Mjk5YTI0ODkxM2Q3NzhkYmQifQ=="/>
  </w:docVars>
  <w:rsids>
    <w:rsidRoot w:val="00F34B14"/>
    <w:rsid w:val="0000107C"/>
    <w:rsid w:val="000011B8"/>
    <w:rsid w:val="000026A6"/>
    <w:rsid w:val="00002C09"/>
    <w:rsid w:val="00003398"/>
    <w:rsid w:val="00004F65"/>
    <w:rsid w:val="0000508C"/>
    <w:rsid w:val="00010792"/>
    <w:rsid w:val="00011784"/>
    <w:rsid w:val="0001229F"/>
    <w:rsid w:val="00013C37"/>
    <w:rsid w:val="000143D1"/>
    <w:rsid w:val="000155F3"/>
    <w:rsid w:val="0001579B"/>
    <w:rsid w:val="000172AE"/>
    <w:rsid w:val="000172BD"/>
    <w:rsid w:val="00017C9A"/>
    <w:rsid w:val="00020C33"/>
    <w:rsid w:val="000212B7"/>
    <w:rsid w:val="0002259A"/>
    <w:rsid w:val="00025A4E"/>
    <w:rsid w:val="00026087"/>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3B6"/>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2E5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5DA8"/>
    <w:rsid w:val="00176FFA"/>
    <w:rsid w:val="001770E0"/>
    <w:rsid w:val="001775E5"/>
    <w:rsid w:val="00177BAB"/>
    <w:rsid w:val="00177C2A"/>
    <w:rsid w:val="0018457F"/>
    <w:rsid w:val="00184D8B"/>
    <w:rsid w:val="00185240"/>
    <w:rsid w:val="0018606B"/>
    <w:rsid w:val="00187261"/>
    <w:rsid w:val="00192398"/>
    <w:rsid w:val="001928A0"/>
    <w:rsid w:val="00192B2D"/>
    <w:rsid w:val="00192FC1"/>
    <w:rsid w:val="001935D9"/>
    <w:rsid w:val="001947B5"/>
    <w:rsid w:val="001958E4"/>
    <w:rsid w:val="001959CF"/>
    <w:rsid w:val="00197075"/>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A0"/>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BB2"/>
    <w:rsid w:val="00215E48"/>
    <w:rsid w:val="00220487"/>
    <w:rsid w:val="002209B0"/>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959"/>
    <w:rsid w:val="00294A7B"/>
    <w:rsid w:val="002950F8"/>
    <w:rsid w:val="00296A5E"/>
    <w:rsid w:val="00296BD5"/>
    <w:rsid w:val="002A027D"/>
    <w:rsid w:val="002A0586"/>
    <w:rsid w:val="002A12DF"/>
    <w:rsid w:val="002A1514"/>
    <w:rsid w:val="002A2471"/>
    <w:rsid w:val="002A28D0"/>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729"/>
    <w:rsid w:val="002C64F2"/>
    <w:rsid w:val="002C7689"/>
    <w:rsid w:val="002D091E"/>
    <w:rsid w:val="002D1606"/>
    <w:rsid w:val="002D1EBE"/>
    <w:rsid w:val="002D2B25"/>
    <w:rsid w:val="002D31E1"/>
    <w:rsid w:val="002D74CB"/>
    <w:rsid w:val="002D78D1"/>
    <w:rsid w:val="002E0A2A"/>
    <w:rsid w:val="002E167C"/>
    <w:rsid w:val="002E2040"/>
    <w:rsid w:val="002E2F26"/>
    <w:rsid w:val="002E3A7D"/>
    <w:rsid w:val="002E41C1"/>
    <w:rsid w:val="002E515D"/>
    <w:rsid w:val="002E55F5"/>
    <w:rsid w:val="002E62B6"/>
    <w:rsid w:val="002E6C66"/>
    <w:rsid w:val="002E7614"/>
    <w:rsid w:val="002E7BF9"/>
    <w:rsid w:val="002F193A"/>
    <w:rsid w:val="002F27D6"/>
    <w:rsid w:val="002F5004"/>
    <w:rsid w:val="002F61C4"/>
    <w:rsid w:val="002F6D0F"/>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1B20"/>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DDE"/>
    <w:rsid w:val="004579A0"/>
    <w:rsid w:val="0046252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3BB9"/>
    <w:rsid w:val="004A4E8C"/>
    <w:rsid w:val="004A5193"/>
    <w:rsid w:val="004A51C8"/>
    <w:rsid w:val="004A62F6"/>
    <w:rsid w:val="004A7100"/>
    <w:rsid w:val="004A7666"/>
    <w:rsid w:val="004B01DC"/>
    <w:rsid w:val="004B103F"/>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600E2"/>
    <w:rsid w:val="00561D41"/>
    <w:rsid w:val="00562405"/>
    <w:rsid w:val="00563427"/>
    <w:rsid w:val="00563932"/>
    <w:rsid w:val="005643BF"/>
    <w:rsid w:val="005663FC"/>
    <w:rsid w:val="00567276"/>
    <w:rsid w:val="005675DE"/>
    <w:rsid w:val="00567BD3"/>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1FEA"/>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E4"/>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59F"/>
    <w:rsid w:val="00727AE5"/>
    <w:rsid w:val="00727D41"/>
    <w:rsid w:val="00730952"/>
    <w:rsid w:val="00730A38"/>
    <w:rsid w:val="00730B80"/>
    <w:rsid w:val="00730DE1"/>
    <w:rsid w:val="00731EA9"/>
    <w:rsid w:val="00732329"/>
    <w:rsid w:val="00734201"/>
    <w:rsid w:val="00734223"/>
    <w:rsid w:val="0073424C"/>
    <w:rsid w:val="0073550A"/>
    <w:rsid w:val="0073560E"/>
    <w:rsid w:val="007370DA"/>
    <w:rsid w:val="007405FC"/>
    <w:rsid w:val="00744E26"/>
    <w:rsid w:val="00745664"/>
    <w:rsid w:val="007456B2"/>
    <w:rsid w:val="00745F91"/>
    <w:rsid w:val="00746483"/>
    <w:rsid w:val="007466FF"/>
    <w:rsid w:val="007478BE"/>
    <w:rsid w:val="007508EF"/>
    <w:rsid w:val="0075112A"/>
    <w:rsid w:val="0076142B"/>
    <w:rsid w:val="00762EB8"/>
    <w:rsid w:val="007640FF"/>
    <w:rsid w:val="00764D8D"/>
    <w:rsid w:val="007666E8"/>
    <w:rsid w:val="007678E5"/>
    <w:rsid w:val="00767AF0"/>
    <w:rsid w:val="00771275"/>
    <w:rsid w:val="00772648"/>
    <w:rsid w:val="007733C7"/>
    <w:rsid w:val="007740FA"/>
    <w:rsid w:val="007750C2"/>
    <w:rsid w:val="00775C50"/>
    <w:rsid w:val="00775D9C"/>
    <w:rsid w:val="007776BE"/>
    <w:rsid w:val="00777BA9"/>
    <w:rsid w:val="00777D92"/>
    <w:rsid w:val="00777F0D"/>
    <w:rsid w:val="007811EC"/>
    <w:rsid w:val="007825B3"/>
    <w:rsid w:val="00782C58"/>
    <w:rsid w:val="00782EDA"/>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63D1"/>
    <w:rsid w:val="007A77D8"/>
    <w:rsid w:val="007B00E5"/>
    <w:rsid w:val="007B0392"/>
    <w:rsid w:val="007B260D"/>
    <w:rsid w:val="007B4621"/>
    <w:rsid w:val="007B46F9"/>
    <w:rsid w:val="007B570B"/>
    <w:rsid w:val="007B622C"/>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834"/>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5BB1"/>
    <w:rsid w:val="00946B06"/>
    <w:rsid w:val="00947595"/>
    <w:rsid w:val="009505B0"/>
    <w:rsid w:val="00951B53"/>
    <w:rsid w:val="00952AC0"/>
    <w:rsid w:val="00953AFF"/>
    <w:rsid w:val="009549B7"/>
    <w:rsid w:val="00957489"/>
    <w:rsid w:val="009610A8"/>
    <w:rsid w:val="00963212"/>
    <w:rsid w:val="00963ACC"/>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327"/>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3E83"/>
    <w:rsid w:val="00A848A1"/>
    <w:rsid w:val="00A84C51"/>
    <w:rsid w:val="00A85157"/>
    <w:rsid w:val="00A8564D"/>
    <w:rsid w:val="00A8677B"/>
    <w:rsid w:val="00A869DE"/>
    <w:rsid w:val="00A87833"/>
    <w:rsid w:val="00A87F16"/>
    <w:rsid w:val="00A9312C"/>
    <w:rsid w:val="00A93D49"/>
    <w:rsid w:val="00A94E73"/>
    <w:rsid w:val="00A952CF"/>
    <w:rsid w:val="00A961D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6BCA"/>
    <w:rsid w:val="00B2016D"/>
    <w:rsid w:val="00B20DE1"/>
    <w:rsid w:val="00B211A7"/>
    <w:rsid w:val="00B215C0"/>
    <w:rsid w:val="00B219D9"/>
    <w:rsid w:val="00B2330E"/>
    <w:rsid w:val="00B23362"/>
    <w:rsid w:val="00B23949"/>
    <w:rsid w:val="00B24F9D"/>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AEA"/>
    <w:rsid w:val="00B90AEC"/>
    <w:rsid w:val="00B90EF0"/>
    <w:rsid w:val="00B911B6"/>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6C8"/>
    <w:rsid w:val="00C32023"/>
    <w:rsid w:val="00C3366F"/>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A24"/>
    <w:rsid w:val="00C62D51"/>
    <w:rsid w:val="00C63755"/>
    <w:rsid w:val="00C63946"/>
    <w:rsid w:val="00C63AD5"/>
    <w:rsid w:val="00C63E84"/>
    <w:rsid w:val="00C657DE"/>
    <w:rsid w:val="00C65B90"/>
    <w:rsid w:val="00C667DC"/>
    <w:rsid w:val="00C66B98"/>
    <w:rsid w:val="00C6715E"/>
    <w:rsid w:val="00C67C16"/>
    <w:rsid w:val="00C67E23"/>
    <w:rsid w:val="00C7286D"/>
    <w:rsid w:val="00C73041"/>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1173"/>
    <w:rsid w:val="00CB1858"/>
    <w:rsid w:val="00CB1D5B"/>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4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56"/>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1D7B"/>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1E2E"/>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8D0"/>
    <w:rsid w:val="00D8294F"/>
    <w:rsid w:val="00D8300E"/>
    <w:rsid w:val="00D83250"/>
    <w:rsid w:val="00D8407B"/>
    <w:rsid w:val="00D8442D"/>
    <w:rsid w:val="00D84EEC"/>
    <w:rsid w:val="00D853C1"/>
    <w:rsid w:val="00D8559B"/>
    <w:rsid w:val="00D860BF"/>
    <w:rsid w:val="00D86905"/>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4F36"/>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51C1"/>
    <w:rsid w:val="00F304D0"/>
    <w:rsid w:val="00F30A9D"/>
    <w:rsid w:val="00F30C9F"/>
    <w:rsid w:val="00F31CEE"/>
    <w:rsid w:val="00F31FEA"/>
    <w:rsid w:val="00F32B80"/>
    <w:rsid w:val="00F32DED"/>
    <w:rsid w:val="00F33518"/>
    <w:rsid w:val="00F336E9"/>
    <w:rsid w:val="00F33749"/>
    <w:rsid w:val="00F33DE3"/>
    <w:rsid w:val="00F34B14"/>
    <w:rsid w:val="00F36DDE"/>
    <w:rsid w:val="00F37177"/>
    <w:rsid w:val="00F37643"/>
    <w:rsid w:val="00F378FD"/>
    <w:rsid w:val="00F37B48"/>
    <w:rsid w:val="00F403B9"/>
    <w:rsid w:val="00F42020"/>
    <w:rsid w:val="00F442D9"/>
    <w:rsid w:val="00F44642"/>
    <w:rsid w:val="00F4632B"/>
    <w:rsid w:val="00F4688C"/>
    <w:rsid w:val="00F514C9"/>
    <w:rsid w:val="00F52767"/>
    <w:rsid w:val="00F54708"/>
    <w:rsid w:val="00F55831"/>
    <w:rsid w:val="00F55896"/>
    <w:rsid w:val="00F55B32"/>
    <w:rsid w:val="00F579BC"/>
    <w:rsid w:val="00F61727"/>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98E"/>
    <w:rsid w:val="00FD1FE2"/>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C04"/>
    <w:rsid w:val="00FF7056"/>
    <w:rsid w:val="00FF748C"/>
    <w:rsid w:val="00FF7DD5"/>
    <w:rsid w:val="01162B6E"/>
    <w:rsid w:val="0190627A"/>
    <w:rsid w:val="03441FDB"/>
    <w:rsid w:val="03507787"/>
    <w:rsid w:val="03CA05AD"/>
    <w:rsid w:val="03E45ECC"/>
    <w:rsid w:val="03F56CCF"/>
    <w:rsid w:val="05F35FC2"/>
    <w:rsid w:val="063D1DF1"/>
    <w:rsid w:val="066B0604"/>
    <w:rsid w:val="082C23FB"/>
    <w:rsid w:val="089D20C1"/>
    <w:rsid w:val="08CF70D6"/>
    <w:rsid w:val="08E6788B"/>
    <w:rsid w:val="090B5701"/>
    <w:rsid w:val="09C3197A"/>
    <w:rsid w:val="09FC30DE"/>
    <w:rsid w:val="0C1D0288"/>
    <w:rsid w:val="0D4903E8"/>
    <w:rsid w:val="0E3D142C"/>
    <w:rsid w:val="0E7B2151"/>
    <w:rsid w:val="0E861EB1"/>
    <w:rsid w:val="0E8F7796"/>
    <w:rsid w:val="10D9731B"/>
    <w:rsid w:val="121E2387"/>
    <w:rsid w:val="12527D3F"/>
    <w:rsid w:val="131B1EF1"/>
    <w:rsid w:val="14391899"/>
    <w:rsid w:val="1439793E"/>
    <w:rsid w:val="14AF1479"/>
    <w:rsid w:val="15170DCC"/>
    <w:rsid w:val="1527140D"/>
    <w:rsid w:val="15DC1BF8"/>
    <w:rsid w:val="1692174D"/>
    <w:rsid w:val="177C0275"/>
    <w:rsid w:val="17FD6785"/>
    <w:rsid w:val="180E295A"/>
    <w:rsid w:val="184B270E"/>
    <w:rsid w:val="188441AA"/>
    <w:rsid w:val="18AE6B14"/>
    <w:rsid w:val="18CA02C0"/>
    <w:rsid w:val="190A6C3F"/>
    <w:rsid w:val="19B32210"/>
    <w:rsid w:val="1B0B48E7"/>
    <w:rsid w:val="1CBD1DED"/>
    <w:rsid w:val="1CC47F67"/>
    <w:rsid w:val="1D1D719C"/>
    <w:rsid w:val="1D8601D5"/>
    <w:rsid w:val="1DE25462"/>
    <w:rsid w:val="1DEC57A6"/>
    <w:rsid w:val="1EC02A7F"/>
    <w:rsid w:val="1ED264CC"/>
    <w:rsid w:val="1F5806F3"/>
    <w:rsid w:val="1F7F413E"/>
    <w:rsid w:val="1FD35CFC"/>
    <w:rsid w:val="207356C9"/>
    <w:rsid w:val="20CA1787"/>
    <w:rsid w:val="21957174"/>
    <w:rsid w:val="22985EE1"/>
    <w:rsid w:val="229E4AB4"/>
    <w:rsid w:val="22A46395"/>
    <w:rsid w:val="22AF60AF"/>
    <w:rsid w:val="234436D4"/>
    <w:rsid w:val="23D519C4"/>
    <w:rsid w:val="23F8695E"/>
    <w:rsid w:val="252516DA"/>
    <w:rsid w:val="25394E29"/>
    <w:rsid w:val="254F0304"/>
    <w:rsid w:val="2564683A"/>
    <w:rsid w:val="264A72AF"/>
    <w:rsid w:val="267047E0"/>
    <w:rsid w:val="274E038B"/>
    <w:rsid w:val="27550925"/>
    <w:rsid w:val="27836C0D"/>
    <w:rsid w:val="27930786"/>
    <w:rsid w:val="280352BC"/>
    <w:rsid w:val="284878DB"/>
    <w:rsid w:val="284C37D9"/>
    <w:rsid w:val="291B32FA"/>
    <w:rsid w:val="29D3062F"/>
    <w:rsid w:val="29F85218"/>
    <w:rsid w:val="2A222295"/>
    <w:rsid w:val="2B006F32"/>
    <w:rsid w:val="2B636958"/>
    <w:rsid w:val="2CF67905"/>
    <w:rsid w:val="2D413313"/>
    <w:rsid w:val="2D430589"/>
    <w:rsid w:val="2ED865FC"/>
    <w:rsid w:val="2F252215"/>
    <w:rsid w:val="304B4B2A"/>
    <w:rsid w:val="307F5D4C"/>
    <w:rsid w:val="30C419B0"/>
    <w:rsid w:val="31553579"/>
    <w:rsid w:val="31AE396E"/>
    <w:rsid w:val="325202C7"/>
    <w:rsid w:val="32F96C6C"/>
    <w:rsid w:val="3303505A"/>
    <w:rsid w:val="332D5F33"/>
    <w:rsid w:val="338E4CA3"/>
    <w:rsid w:val="34511731"/>
    <w:rsid w:val="34517564"/>
    <w:rsid w:val="34BF1ED3"/>
    <w:rsid w:val="34C23398"/>
    <w:rsid w:val="353F6A07"/>
    <w:rsid w:val="356A304A"/>
    <w:rsid w:val="35734DF9"/>
    <w:rsid w:val="35942299"/>
    <w:rsid w:val="35AB4A5A"/>
    <w:rsid w:val="35EF5415"/>
    <w:rsid w:val="362020AE"/>
    <w:rsid w:val="36322D03"/>
    <w:rsid w:val="374F2918"/>
    <w:rsid w:val="37607F59"/>
    <w:rsid w:val="37AF03D6"/>
    <w:rsid w:val="37CF6DE7"/>
    <w:rsid w:val="380D257C"/>
    <w:rsid w:val="38327B47"/>
    <w:rsid w:val="38A76599"/>
    <w:rsid w:val="38C764ED"/>
    <w:rsid w:val="38CF1788"/>
    <w:rsid w:val="396174B2"/>
    <w:rsid w:val="39A44A75"/>
    <w:rsid w:val="39E23AA6"/>
    <w:rsid w:val="3A964ACE"/>
    <w:rsid w:val="3B023089"/>
    <w:rsid w:val="3C4163A0"/>
    <w:rsid w:val="3C917532"/>
    <w:rsid w:val="3C9C3E0C"/>
    <w:rsid w:val="3D597D80"/>
    <w:rsid w:val="3D8A7087"/>
    <w:rsid w:val="3E0D032D"/>
    <w:rsid w:val="3F49473B"/>
    <w:rsid w:val="3F671F82"/>
    <w:rsid w:val="40035191"/>
    <w:rsid w:val="40B97058"/>
    <w:rsid w:val="40C26478"/>
    <w:rsid w:val="40F122FE"/>
    <w:rsid w:val="41DC7796"/>
    <w:rsid w:val="4207560F"/>
    <w:rsid w:val="42584B8F"/>
    <w:rsid w:val="42977405"/>
    <w:rsid w:val="430A1813"/>
    <w:rsid w:val="434A1C9B"/>
    <w:rsid w:val="43E1072A"/>
    <w:rsid w:val="43E5128A"/>
    <w:rsid w:val="445C6758"/>
    <w:rsid w:val="44877C99"/>
    <w:rsid w:val="44B72B81"/>
    <w:rsid w:val="44E92A42"/>
    <w:rsid w:val="456B07BB"/>
    <w:rsid w:val="45897E0B"/>
    <w:rsid w:val="45966DF9"/>
    <w:rsid w:val="46B32E36"/>
    <w:rsid w:val="474A77E6"/>
    <w:rsid w:val="47C64E1E"/>
    <w:rsid w:val="489372FC"/>
    <w:rsid w:val="48B03576"/>
    <w:rsid w:val="4906325C"/>
    <w:rsid w:val="4A1F1582"/>
    <w:rsid w:val="4A331C29"/>
    <w:rsid w:val="4AE07AAE"/>
    <w:rsid w:val="4AEE71AF"/>
    <w:rsid w:val="4BA460A8"/>
    <w:rsid w:val="4BE60737"/>
    <w:rsid w:val="4C8271DE"/>
    <w:rsid w:val="4CC16F0F"/>
    <w:rsid w:val="4E2A5922"/>
    <w:rsid w:val="4ECD1266"/>
    <w:rsid w:val="4F13044C"/>
    <w:rsid w:val="50602DAF"/>
    <w:rsid w:val="50FA5F6B"/>
    <w:rsid w:val="50FB746F"/>
    <w:rsid w:val="52754DA9"/>
    <w:rsid w:val="528F3EFD"/>
    <w:rsid w:val="54211011"/>
    <w:rsid w:val="545729BE"/>
    <w:rsid w:val="54577EF9"/>
    <w:rsid w:val="54926725"/>
    <w:rsid w:val="555A6B0C"/>
    <w:rsid w:val="55CE24CE"/>
    <w:rsid w:val="5668574E"/>
    <w:rsid w:val="56AE73D3"/>
    <w:rsid w:val="572B2059"/>
    <w:rsid w:val="57596A47"/>
    <w:rsid w:val="590D0F11"/>
    <w:rsid w:val="59740C41"/>
    <w:rsid w:val="5B014FBA"/>
    <w:rsid w:val="5B5427A1"/>
    <w:rsid w:val="5B702AF7"/>
    <w:rsid w:val="5B8D5AB4"/>
    <w:rsid w:val="5B9670C7"/>
    <w:rsid w:val="5BE030F7"/>
    <w:rsid w:val="5C1D6E2F"/>
    <w:rsid w:val="5C841FC5"/>
    <w:rsid w:val="5C945334"/>
    <w:rsid w:val="5CDD0B6B"/>
    <w:rsid w:val="5CF05758"/>
    <w:rsid w:val="5D7F4F5F"/>
    <w:rsid w:val="5F093F14"/>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00694D"/>
    <w:rsid w:val="677D4B1E"/>
    <w:rsid w:val="67F6528F"/>
    <w:rsid w:val="68B202B8"/>
    <w:rsid w:val="69494F81"/>
    <w:rsid w:val="699177D7"/>
    <w:rsid w:val="6A002366"/>
    <w:rsid w:val="6A696B49"/>
    <w:rsid w:val="6AE3279B"/>
    <w:rsid w:val="6AF7675F"/>
    <w:rsid w:val="6B633C67"/>
    <w:rsid w:val="6BF13EE7"/>
    <w:rsid w:val="6D0E4456"/>
    <w:rsid w:val="6D4318D3"/>
    <w:rsid w:val="6D453BCD"/>
    <w:rsid w:val="6D4A1DD4"/>
    <w:rsid w:val="6D6C5E40"/>
    <w:rsid w:val="6D846981"/>
    <w:rsid w:val="6DB85F36"/>
    <w:rsid w:val="6E4E22DE"/>
    <w:rsid w:val="6E6248D9"/>
    <w:rsid w:val="6F841238"/>
    <w:rsid w:val="70310109"/>
    <w:rsid w:val="704600CC"/>
    <w:rsid w:val="70E55A63"/>
    <w:rsid w:val="71811C79"/>
    <w:rsid w:val="73BB6668"/>
    <w:rsid w:val="740B0ACF"/>
    <w:rsid w:val="74122E1F"/>
    <w:rsid w:val="746C1FCC"/>
    <w:rsid w:val="746C33F9"/>
    <w:rsid w:val="74740B9C"/>
    <w:rsid w:val="752E3E74"/>
    <w:rsid w:val="75A75379"/>
    <w:rsid w:val="75EA7560"/>
    <w:rsid w:val="76721C83"/>
    <w:rsid w:val="76C6501D"/>
    <w:rsid w:val="7758220A"/>
    <w:rsid w:val="78E026CC"/>
    <w:rsid w:val="7918723C"/>
    <w:rsid w:val="7A024BBA"/>
    <w:rsid w:val="7A9B2D4F"/>
    <w:rsid w:val="7AD462D8"/>
    <w:rsid w:val="7AD60594"/>
    <w:rsid w:val="7AE41F25"/>
    <w:rsid w:val="7B226FCC"/>
    <w:rsid w:val="7B5D4570"/>
    <w:rsid w:val="7B8D6DB6"/>
    <w:rsid w:val="7B912EB4"/>
    <w:rsid w:val="7B975C71"/>
    <w:rsid w:val="7B9B143E"/>
    <w:rsid w:val="7BD74C39"/>
    <w:rsid w:val="7BE954D1"/>
    <w:rsid w:val="7C045F98"/>
    <w:rsid w:val="7CEF67D5"/>
    <w:rsid w:val="7D785165"/>
    <w:rsid w:val="7E65091E"/>
    <w:rsid w:val="7F497DF4"/>
    <w:rsid w:val="7F5434CC"/>
    <w:rsid w:val="7FBE2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19" w:lineRule="auto"/>
      <w:outlineLvl w:val="8"/>
    </w:pPr>
    <w:rPr>
      <w:rFonts w:ascii="Arial" w:hAnsi="Arial" w:eastAsia="黑体"/>
    </w:rPr>
  </w:style>
  <w:style w:type="character" w:default="1" w:styleId="41">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pPr>
      <w:spacing w:after="120"/>
    </w:pPr>
  </w:style>
  <w:style w:type="paragraph" w:styleId="8">
    <w:name w:val="Normal Indent"/>
    <w:basedOn w:val="1"/>
    <w:link w:val="51"/>
    <w:qFormat/>
    <w:uiPriority w:val="0"/>
    <w:pPr>
      <w:ind w:firstLine="420"/>
    </w:pPr>
    <w:rPr>
      <w:szCs w:val="20"/>
    </w:rPr>
  </w:style>
  <w:style w:type="paragraph" w:styleId="13">
    <w:name w:val="List 3"/>
    <w:basedOn w:val="1"/>
    <w:qFormat/>
    <w:uiPriority w:val="0"/>
    <w:pPr>
      <w:ind w:left="600" w:leftChars="400" w:hanging="200" w:hangingChars="20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3"/>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55"/>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Block Text"/>
    <w:basedOn w:val="1"/>
    <w:unhideWhenUsed/>
    <w:qFormat/>
    <w:uiPriority w:val="99"/>
    <w:pPr>
      <w:spacing w:after="120" w:afterLines="0" w:afterAutospacing="0"/>
      <w:ind w:left="1440" w:leftChars="700" w:rightChars="700"/>
    </w:pPr>
  </w:style>
  <w:style w:type="paragraph" w:styleId="23">
    <w:name w:val="Plain Text"/>
    <w:basedOn w:val="1"/>
    <w:link w:val="58"/>
    <w:qFormat/>
    <w:uiPriority w:val="0"/>
    <w:rPr>
      <w:rFonts w:ascii="宋体" w:cs="Courier New"/>
      <w:szCs w:val="21"/>
    </w:rPr>
  </w:style>
  <w:style w:type="paragraph" w:styleId="24">
    <w:name w:val="Date"/>
    <w:basedOn w:val="1"/>
    <w:next w:val="1"/>
    <w:qFormat/>
    <w:uiPriority w:val="0"/>
    <w:pPr>
      <w:ind w:left="2500" w:leftChars="2500"/>
    </w:pPr>
  </w:style>
  <w:style w:type="paragraph" w:styleId="25">
    <w:name w:val="Body Text Indent 2"/>
    <w:basedOn w:val="1"/>
    <w:qFormat/>
    <w:uiPriority w:val="0"/>
    <w:pPr>
      <w:ind w:firstLine="630"/>
    </w:pPr>
    <w:rPr>
      <w:sz w:val="32"/>
      <w:szCs w:val="20"/>
    </w:rPr>
  </w:style>
  <w:style w:type="paragraph" w:styleId="26">
    <w:name w:val="endnote text"/>
    <w:basedOn w:val="1"/>
    <w:qFormat/>
    <w:uiPriority w:val="0"/>
    <w:pPr>
      <w:snapToGrid w:val="0"/>
      <w:jc w:val="left"/>
    </w:pPr>
  </w:style>
  <w:style w:type="paragraph" w:styleId="27">
    <w:name w:val="Balloon Text"/>
    <w:basedOn w:val="1"/>
    <w:link w:val="60"/>
    <w:qFormat/>
    <w:uiPriority w:val="0"/>
    <w:rPr>
      <w:sz w:val="18"/>
      <w:szCs w:val="18"/>
    </w:rPr>
  </w:style>
  <w:style w:type="paragraph" w:styleId="28">
    <w:name w:val="footer"/>
    <w:basedOn w:val="1"/>
    <w:link w:val="61"/>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pPr>
      <w:spacing w:line="320" w:lineRule="exact"/>
      <w:ind w:firstLine="150" w:firstLineChars="150"/>
    </w:pPr>
    <w:rPr>
      <w:rFonts w:ascii="宋体"/>
      <w:bCs/>
      <w:szCs w:val="21"/>
    </w:rPr>
  </w:style>
  <w:style w:type="paragraph" w:styleId="32">
    <w:name w:val="List"/>
    <w:basedOn w:val="1"/>
    <w:qFormat/>
    <w:uiPriority w:val="0"/>
    <w:pPr>
      <w:ind w:left="200" w:hanging="200" w:hangingChars="200"/>
    </w:pPr>
    <w:rPr>
      <w:sz w:val="28"/>
    </w:rPr>
  </w:style>
  <w:style w:type="paragraph" w:styleId="33">
    <w:name w:val="footnote text"/>
    <w:basedOn w:val="1"/>
    <w:qFormat/>
    <w:uiPriority w:val="0"/>
    <w:pPr>
      <w:snapToGrid w:val="0"/>
      <w:jc w:val="left"/>
    </w:pPr>
    <w:rPr>
      <w:sz w:val="18"/>
      <w:szCs w:val="18"/>
    </w:rPr>
  </w:style>
  <w:style w:type="paragraph" w:styleId="34">
    <w:name w:val="Body Text Indent 3"/>
    <w:basedOn w:val="1"/>
    <w:qFormat/>
    <w:uiPriority w:val="0"/>
    <w:pPr>
      <w:spacing w:after="120"/>
      <w:ind w:left="200" w:leftChars="200"/>
    </w:pPr>
    <w:rPr>
      <w:sz w:val="16"/>
      <w:szCs w:val="16"/>
    </w:rPr>
  </w:style>
  <w:style w:type="paragraph" w:styleId="35">
    <w:name w:val="Body Text 2"/>
    <w:basedOn w:val="1"/>
    <w:qFormat/>
    <w:uiPriority w:val="0"/>
    <w:pPr>
      <w:spacing w:after="120" w:line="480" w:lineRule="auto"/>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7"/>
    <w:next w:val="17"/>
    <w:qFormat/>
    <w:uiPriority w:val="0"/>
    <w:rPr>
      <w:b/>
      <w:bCs/>
    </w:rPr>
  </w:style>
  <w:style w:type="character" w:styleId="42">
    <w:name w:val="Strong"/>
    <w:qFormat/>
    <w:uiPriority w:val="22"/>
    <w:rPr>
      <w:rFonts w:ascii="Tahoma" w:hAnsi="Tahoma" w:eastAsia="宋体"/>
      <w:b/>
      <w:bCs/>
      <w:spacing w:val="10"/>
      <w:kern w:val="2"/>
      <w:sz w:val="24"/>
      <w:szCs w:val="24"/>
      <w:lang w:val="en-US" w:eastAsia="zh-CN" w:bidi="ar-SA"/>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字符"/>
    <w:link w:val="3"/>
    <w:qFormat/>
    <w:uiPriority w:val="0"/>
    <w:rPr>
      <w:rFonts w:eastAsia="宋体"/>
      <w:b/>
      <w:bCs/>
      <w:kern w:val="44"/>
      <w:sz w:val="44"/>
      <w:szCs w:val="44"/>
      <w:lang w:val="en-US" w:eastAsia="zh-CN" w:bidi="ar-SA"/>
    </w:rPr>
  </w:style>
  <w:style w:type="character" w:customStyle="1" w:styleId="49">
    <w:name w:val="标题 2 字符"/>
    <w:link w:val="4"/>
    <w:qFormat/>
    <w:uiPriority w:val="0"/>
    <w:rPr>
      <w:rFonts w:ascii="Cambria" w:hAnsi="Cambria" w:eastAsia="宋体"/>
      <w:b/>
      <w:bCs/>
      <w:kern w:val="2"/>
      <w:sz w:val="32"/>
      <w:szCs w:val="32"/>
      <w:lang w:val="en-US" w:eastAsia="zh-CN" w:bidi="ar-SA"/>
    </w:rPr>
  </w:style>
  <w:style w:type="character" w:customStyle="1" w:styleId="50">
    <w:name w:val="标题 3 字符"/>
    <w:link w:val="5"/>
    <w:qFormat/>
    <w:uiPriority w:val="0"/>
    <w:rPr>
      <w:rFonts w:eastAsia="宋体"/>
      <w:b/>
      <w:bCs/>
      <w:kern w:val="2"/>
      <w:sz w:val="32"/>
      <w:szCs w:val="32"/>
      <w:lang w:val="en-US" w:eastAsia="zh-CN" w:bidi="ar-SA"/>
    </w:rPr>
  </w:style>
  <w:style w:type="character" w:customStyle="1" w:styleId="51">
    <w:name w:val="正文缩进 字符"/>
    <w:link w:val="8"/>
    <w:semiHidden/>
    <w:qFormat/>
    <w:locked/>
    <w:uiPriority w:val="0"/>
    <w:rPr>
      <w:rFonts w:eastAsia="宋体"/>
      <w:kern w:val="2"/>
      <w:sz w:val="21"/>
      <w:lang w:val="en-US" w:eastAsia="zh-CN" w:bidi="ar-SA"/>
    </w:rPr>
  </w:style>
  <w:style w:type="paragraph" w:customStyle="1" w:styleId="52">
    <w:name w:val="目录 71"/>
    <w:basedOn w:val="1"/>
    <w:next w:val="1"/>
    <w:qFormat/>
    <w:uiPriority w:val="0"/>
    <w:pPr>
      <w:ind w:left="1200" w:leftChars="1200"/>
    </w:pPr>
    <w:rPr>
      <w:rFonts w:ascii="Calibri" w:hAnsi="Calibri"/>
      <w:szCs w:val="22"/>
    </w:rPr>
  </w:style>
  <w:style w:type="character" w:customStyle="1" w:styleId="53">
    <w:name w:val="批注文字 字符"/>
    <w:link w:val="17"/>
    <w:qFormat/>
    <w:uiPriority w:val="0"/>
    <w:rPr>
      <w:rFonts w:eastAsia="宋体"/>
      <w:kern w:val="2"/>
      <w:sz w:val="21"/>
      <w:szCs w:val="24"/>
      <w:lang w:val="en-US" w:eastAsia="zh-CN" w:bidi="ar-SA"/>
    </w:rPr>
  </w:style>
  <w:style w:type="character" w:customStyle="1" w:styleId="54">
    <w:name w:val="正文文本 字符"/>
    <w:link w:val="2"/>
    <w:qFormat/>
    <w:uiPriority w:val="0"/>
    <w:rPr>
      <w:kern w:val="2"/>
      <w:sz w:val="21"/>
      <w:szCs w:val="24"/>
    </w:rPr>
  </w:style>
  <w:style w:type="character" w:customStyle="1" w:styleId="55">
    <w:name w:val="正文文本缩进 字符"/>
    <w:link w:val="19"/>
    <w:qFormat/>
    <w:uiPriority w:val="0"/>
    <w:rPr>
      <w:rFonts w:ascii="仿宋_GB2312" w:eastAsia="仿宋_GB2312"/>
      <w:kern w:val="2"/>
      <w:sz w:val="32"/>
      <w:lang w:val="en-US" w:eastAsia="zh-CN" w:bidi="ar-SA"/>
    </w:rPr>
  </w:style>
  <w:style w:type="paragraph" w:customStyle="1" w:styleId="56">
    <w:name w:val="目录 51"/>
    <w:basedOn w:val="1"/>
    <w:next w:val="1"/>
    <w:qFormat/>
    <w:uiPriority w:val="0"/>
    <w:pPr>
      <w:ind w:left="800" w:leftChars="800"/>
    </w:pPr>
    <w:rPr>
      <w:rFonts w:ascii="Calibri" w:hAnsi="Calibri"/>
      <w:szCs w:val="22"/>
    </w:rPr>
  </w:style>
  <w:style w:type="paragraph" w:customStyle="1" w:styleId="57">
    <w:name w:val="目录 31"/>
    <w:basedOn w:val="1"/>
    <w:next w:val="1"/>
    <w:qFormat/>
    <w:uiPriority w:val="0"/>
    <w:pPr>
      <w:ind w:left="400" w:leftChars="400"/>
    </w:pPr>
    <w:rPr>
      <w:rFonts w:ascii="Calibri" w:hAnsi="Calibri"/>
      <w:szCs w:val="22"/>
    </w:rPr>
  </w:style>
  <w:style w:type="character" w:customStyle="1" w:styleId="58">
    <w:name w:val="纯文本 字符1"/>
    <w:link w:val="23"/>
    <w:qFormat/>
    <w:uiPriority w:val="0"/>
    <w:rPr>
      <w:rFonts w:ascii="宋体" w:eastAsia="宋体" w:cs="Courier New"/>
      <w:kern w:val="2"/>
      <w:sz w:val="21"/>
      <w:szCs w:val="21"/>
      <w:lang w:val="en-US" w:eastAsia="zh-CN" w:bidi="ar-SA"/>
    </w:rPr>
  </w:style>
  <w:style w:type="paragraph" w:customStyle="1" w:styleId="59">
    <w:name w:val="目录 81"/>
    <w:basedOn w:val="1"/>
    <w:next w:val="1"/>
    <w:qFormat/>
    <w:uiPriority w:val="0"/>
    <w:pPr>
      <w:ind w:left="1400" w:leftChars="1400"/>
    </w:pPr>
    <w:rPr>
      <w:rFonts w:ascii="Calibri" w:hAnsi="Calibri"/>
      <w:szCs w:val="22"/>
    </w:rPr>
  </w:style>
  <w:style w:type="character" w:customStyle="1" w:styleId="60">
    <w:name w:val="批注框文本 字符"/>
    <w:link w:val="27"/>
    <w:qFormat/>
    <w:uiPriority w:val="0"/>
    <w:rPr>
      <w:rFonts w:eastAsia="宋体"/>
      <w:kern w:val="2"/>
      <w:sz w:val="18"/>
      <w:szCs w:val="18"/>
      <w:lang w:val="en-US" w:eastAsia="zh-CN" w:bidi="ar-SA"/>
    </w:rPr>
  </w:style>
  <w:style w:type="character" w:customStyle="1" w:styleId="61">
    <w:name w:val="页脚 字符"/>
    <w:link w:val="28"/>
    <w:qFormat/>
    <w:uiPriority w:val="99"/>
    <w:rPr>
      <w:rFonts w:eastAsia="宋体"/>
      <w:kern w:val="2"/>
      <w:sz w:val="18"/>
      <w:szCs w:val="18"/>
      <w:lang w:val="en-US" w:eastAsia="zh-CN" w:bidi="ar-SA"/>
    </w:rPr>
  </w:style>
  <w:style w:type="paragraph" w:customStyle="1" w:styleId="62">
    <w:name w:val="目录 11"/>
    <w:basedOn w:val="1"/>
    <w:next w:val="1"/>
    <w:qFormat/>
    <w:uiPriority w:val="39"/>
  </w:style>
  <w:style w:type="paragraph" w:customStyle="1" w:styleId="63">
    <w:name w:val="目录 41"/>
    <w:basedOn w:val="1"/>
    <w:next w:val="1"/>
    <w:qFormat/>
    <w:uiPriority w:val="0"/>
    <w:pPr>
      <w:ind w:left="600" w:leftChars="600"/>
    </w:pPr>
    <w:rPr>
      <w:rFonts w:ascii="Calibri" w:hAnsi="Calibri"/>
      <w:szCs w:val="22"/>
    </w:rPr>
  </w:style>
  <w:style w:type="paragraph" w:customStyle="1" w:styleId="64">
    <w:name w:val="目录 61"/>
    <w:basedOn w:val="1"/>
    <w:next w:val="1"/>
    <w:qFormat/>
    <w:uiPriority w:val="0"/>
    <w:pPr>
      <w:ind w:left="1000" w:leftChars="1000"/>
    </w:pPr>
    <w:rPr>
      <w:rFonts w:ascii="Calibri" w:hAnsi="Calibri"/>
      <w:szCs w:val="22"/>
    </w:rPr>
  </w:style>
  <w:style w:type="paragraph" w:customStyle="1" w:styleId="65">
    <w:name w:val="目录 21"/>
    <w:basedOn w:val="1"/>
    <w:next w:val="1"/>
    <w:qFormat/>
    <w:uiPriority w:val="39"/>
    <w:pPr>
      <w:ind w:left="200" w:leftChars="200"/>
    </w:pPr>
  </w:style>
  <w:style w:type="paragraph" w:customStyle="1" w:styleId="66">
    <w:name w:val="目录 91"/>
    <w:basedOn w:val="1"/>
    <w:next w:val="1"/>
    <w:qFormat/>
    <w:uiPriority w:val="0"/>
    <w:pPr>
      <w:ind w:left="1600" w:leftChars="1600"/>
    </w:pPr>
    <w:rPr>
      <w:rFonts w:ascii="Calibri" w:hAnsi="Calibri"/>
      <w:szCs w:val="22"/>
    </w:rPr>
  </w:style>
  <w:style w:type="paragraph" w:customStyle="1" w:styleId="67">
    <w:name w:val="正文首行缩进1"/>
    <w:basedOn w:val="2"/>
    <w:qFormat/>
    <w:uiPriority w:val="0"/>
    <w:pPr>
      <w:ind w:firstLine="100" w:firstLineChars="100"/>
    </w:pPr>
    <w:rPr>
      <w:rFonts w:ascii="宋体"/>
      <w:kern w:val="0"/>
      <w:sz w:val="20"/>
      <w:szCs w:val="21"/>
    </w:rPr>
  </w:style>
  <w:style w:type="character" w:customStyle="1" w:styleId="68">
    <w:name w:val="纯文本 Char3"/>
    <w:qFormat/>
    <w:uiPriority w:val="0"/>
    <w:rPr>
      <w:rFonts w:ascii="宋体" w:hAnsi="Courier New" w:eastAsia="宋体"/>
      <w:kern w:val="2"/>
      <w:sz w:val="21"/>
      <w:lang w:val="en-US" w:eastAsia="zh-CN" w:bidi="ar-SA"/>
    </w:rPr>
  </w:style>
  <w:style w:type="character" w:customStyle="1" w:styleId="69">
    <w:name w:val="Char Char14"/>
    <w:qFormat/>
    <w:uiPriority w:val="0"/>
    <w:rPr>
      <w:rFonts w:ascii="Cambria" w:hAnsi="Cambria" w:eastAsia="宋体" w:cs="Times New Roman"/>
      <w:sz w:val="21"/>
      <w:szCs w:val="21"/>
      <w:lang w:bidi="ar-SA"/>
    </w:rPr>
  </w:style>
  <w:style w:type="character" w:customStyle="1" w:styleId="70">
    <w:name w:val="无缩进 Char"/>
    <w:qFormat/>
    <w:uiPriority w:val="0"/>
    <w:rPr>
      <w:rFonts w:ascii="Times New Roman" w:hAnsi="Times New Roman" w:eastAsia="宋体" w:cs="Times New Roman"/>
      <w:kern w:val="2"/>
      <w:sz w:val="21"/>
      <w:szCs w:val="20"/>
      <w:lang w:bidi="ar-SA"/>
    </w:rPr>
  </w:style>
  <w:style w:type="character" w:customStyle="1" w:styleId="71">
    <w:name w:val="st1"/>
    <w:qFormat/>
    <w:uiPriority w:val="0"/>
  </w:style>
  <w:style w:type="character" w:customStyle="1" w:styleId="72">
    <w:name w:val="Char Char15"/>
    <w:qFormat/>
    <w:uiPriority w:val="0"/>
    <w:rPr>
      <w:rFonts w:ascii="Cambria" w:hAnsi="Cambria" w:eastAsia="宋体" w:cs="Times New Roman"/>
      <w:sz w:val="24"/>
      <w:szCs w:val="24"/>
      <w:lang w:bidi="ar-SA"/>
    </w:rPr>
  </w:style>
  <w:style w:type="character" w:customStyle="1" w:styleId="73">
    <w:name w:val="Char Char17"/>
    <w:qFormat/>
    <w:uiPriority w:val="0"/>
    <w:rPr>
      <w:rFonts w:ascii="Cambria" w:hAnsi="Cambria" w:eastAsia="宋体" w:cs="Times New Roman"/>
      <w:b/>
      <w:bCs/>
      <w:sz w:val="24"/>
      <w:szCs w:val="24"/>
      <w:lang w:bidi="ar-SA"/>
    </w:rPr>
  </w:style>
  <w:style w:type="character" w:customStyle="1" w:styleId="74">
    <w:name w:val="纯文本 字符"/>
    <w:qFormat/>
    <w:uiPriority w:val="0"/>
    <w:rPr>
      <w:rFonts w:ascii="宋体" w:hAnsi="Courier New" w:eastAsia="宋体"/>
      <w:kern w:val="2"/>
      <w:sz w:val="21"/>
      <w:lang w:val="en-US" w:eastAsia="zh-CN" w:bidi="ar-SA"/>
    </w:rPr>
  </w:style>
  <w:style w:type="character" w:customStyle="1" w:styleId="75">
    <w:name w:val="普通文字 Char Char2"/>
    <w:qFormat/>
    <w:uiPriority w:val="0"/>
    <w:rPr>
      <w:rFonts w:ascii="宋体" w:eastAsia="宋体"/>
      <w:kern w:val="2"/>
      <w:sz w:val="21"/>
      <w:lang w:val="en-US" w:eastAsia="zh-CN" w:bidi="ar-SA"/>
    </w:rPr>
  </w:style>
  <w:style w:type="character" w:customStyle="1" w:styleId="76">
    <w:name w:val="textcontents"/>
    <w:qFormat/>
    <w:uiPriority w:val="0"/>
  </w:style>
  <w:style w:type="character" w:customStyle="1" w:styleId="77">
    <w:name w:val="普通文字 Char Char1"/>
    <w:qFormat/>
    <w:uiPriority w:val="0"/>
    <w:rPr>
      <w:rFonts w:ascii="宋体" w:hAnsi="Courier New" w:eastAsia="宋体" w:cs="Courier New"/>
      <w:kern w:val="2"/>
      <w:sz w:val="21"/>
      <w:szCs w:val="21"/>
      <w:lang w:val="en-US" w:eastAsia="zh-CN" w:bidi="ar-SA"/>
    </w:rPr>
  </w:style>
  <w:style w:type="character" w:customStyle="1" w:styleId="78">
    <w:name w:val="Char Char16"/>
    <w:qFormat/>
    <w:uiPriority w:val="0"/>
    <w:rPr>
      <w:rFonts w:ascii="Calibri" w:hAnsi="Calibri" w:eastAsia="宋体" w:cs="Times New Roman"/>
      <w:b/>
      <w:bCs/>
      <w:sz w:val="24"/>
      <w:szCs w:val="24"/>
      <w:lang w:bidi="ar-SA"/>
    </w:rPr>
  </w:style>
  <w:style w:type="character" w:customStyle="1" w:styleId="79">
    <w:name w:val="ca-1"/>
    <w:qFormat/>
    <w:uiPriority w:val="0"/>
  </w:style>
  <w:style w:type="character" w:customStyle="1" w:styleId="80">
    <w:name w:val="apple-style-span"/>
    <w:qFormat/>
    <w:uiPriority w:val="0"/>
  </w:style>
  <w:style w:type="character" w:customStyle="1" w:styleId="81">
    <w:name w:val="标题 2 Char"/>
    <w:qFormat/>
    <w:uiPriority w:val="0"/>
    <w:rPr>
      <w:rFonts w:ascii="Cambria" w:hAnsi="Cambria" w:eastAsia="宋体" w:cs="Times New Roman"/>
      <w:b/>
      <w:bCs/>
      <w:color w:val="4F81BD"/>
      <w:kern w:val="2"/>
      <w:sz w:val="26"/>
      <w:szCs w:val="26"/>
      <w:lang w:bidi="ar-SA"/>
    </w:rPr>
  </w:style>
  <w:style w:type="character" w:customStyle="1" w:styleId="82">
    <w:name w:val="apple-converted-space"/>
    <w:qFormat/>
    <w:uiPriority w:val="0"/>
  </w:style>
  <w:style w:type="character" w:customStyle="1" w:styleId="83">
    <w:name w:val="ca-2"/>
    <w:qFormat/>
    <w:uiPriority w:val="0"/>
  </w:style>
  <w:style w:type="character" w:customStyle="1" w:styleId="84">
    <w:name w:val="Char Char11"/>
    <w:qFormat/>
    <w:uiPriority w:val="0"/>
    <w:rPr>
      <w:rFonts w:ascii="Times New Roman" w:hAnsi="Times New Roman" w:eastAsia="宋体" w:cs="Times New Roman"/>
      <w:kern w:val="2"/>
      <w:sz w:val="21"/>
      <w:szCs w:val="20"/>
      <w:lang w:bidi="ar-SA"/>
    </w:rPr>
  </w:style>
  <w:style w:type="character" w:customStyle="1" w:styleId="85">
    <w:name w:val="Char Char9"/>
    <w:qFormat/>
    <w:uiPriority w:val="0"/>
    <w:rPr>
      <w:rFonts w:ascii="Calibri" w:hAnsi="Calibri" w:eastAsia="宋体" w:cs="Times New Roman"/>
      <w:kern w:val="2"/>
      <w:sz w:val="18"/>
      <w:szCs w:val="18"/>
      <w:lang w:val="en-US" w:eastAsia="zh-CN" w:bidi="ar-SA"/>
    </w:rPr>
  </w:style>
  <w:style w:type="character" w:customStyle="1" w:styleId="86">
    <w:name w:val="fontorange1"/>
    <w:qFormat/>
    <w:uiPriority w:val="0"/>
    <w:rPr>
      <w:rFonts w:ascii="ˎ̥" w:hAnsi="ˎ̥" w:eastAsia="宋体"/>
      <w:color w:val="FF6600"/>
      <w:kern w:val="2"/>
      <w:sz w:val="18"/>
      <w:szCs w:val="18"/>
      <w:lang w:val="en-US" w:eastAsia="zh-CN" w:bidi="ar-SA"/>
    </w:rPr>
  </w:style>
  <w:style w:type="character" w:customStyle="1" w:styleId="87">
    <w:name w:val="未处理的提及1"/>
    <w:unhideWhenUsed/>
    <w:qFormat/>
    <w:uiPriority w:val="99"/>
    <w:rPr>
      <w:color w:val="605E5C"/>
      <w:shd w:val="clear" w:color="auto" w:fill="E1DFDD"/>
    </w:rPr>
  </w:style>
  <w:style w:type="character" w:customStyle="1" w:styleId="88">
    <w:name w:val="Char Char171"/>
    <w:qFormat/>
    <w:uiPriority w:val="0"/>
    <w:rPr>
      <w:rFonts w:ascii="Calibri" w:hAnsi="Calibri" w:eastAsia="宋体" w:cs="Times New Roman"/>
      <w:b/>
      <w:bCs/>
      <w:kern w:val="2"/>
      <w:sz w:val="32"/>
      <w:szCs w:val="32"/>
      <w:lang w:val="en-US" w:eastAsia="zh-CN" w:bidi="ar-SA"/>
    </w:rPr>
  </w:style>
  <w:style w:type="character" w:customStyle="1" w:styleId="89">
    <w:name w:val="Char Char3"/>
    <w:qFormat/>
    <w:locked/>
    <w:uiPriority w:val="0"/>
    <w:rPr>
      <w:rFonts w:ascii="宋体" w:hAnsi="宋体" w:eastAsia="宋体"/>
      <w:kern w:val="2"/>
      <w:sz w:val="21"/>
      <w:szCs w:val="24"/>
      <w:lang w:val="en-US" w:eastAsia="zh-CN" w:bidi="ar-SA"/>
    </w:rPr>
  </w:style>
  <w:style w:type="character" w:customStyle="1" w:styleId="90">
    <w:name w:val="2nd level Char"/>
    <w:qFormat/>
    <w:uiPriority w:val="0"/>
    <w:rPr>
      <w:rFonts w:ascii="Arial" w:hAnsi="Arial" w:eastAsia="黑体" w:cs="Times New Roman"/>
      <w:b/>
      <w:bCs/>
      <w:kern w:val="2"/>
      <w:sz w:val="32"/>
      <w:szCs w:val="32"/>
      <w:lang w:bidi="ar-SA"/>
    </w:rPr>
  </w:style>
  <w:style w:type="character" w:customStyle="1" w:styleId="91">
    <w:name w:val="1ji Char"/>
    <w:link w:val="92"/>
    <w:qFormat/>
    <w:uiPriority w:val="0"/>
    <w:rPr>
      <w:rFonts w:ascii="宋体" w:hAnsi="宋体" w:eastAsia="仿宋_GB2312"/>
      <w:b/>
      <w:bCs/>
      <w:kern w:val="44"/>
      <w:sz w:val="36"/>
      <w:szCs w:val="44"/>
      <w:lang w:val="en-US" w:eastAsia="zh-CN" w:bidi="ar-SA"/>
    </w:rPr>
  </w:style>
  <w:style w:type="paragraph" w:customStyle="1" w:styleId="92">
    <w:name w:val="1ji"/>
    <w:basedOn w:val="3"/>
    <w:link w:val="91"/>
    <w:qFormat/>
    <w:uiPriority w:val="0"/>
    <w:pPr>
      <w:keepLines w:val="0"/>
      <w:widowControl/>
      <w:spacing w:before="0" w:after="0" w:line="240" w:lineRule="auto"/>
      <w:jc w:val="center"/>
    </w:pPr>
    <w:rPr>
      <w:rFonts w:ascii="宋体" w:hAnsi="宋体" w:eastAsia="仿宋_GB2312"/>
      <w:sz w:val="36"/>
    </w:rPr>
  </w:style>
  <w:style w:type="character" w:customStyle="1" w:styleId="93">
    <w:name w:val="正文小标题 Char Char"/>
    <w:qFormat/>
    <w:uiPriority w:val="0"/>
    <w:rPr>
      <w:rFonts w:ascii="仿宋_GB2312" w:eastAsia="仿宋_GB2312" w:cs="Times New Roman"/>
      <w:kern w:val="2"/>
      <w:sz w:val="32"/>
      <w:szCs w:val="20"/>
      <w:lang w:bidi="ar-SA"/>
    </w:rPr>
  </w:style>
  <w:style w:type="character" w:customStyle="1" w:styleId="94">
    <w:name w:val="Char Char18"/>
    <w:qFormat/>
    <w:uiPriority w:val="0"/>
    <w:rPr>
      <w:rFonts w:ascii="Calibri" w:hAnsi="Calibri" w:eastAsia="宋体" w:cs="Times New Roman"/>
      <w:b/>
      <w:bCs/>
      <w:sz w:val="28"/>
      <w:szCs w:val="28"/>
      <w:lang w:bidi="ar-SA"/>
    </w:rPr>
  </w:style>
  <w:style w:type="character" w:customStyle="1" w:styleId="95">
    <w:name w:val="ca-12"/>
    <w:qFormat/>
    <w:uiPriority w:val="0"/>
    <w:rPr>
      <w:rFonts w:eastAsia="宋体" w:cs="Times New Roman"/>
      <w:kern w:val="2"/>
      <w:sz w:val="24"/>
      <w:szCs w:val="24"/>
      <w:lang w:val="en-US" w:eastAsia="zh-CN" w:bidi="ar-SA"/>
    </w:rPr>
  </w:style>
  <w:style w:type="character" w:customStyle="1" w:styleId="96">
    <w:name w:val="Char Char12"/>
    <w:qFormat/>
    <w:uiPriority w:val="0"/>
    <w:rPr>
      <w:rFonts w:ascii="Times New Roman" w:hAnsi="Times New Roman" w:eastAsia="宋体" w:cs="Times New Roman"/>
      <w:kern w:val="2"/>
      <w:sz w:val="18"/>
      <w:szCs w:val="18"/>
      <w:lang w:bidi="ar-SA"/>
    </w:rPr>
  </w:style>
  <w:style w:type="character" w:customStyle="1" w:styleId="97">
    <w:name w:val="Char Char13"/>
    <w:qFormat/>
    <w:uiPriority w:val="0"/>
    <w:rPr>
      <w:rFonts w:ascii="Times New Roman" w:hAnsi="Times New Roman" w:eastAsia="宋体" w:cs="Times New Roman"/>
      <w:kern w:val="2"/>
      <w:sz w:val="18"/>
      <w:szCs w:val="18"/>
      <w:lang w:bidi="ar-SA"/>
    </w:rPr>
  </w:style>
  <w:style w:type="character" w:customStyle="1" w:styleId="98">
    <w:name w:val="short_text"/>
    <w:qFormat/>
    <w:uiPriority w:val="0"/>
    <w:rPr>
      <w:rFonts w:eastAsia="宋体"/>
      <w:kern w:val="2"/>
      <w:sz w:val="24"/>
      <w:szCs w:val="24"/>
      <w:lang w:val="en-US" w:eastAsia="zh-CN" w:bidi="ar-SA"/>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1">
    <w:name w:val="样式 首行缩进:  2 字符"/>
    <w:basedOn w:val="1"/>
    <w:qFormat/>
    <w:uiPriority w:val="0"/>
    <w:pPr>
      <w:spacing w:line="400" w:lineRule="exact"/>
      <w:ind w:firstLine="200" w:firstLineChars="200"/>
    </w:pPr>
    <w:rPr>
      <w:rFonts w:cs="宋体"/>
      <w:sz w:val="24"/>
    </w:rPr>
  </w:style>
  <w:style w:type="paragraph" w:customStyle="1" w:styleId="102">
    <w:name w:val="正文首行缩进两字符"/>
    <w:basedOn w:val="1"/>
    <w:qFormat/>
    <w:uiPriority w:val="0"/>
    <w:pPr>
      <w:spacing w:line="360" w:lineRule="auto"/>
      <w:ind w:firstLine="200" w:firstLineChars="200"/>
    </w:pPr>
  </w:style>
  <w:style w:type="paragraph" w:customStyle="1" w:styleId="10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pa-5"/>
    <w:basedOn w:val="1"/>
    <w:qFormat/>
    <w:uiPriority w:val="0"/>
    <w:pPr>
      <w:widowControl/>
      <w:spacing w:before="150" w:after="150"/>
      <w:jc w:val="left"/>
    </w:pPr>
    <w:rPr>
      <w:rFonts w:ascii="宋体" w:hAnsi="宋体" w:cs="宋体"/>
      <w:kern w:val="0"/>
      <w:sz w:val="24"/>
    </w:rPr>
  </w:style>
  <w:style w:type="paragraph" w:customStyle="1" w:styleId="10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TOC 标题1"/>
    <w:basedOn w:val="3"/>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0">
    <w:name w:val="Char Char2 Char"/>
    <w:basedOn w:val="1"/>
    <w:qFormat/>
    <w:uiPriority w:val="0"/>
    <w:rPr>
      <w:rFonts w:ascii="宋体"/>
      <w:b/>
      <w:sz w:val="28"/>
      <w:szCs w:val="28"/>
    </w:rPr>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表格"/>
    <w:basedOn w:val="1"/>
    <w:qFormat/>
    <w:uiPriority w:val="0"/>
    <w:pPr>
      <w:spacing w:line="400" w:lineRule="exact"/>
    </w:pPr>
    <w:rPr>
      <w:sz w:val="24"/>
    </w:rPr>
  </w:style>
  <w:style w:type="paragraph" w:customStyle="1" w:styleId="115">
    <w:name w:val="标题-3"/>
    <w:basedOn w:val="1"/>
    <w:qFormat/>
    <w:uiPriority w:val="0"/>
    <w:pPr>
      <w:spacing w:before="50" w:beforeLines="50" w:after="50" w:afterLines="50"/>
      <w:outlineLvl w:val="2"/>
    </w:pPr>
    <w:rPr>
      <w:rFonts w:ascii="宋体"/>
      <w:b/>
      <w:kern w:val="0"/>
      <w:sz w:val="24"/>
    </w:rPr>
  </w:style>
  <w:style w:type="paragraph" w:customStyle="1" w:styleId="116">
    <w:name w:val="Char1"/>
    <w:basedOn w:val="1"/>
    <w:qFormat/>
    <w:uiPriority w:val="0"/>
    <w:rPr>
      <w:szCs w:val="21"/>
    </w:rPr>
  </w:style>
  <w:style w:type="paragraph" w:customStyle="1" w:styleId="117">
    <w:name w:val="列出段落1"/>
    <w:basedOn w:val="1"/>
    <w:qFormat/>
    <w:uiPriority w:val="0"/>
    <w:pPr>
      <w:ind w:firstLine="200" w:firstLineChars="200"/>
    </w:pPr>
  </w:style>
  <w:style w:type="paragraph" w:customStyle="1" w:styleId="11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题注5"/>
    <w:basedOn w:val="1"/>
    <w:next w:val="15"/>
    <w:qFormat/>
    <w:uiPriority w:val="0"/>
    <w:pPr>
      <w:jc w:val="center"/>
    </w:pPr>
    <w:rPr>
      <w:b/>
      <w:color w:val="000000"/>
      <w:sz w:val="24"/>
      <w:szCs w:val="21"/>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Char2"/>
    <w:basedOn w:val="16"/>
    <w:qFormat/>
    <w:uiPriority w:val="0"/>
    <w:rPr>
      <w:rFonts w:ascii="Tahoma" w:hAnsi="Tahoma" w:cs="Tahoma"/>
      <w:kern w:val="0"/>
      <w:sz w:val="18"/>
    </w:rPr>
  </w:style>
  <w:style w:type="paragraph" w:customStyle="1" w:styleId="124">
    <w:name w:val="Char Char Char1 Char"/>
    <w:basedOn w:val="16"/>
    <w:qFormat/>
    <w:uiPriority w:val="0"/>
  </w:style>
  <w:style w:type="paragraph" w:customStyle="1" w:styleId="125">
    <w:name w:val="五级标题"/>
    <w:basedOn w:val="1"/>
    <w:qFormat/>
    <w:uiPriority w:val="0"/>
    <w:pPr>
      <w:numPr>
        <w:ilvl w:val="0"/>
        <w:numId w:val="4"/>
      </w:numPr>
      <w:spacing w:line="360" w:lineRule="auto"/>
      <w:outlineLvl w:val="4"/>
    </w:pPr>
    <w:rPr>
      <w:rFonts w:eastAsia="黑体"/>
      <w:b/>
      <w:sz w:val="28"/>
      <w:szCs w:val="20"/>
    </w:rPr>
  </w:style>
  <w:style w:type="paragraph" w:customStyle="1" w:styleId="12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8">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29">
    <w:name w:val="题注4"/>
    <w:basedOn w:val="1"/>
    <w:next w:val="15"/>
    <w:qFormat/>
    <w:uiPriority w:val="0"/>
    <w:pPr>
      <w:ind w:left="-62" w:leftChars="-64" w:right="-50" w:rightChars="-50" w:hanging="2"/>
      <w:jc w:val="center"/>
    </w:pPr>
    <w:rPr>
      <w:b/>
      <w:color w:val="FF0000"/>
      <w:szCs w:val="21"/>
      <w:lang w:val="en-GB" w:eastAsia="en-GB"/>
    </w:rPr>
  </w:style>
  <w:style w:type="paragraph" w:customStyle="1" w:styleId="13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1">
    <w:name w:val="默认段落字体 Para Char"/>
    <w:basedOn w:val="1"/>
    <w:qFormat/>
    <w:uiPriority w:val="0"/>
    <w:rPr>
      <w:rFonts w:ascii="宋体"/>
      <w:b/>
      <w:sz w:val="28"/>
      <w:szCs w:val="28"/>
    </w:rPr>
  </w:style>
  <w:style w:type="paragraph" w:customStyle="1" w:styleId="132">
    <w:name w:val="_Style 35"/>
    <w:basedOn w:val="16"/>
    <w:qFormat/>
    <w:uiPriority w:val="0"/>
    <w:pPr>
      <w:widowControl/>
      <w:ind w:firstLine="454"/>
      <w:jc w:val="left"/>
    </w:pPr>
  </w:style>
  <w:style w:type="paragraph" w:customStyle="1" w:styleId="133">
    <w:name w:val="Char Char Char1"/>
    <w:basedOn w:val="1"/>
    <w:qFormat/>
    <w:uiPriority w:val="0"/>
    <w:rPr>
      <w:rFonts w:ascii="Tahoma" w:hAnsi="Tahoma"/>
      <w:sz w:val="24"/>
      <w:szCs w:val="20"/>
    </w:rPr>
  </w:style>
  <w:style w:type="paragraph" w:customStyle="1" w:styleId="134">
    <w:name w:val="Char Char2 Char Char Char Char Char"/>
    <w:basedOn w:val="1"/>
    <w:qFormat/>
    <w:uiPriority w:val="0"/>
    <w:pPr>
      <w:numPr>
        <w:ilvl w:val="0"/>
        <w:numId w:val="5"/>
      </w:numPr>
    </w:pPr>
    <w:rPr>
      <w:sz w:val="24"/>
    </w:rPr>
  </w:style>
  <w:style w:type="paragraph" w:customStyle="1" w:styleId="135">
    <w:name w:val="Char Char Char Char Char Char Char"/>
    <w:basedOn w:val="1"/>
    <w:qFormat/>
    <w:uiPriority w:val="0"/>
    <w:pPr>
      <w:tabs>
        <w:tab w:val="left" w:pos="425"/>
      </w:tabs>
      <w:ind w:left="425" w:hanging="425"/>
    </w:pPr>
    <w:rPr>
      <w:rFonts w:eastAsia="仿宋_GB2312"/>
      <w:kern w:val="24"/>
      <w:sz w:val="24"/>
    </w:rPr>
  </w:style>
  <w:style w:type="paragraph" w:customStyle="1" w:styleId="136">
    <w:name w:val="1"/>
    <w:basedOn w:val="1"/>
    <w:next w:val="23"/>
    <w:qFormat/>
    <w:uiPriority w:val="0"/>
    <w:rPr>
      <w:rFonts w:ascii="宋体" w:hAnsi="Courier New"/>
      <w:szCs w:val="20"/>
    </w:rPr>
  </w:style>
  <w:style w:type="paragraph" w:customStyle="1" w:styleId="137">
    <w:name w:val="办公自动化专用标题"/>
    <w:basedOn w:val="38"/>
    <w:qFormat/>
    <w:uiPriority w:val="0"/>
    <w:pPr>
      <w:spacing w:line="560" w:lineRule="atLeast"/>
    </w:pPr>
    <w:rPr>
      <w:rFonts w:ascii="宋体"/>
      <w:bCs w:val="0"/>
      <w:sz w:val="44"/>
      <w:szCs w:val="20"/>
    </w:rPr>
  </w:style>
  <w:style w:type="paragraph" w:customStyle="1" w:styleId="138">
    <w:name w:val="招标文件样式2"/>
    <w:basedOn w:val="1"/>
    <w:qFormat/>
    <w:uiPriority w:val="0"/>
    <w:pPr>
      <w:jc w:val="center"/>
      <w:outlineLvl w:val="0"/>
    </w:pPr>
    <w:rPr>
      <w:rFonts w:ascii="宋体"/>
      <w:b/>
      <w:sz w:val="28"/>
      <w:szCs w:val="28"/>
    </w:rPr>
  </w:style>
  <w:style w:type="paragraph" w:customStyle="1" w:styleId="1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0">
    <w:name w:val="Zchn Zchn"/>
    <w:basedOn w:val="1"/>
    <w:qFormat/>
    <w:uiPriority w:val="0"/>
    <w:rPr>
      <w:rFonts w:ascii="Tahoma" w:hAnsi="Tahoma"/>
      <w:sz w:val="24"/>
      <w:szCs w:val="20"/>
    </w:rPr>
  </w:style>
  <w:style w:type="paragraph" w:customStyle="1" w:styleId="141">
    <w:name w:val="表格文字"/>
    <w:basedOn w:val="1"/>
    <w:qFormat/>
    <w:uiPriority w:val="0"/>
    <w:pPr>
      <w:spacing w:before="25" w:after="25"/>
      <w:jc w:val="left"/>
    </w:pPr>
    <w:rPr>
      <w:bCs/>
      <w:spacing w:val="10"/>
      <w:kern w:val="0"/>
      <w:sz w:val="24"/>
      <w:szCs w:val="20"/>
    </w:rPr>
  </w:style>
  <w:style w:type="paragraph" w:customStyle="1" w:styleId="1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3">
    <w:name w:val="Char Char Char1 Char1"/>
    <w:basedOn w:val="1"/>
    <w:qFormat/>
    <w:uiPriority w:val="0"/>
    <w:rPr>
      <w:rFonts w:ascii="Calibri" w:hAnsi="Calibri"/>
      <w:szCs w:val="22"/>
    </w:rPr>
  </w:style>
  <w:style w:type="paragraph" w:customStyle="1" w:styleId="144">
    <w:name w:val="正文段"/>
    <w:basedOn w:val="1"/>
    <w:qFormat/>
    <w:uiPriority w:val="0"/>
    <w:pPr>
      <w:widowControl/>
      <w:snapToGrid w:val="0"/>
      <w:spacing w:after="50" w:afterLines="50"/>
      <w:ind w:firstLine="200" w:firstLineChars="200"/>
    </w:pPr>
    <w:rPr>
      <w:kern w:val="0"/>
      <w:sz w:val="24"/>
      <w:szCs w:val="20"/>
    </w:rPr>
  </w:style>
  <w:style w:type="paragraph" w:customStyle="1" w:styleId="14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6">
    <w:name w:val="四级标题"/>
    <w:basedOn w:val="1"/>
    <w:qFormat/>
    <w:uiPriority w:val="0"/>
    <w:pPr>
      <w:numPr>
        <w:ilvl w:val="0"/>
        <w:numId w:val="6"/>
      </w:numPr>
      <w:spacing w:line="360" w:lineRule="auto"/>
      <w:outlineLvl w:val="3"/>
    </w:pPr>
    <w:rPr>
      <w:rFonts w:eastAsia="黑体"/>
      <w:b/>
      <w:sz w:val="28"/>
      <w:szCs w:val="20"/>
    </w:rPr>
  </w:style>
  <w:style w:type="paragraph" w:customStyle="1" w:styleId="147">
    <w:name w:val="Char Char1 Char Char Char Char"/>
    <w:basedOn w:val="16"/>
    <w:qFormat/>
    <w:uiPriority w:val="0"/>
    <w:rPr>
      <w:rFonts w:ascii="Tahoma" w:hAnsi="Tahoma"/>
      <w:sz w:val="24"/>
    </w:rPr>
  </w:style>
  <w:style w:type="paragraph" w:customStyle="1" w:styleId="14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9">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50">
    <w:name w:val="1 Char"/>
    <w:basedOn w:val="1"/>
    <w:qFormat/>
    <w:uiPriority w:val="0"/>
  </w:style>
  <w:style w:type="paragraph" w:customStyle="1" w:styleId="151">
    <w:name w:val="Char Char Char Char"/>
    <w:basedOn w:val="1"/>
    <w:qFormat/>
    <w:uiPriority w:val="0"/>
    <w:pPr>
      <w:tabs>
        <w:tab w:val="left" w:pos="780"/>
      </w:tabs>
      <w:ind w:left="780" w:hanging="360"/>
    </w:pPr>
    <w:rPr>
      <w:sz w:val="24"/>
    </w:rPr>
  </w:style>
  <w:style w:type="paragraph" w:customStyle="1" w:styleId="15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3">
    <w:name w:val="5 Char Char Char Char Char Char Char Char Char Char"/>
    <w:basedOn w:val="1"/>
    <w:qFormat/>
    <w:uiPriority w:val="0"/>
  </w:style>
  <w:style w:type="paragraph" w:customStyle="1" w:styleId="154">
    <w:name w:val="Char Char1 Char Char Char Char1"/>
    <w:basedOn w:val="16"/>
    <w:qFormat/>
    <w:uiPriority w:val="0"/>
    <w:rPr>
      <w:rFonts w:ascii="Tahoma" w:hAnsi="Tahoma"/>
      <w:sz w:val="24"/>
    </w:rPr>
  </w:style>
  <w:style w:type="paragraph" w:customStyle="1" w:styleId="155">
    <w:name w:val="_Style 24"/>
    <w:basedOn w:val="1"/>
    <w:next w:val="117"/>
    <w:qFormat/>
    <w:uiPriority w:val="34"/>
    <w:pPr>
      <w:ind w:firstLine="420" w:firstLineChars="200"/>
    </w:pPr>
    <w:rPr>
      <w:lang w:val="zh-CN"/>
    </w:rPr>
  </w:style>
  <w:style w:type="paragraph" w:customStyle="1" w:styleId="15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ui-area-common-c-i-l"/>
    <w:qFormat/>
    <w:uiPriority w:val="0"/>
  </w:style>
  <w:style w:type="character" w:customStyle="1" w:styleId="158">
    <w:name w:val="ui-area-common-c-i-l1"/>
    <w:qFormat/>
    <w:uiPriority w:val="0"/>
    <w:rPr>
      <w:color w:val="F30213"/>
    </w:rPr>
  </w:style>
  <w:style w:type="character" w:customStyle="1" w:styleId="159">
    <w:name w:val="ui-area-common-c-i-r"/>
    <w:qFormat/>
    <w:uiPriority w:val="0"/>
  </w:style>
  <w:style w:type="character" w:customStyle="1" w:styleId="160">
    <w:name w:val="ui-area-common-c-i-r1"/>
    <w:qFormat/>
    <w:uiPriority w:val="0"/>
    <w:rPr>
      <w:color w:val="F30213"/>
    </w:rPr>
  </w:style>
  <w:style w:type="paragraph" w:customStyle="1" w:styleId="1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7EB2A-1A5E-4554-989E-0EFCDA03AA94}">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23</Pages>
  <Words>18998</Words>
  <Characters>20082</Characters>
  <Lines>42</Lines>
  <Paragraphs>12</Paragraphs>
  <TotalTime>1</TotalTime>
  <ScaleCrop>false</ScaleCrop>
  <LinksUpToDate>false</LinksUpToDate>
  <CharactersWithSpaces>21277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2023-08-01T09:40:00Z</dcterms:created>
  <dc:creator>唐冰</dc:creator>
  <cp:lastModifiedBy>瓶子</cp:lastModifiedBy>
  <cp:lastPrinted>2020-06-11T02:51:00Z</cp:lastPrinted>
  <dcterms:modified xsi:type="dcterms:W3CDTF">2024-09-27T07:45:25Z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BAC89115CCAE480E939D6115C47F347A_13</vt:lpwstr>
  </property>
</Properties>
</file>