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F2C9F">
      <w:pPr>
        <w:pStyle w:val="3"/>
        <w:bidi w:val="0"/>
        <w:jc w:val="center"/>
        <w:rPr>
          <w:rFonts w:hint="eastAsia" w:eastAsia="黑体"/>
          <w:color w:val="auto"/>
          <w:lang w:eastAsia="zh-CN"/>
        </w:rPr>
      </w:pPr>
      <w:r>
        <w:rPr>
          <w:rFonts w:hint="eastAsia"/>
          <w:color w:val="auto"/>
        </w:rPr>
        <w:t>财金实训室信息化系统建设项目</w:t>
      </w:r>
      <w:r>
        <w:rPr>
          <w:rFonts w:hint="eastAsia"/>
          <w:color w:val="auto"/>
          <w:lang w:eastAsia="zh-CN"/>
        </w:rPr>
        <w:t>采购需求表</w:t>
      </w:r>
    </w:p>
    <w:p w14:paraId="0CAAE822">
      <w:pPr>
        <w:spacing w:line="440" w:lineRule="exact"/>
        <w:rPr>
          <w:rFonts w:ascii="宋体" w:hAnsi="宋体" w:eastAsia="宋体" w:cs="仿宋"/>
          <w:b/>
          <w:bCs/>
          <w:color w:val="auto"/>
          <w:sz w:val="24"/>
        </w:rPr>
      </w:pPr>
      <w:r>
        <w:rPr>
          <w:rFonts w:hint="eastAsia" w:ascii="宋体" w:hAnsi="宋体" w:eastAsia="宋体" w:cs="仿宋"/>
          <w:b/>
          <w:bCs/>
          <w:color w:val="auto"/>
          <w:sz w:val="24"/>
        </w:rPr>
        <w:t>一、报价要求:</w:t>
      </w:r>
    </w:p>
    <w:p w14:paraId="4672757A">
      <w:pPr>
        <w:spacing w:line="440" w:lineRule="exact"/>
        <w:rPr>
          <w:rFonts w:ascii="宋体" w:hAnsi="宋体" w:eastAsia="宋体" w:cs="仿宋"/>
          <w:color w:val="auto"/>
          <w:sz w:val="24"/>
          <w:highlight w:val="none"/>
        </w:rPr>
      </w:pPr>
      <w:r>
        <w:rPr>
          <w:rFonts w:hint="eastAsia" w:ascii="宋体" w:hAnsi="宋体" w:eastAsia="宋体" w:cs="仿宋"/>
          <w:color w:val="auto"/>
          <w:sz w:val="24"/>
          <w:szCs w:val="24"/>
          <w:highlight w:val="none"/>
        </w:rPr>
        <w:t>1、本采购需求-览表中，凡标注“</w:t>
      </w:r>
      <w:r>
        <w:rPr>
          <w:rFonts w:hint="eastAsia" w:ascii="Calibri" w:hAnsi="Calibri" w:eastAsia="宋体" w:cs="Times New Roman"/>
          <w:lang w:eastAsia="zh-CN"/>
        </w:rPr>
        <w:t>★</w:t>
      </w:r>
      <w:r>
        <w:rPr>
          <w:rFonts w:hint="eastAsia" w:ascii="宋体" w:hAnsi="宋体" w:eastAsia="宋体" w:cs="仿宋"/>
          <w:color w:val="auto"/>
          <w:sz w:val="24"/>
          <w:szCs w:val="24"/>
          <w:highlight w:val="none"/>
        </w:rPr>
        <w:t>”号的条款为关键指标或要求</w:t>
      </w:r>
      <w:r>
        <w:rPr>
          <w:rFonts w:hint="eastAsia" w:ascii="宋体" w:hAnsi="宋体" w:eastAsia="宋体" w:cs="仿宋"/>
          <w:color w:val="auto"/>
          <w:sz w:val="24"/>
          <w:szCs w:val="24"/>
          <w:highlight w:val="none"/>
          <w:lang w:eastAsia="zh-CN"/>
        </w:rPr>
        <w:t>必须满足</w:t>
      </w:r>
      <w:r>
        <w:rPr>
          <w:rFonts w:hint="eastAsia" w:ascii="宋体" w:hAnsi="宋体" w:eastAsia="宋体" w:cs="仿宋"/>
          <w:color w:val="auto"/>
          <w:sz w:val="24"/>
          <w:szCs w:val="24"/>
          <w:highlight w:val="none"/>
        </w:rPr>
        <w:t>，</w:t>
      </w:r>
      <w:r>
        <w:rPr>
          <w:rFonts w:hint="eastAsia" w:ascii="宋体" w:hAnsi="宋体" w:eastAsia="宋体" w:cs="仿宋"/>
          <w:color w:val="auto"/>
          <w:sz w:val="24"/>
          <w:szCs w:val="24"/>
          <w:highlight w:val="none"/>
          <w:lang w:eastAsia="zh-CN"/>
        </w:rPr>
        <w:t>报价时要求提供资料的</w:t>
      </w:r>
      <w:r>
        <w:rPr>
          <w:rFonts w:hint="eastAsia" w:ascii="宋体" w:hAnsi="宋体" w:eastAsia="宋体" w:cs="仿宋"/>
          <w:color w:val="auto"/>
          <w:sz w:val="24"/>
          <w:szCs w:val="24"/>
          <w:highlight w:val="none"/>
        </w:rPr>
        <w:t>必须提供，不允许有负偏离，否则竞价无效。</w:t>
      </w:r>
    </w:p>
    <w:p w14:paraId="19FE5BCA">
      <w:pPr>
        <w:spacing w:line="440" w:lineRule="exact"/>
        <w:rPr>
          <w:rFonts w:hint="eastAsia" w:ascii="宋体" w:hAnsi="宋体" w:eastAsia="宋体" w:cs="仿宋"/>
          <w:color w:val="auto"/>
          <w:sz w:val="24"/>
          <w:highlight w:val="none"/>
        </w:rPr>
      </w:pPr>
      <w:r>
        <w:rPr>
          <w:rFonts w:hint="eastAsia" w:ascii="宋体" w:hAnsi="宋体" w:eastAsia="宋体" w:cs="仿宋"/>
          <w:color w:val="auto"/>
          <w:sz w:val="24"/>
          <w:highlight w:val="none"/>
        </w:rPr>
        <w:t>2、报价人在竞价时参考响应文件格式上传报价清单附件，清单中必须明确写明品牌、型号、技术参数、数量、单位、单价及金额，否则视为无效报价。</w:t>
      </w:r>
    </w:p>
    <w:p w14:paraId="4447EA0C">
      <w:pPr>
        <w:spacing w:line="440" w:lineRule="exact"/>
        <w:rPr>
          <w:rFonts w:hint="eastAsia" w:ascii="宋体" w:hAnsi="宋体" w:eastAsia="宋体" w:cs="仿宋"/>
          <w:color w:val="auto"/>
          <w:sz w:val="24"/>
        </w:rPr>
      </w:pPr>
      <w:r>
        <w:rPr>
          <w:rFonts w:hint="eastAsia" w:ascii="宋体" w:hAnsi="宋体" w:eastAsia="宋体" w:cs="仿宋"/>
          <w:color w:val="auto"/>
          <w:sz w:val="24"/>
          <w:highlight w:val="none"/>
        </w:rPr>
        <w:t>3、报价人必须认真审核竞价文件所有要求，若发现报价人存在未实质性响应采购文</w:t>
      </w:r>
      <w:r>
        <w:rPr>
          <w:rFonts w:hint="eastAsia" w:ascii="宋体" w:hAnsi="宋体" w:eastAsia="宋体" w:cs="仿宋"/>
          <w:color w:val="auto"/>
          <w:sz w:val="24"/>
        </w:rPr>
        <w:t>件行为，将视为无效竞价处理;如明知不满足采购文件对于品牌、型号、单位资质等要求而进行恶意竞争的，或因报价人虚假竞标导致竞标无效造成的工期延误及损失，将根据《政采云平台电子卖场权益维护及纠纷处理规则》的规定报有关部门处理，并在政采云平台列为失信报价人记录备案。</w:t>
      </w:r>
    </w:p>
    <w:p w14:paraId="5E235DC5">
      <w:pPr>
        <w:spacing w:line="440" w:lineRule="exact"/>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lang w:val="en-US" w:eastAsia="zh-CN"/>
        </w:rPr>
        <w:t>4、</w:t>
      </w:r>
      <w:r>
        <w:rPr>
          <w:rFonts w:hint="eastAsia" w:ascii="宋体" w:hAnsi="宋体" w:eastAsia="宋体" w:cs="仿宋"/>
          <w:color w:val="auto"/>
          <w:sz w:val="24"/>
          <w:highlight w:val="none"/>
          <w:lang w:eastAsia="zh-CN"/>
        </w:rPr>
        <w:t>响应附件要求：按采购要求上传，否则可以否决成交。</w:t>
      </w:r>
    </w:p>
    <w:p w14:paraId="7BB620F3">
      <w:pPr>
        <w:spacing w:line="440" w:lineRule="exact"/>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lang w:eastAsia="zh-CN"/>
        </w:rPr>
        <w:t>供应商在竞标时应在响应附件中上传加盖其公章的《竞价响应文件》pdf电子扫描件,《竞价响应文件》应包含文件目录及以下内容:</w:t>
      </w:r>
    </w:p>
    <w:p w14:paraId="2835399D">
      <w:pPr>
        <w:spacing w:line="440" w:lineRule="exact"/>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lang w:eastAsia="zh-CN"/>
        </w:rPr>
        <w:t>(1)竞标供应商《营业执照》复印件</w:t>
      </w:r>
    </w:p>
    <w:p w14:paraId="7DFF5572">
      <w:pPr>
        <w:spacing w:line="440" w:lineRule="exact"/>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lang w:eastAsia="zh-CN"/>
        </w:rPr>
        <w:t>(2)《竞价响应表》</w:t>
      </w:r>
    </w:p>
    <w:p w14:paraId="4C157D2B">
      <w:pPr>
        <w:spacing w:line="440" w:lineRule="exact"/>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lang w:eastAsia="zh-CN"/>
        </w:rPr>
        <w:t>(3)《商务响应表》</w:t>
      </w:r>
    </w:p>
    <w:p w14:paraId="5B855580">
      <w:pPr>
        <w:spacing w:line="440" w:lineRule="exact"/>
        <w:rPr>
          <w:rFonts w:hint="eastAsia" w:ascii="宋体" w:hAnsi="宋体" w:eastAsia="宋体" w:cs="仿宋"/>
          <w:color w:val="auto"/>
          <w:sz w:val="24"/>
          <w:highlight w:val="none"/>
        </w:rPr>
      </w:pPr>
      <w:r>
        <w:rPr>
          <w:rFonts w:hint="eastAsia" w:ascii="宋体" w:hAnsi="宋体" w:eastAsia="宋体" w:cs="仿宋"/>
          <w:color w:val="auto"/>
          <w:sz w:val="24"/>
          <w:highlight w:val="none"/>
          <w:lang w:eastAsia="zh-CN"/>
        </w:rPr>
        <w:t>(4)竞标货物产品生产厂家为供应商针对本项目出具的售后服务承诺函原件及参数确认函原件（加盖原厂印章），否则报价无效。</w:t>
      </w:r>
    </w:p>
    <w:p w14:paraId="59F6D39F">
      <w:pPr>
        <w:spacing w:line="440" w:lineRule="exact"/>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eastAsia="zh-CN"/>
        </w:rPr>
        <w:t>(5)技术参数及性能(配置)要求中加注"</w:t>
      </w:r>
      <w:r>
        <w:rPr>
          <w:rFonts w:hint="eastAsia" w:ascii="Calibri" w:hAnsi="Calibri" w:eastAsia="宋体" w:cs="Times New Roman"/>
          <w:lang w:eastAsia="zh-CN"/>
        </w:rPr>
        <w:t>★</w:t>
      </w:r>
      <w:r>
        <w:rPr>
          <w:rFonts w:hint="eastAsia" w:ascii="宋体" w:hAnsi="宋体" w:eastAsia="宋体" w:cs="仿宋"/>
          <w:color w:val="auto"/>
          <w:sz w:val="24"/>
          <w:highlight w:val="none"/>
          <w:lang w:eastAsia="zh-CN"/>
        </w:rPr>
        <w:t>"号所要求提供的资料，否则报价无效</w:t>
      </w:r>
      <w:r>
        <w:rPr>
          <w:rFonts w:hint="eastAsia" w:ascii="宋体" w:hAnsi="宋体" w:eastAsia="宋体" w:cs="仿宋"/>
          <w:color w:val="auto"/>
          <w:sz w:val="24"/>
          <w:highlight w:val="none"/>
          <w:lang w:val="en-US" w:eastAsia="zh-CN"/>
        </w:rPr>
        <w:t>。</w:t>
      </w:r>
    </w:p>
    <w:p w14:paraId="4B473013">
      <w:pPr>
        <w:rPr>
          <w:rFonts w:hint="default" w:ascii="Calibri" w:hAnsi="Calibri" w:eastAsia="宋体" w:cs="Times New Roman"/>
          <w:color w:val="auto"/>
          <w:lang w:val="en-US" w:eastAsia="zh-CN"/>
        </w:rPr>
      </w:pPr>
      <w:r>
        <w:rPr>
          <w:rFonts w:hint="default" w:ascii="Calibri" w:hAnsi="Calibri" w:eastAsia="宋体" w:cs="Times New Roman"/>
          <w:color w:val="auto"/>
          <w:lang w:val="en-US" w:eastAsia="zh-CN"/>
        </w:rPr>
        <w:br w:type="page"/>
      </w:r>
    </w:p>
    <w:p w14:paraId="54A0D8FB">
      <w:pPr>
        <w:bidi w:val="0"/>
        <w:rPr>
          <w:rFonts w:hint="default" w:ascii="Calibri" w:hAnsi="Calibri" w:eastAsia="宋体" w:cs="Times New Roman"/>
          <w:color w:val="auto"/>
          <w:lang w:val="en-US" w:eastAsia="zh-CN"/>
        </w:rPr>
      </w:pPr>
    </w:p>
    <w:p w14:paraId="30B0FC66">
      <w:r>
        <w:rPr>
          <w:rFonts w:hint="eastAsia" w:ascii="宋体" w:hAnsi="宋体" w:eastAsia="宋体" w:cs="仿宋"/>
          <w:b/>
          <w:bCs/>
          <w:color w:val="auto"/>
          <w:sz w:val="24"/>
        </w:rPr>
        <w:t>二、采购货物技术要求及商务要求：</w:t>
      </w:r>
    </w:p>
    <w:p w14:paraId="298EF25B"/>
    <w:p w14:paraId="7D3886D1"/>
    <w:tbl>
      <w:tblPr>
        <w:tblStyle w:val="5"/>
        <w:tblW w:w="5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6"/>
        <w:gridCol w:w="654"/>
        <w:gridCol w:w="617"/>
        <w:gridCol w:w="19"/>
        <w:gridCol w:w="960"/>
        <w:gridCol w:w="4500"/>
        <w:gridCol w:w="600"/>
        <w:gridCol w:w="525"/>
        <w:gridCol w:w="926"/>
        <w:gridCol w:w="4"/>
        <w:gridCol w:w="1276"/>
      </w:tblGrid>
      <w:tr w14:paraId="75F7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2" w:type="pct"/>
            <w:shd w:val="clear" w:color="auto" w:fill="auto"/>
            <w:noWrap/>
            <w:vAlign w:val="center"/>
          </w:tcPr>
          <w:p w14:paraId="33A3E0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07" w:type="pct"/>
            <w:shd w:val="clear" w:color="auto" w:fill="auto"/>
            <w:vAlign w:val="center"/>
          </w:tcPr>
          <w:p w14:paraId="4C2FDE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299" w:type="pct"/>
            <w:gridSpan w:val="2"/>
            <w:shd w:val="clear" w:color="auto" w:fill="auto"/>
            <w:vAlign w:val="center"/>
          </w:tcPr>
          <w:p w14:paraId="4A867F0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452" w:type="pct"/>
            <w:shd w:val="clear" w:color="auto" w:fill="auto"/>
            <w:vAlign w:val="center"/>
          </w:tcPr>
          <w:p w14:paraId="7F7144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2119" w:type="pct"/>
            <w:shd w:val="clear" w:color="auto" w:fill="auto"/>
            <w:vAlign w:val="center"/>
          </w:tcPr>
          <w:p w14:paraId="2943DD9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具体参数</w:t>
            </w:r>
          </w:p>
        </w:tc>
        <w:tc>
          <w:tcPr>
            <w:tcW w:w="282" w:type="pct"/>
            <w:shd w:val="clear" w:color="auto" w:fill="auto"/>
            <w:noWrap/>
            <w:vAlign w:val="center"/>
          </w:tcPr>
          <w:p w14:paraId="670B27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247" w:type="pct"/>
            <w:shd w:val="clear" w:color="auto" w:fill="auto"/>
            <w:noWrap/>
            <w:vAlign w:val="center"/>
          </w:tcPr>
          <w:p w14:paraId="4B52BF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37" w:type="pct"/>
            <w:gridSpan w:val="2"/>
            <w:shd w:val="clear" w:color="auto" w:fill="auto"/>
            <w:vAlign w:val="center"/>
          </w:tcPr>
          <w:p w14:paraId="3DAFFC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600" w:type="pct"/>
            <w:shd w:val="clear" w:color="auto" w:fill="auto"/>
            <w:vAlign w:val="center"/>
          </w:tcPr>
          <w:p w14:paraId="44B79D2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总价（元）</w:t>
            </w:r>
          </w:p>
        </w:tc>
      </w:tr>
      <w:tr w14:paraId="586B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30" w:hRule="atLeast"/>
          <w:jc w:val="center"/>
        </w:trPr>
        <w:tc>
          <w:tcPr>
            <w:tcW w:w="252" w:type="pct"/>
            <w:vMerge w:val="restart"/>
            <w:shd w:val="clear" w:color="auto" w:fill="auto"/>
            <w:noWrap/>
            <w:vAlign w:val="center"/>
          </w:tcPr>
          <w:p w14:paraId="7269F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7" w:type="pct"/>
            <w:vMerge w:val="restart"/>
            <w:shd w:val="clear" w:color="auto" w:fill="auto"/>
            <w:vAlign w:val="center"/>
          </w:tcPr>
          <w:p w14:paraId="3CE5A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应用服务器</w:t>
            </w:r>
          </w:p>
        </w:tc>
        <w:tc>
          <w:tcPr>
            <w:tcW w:w="299" w:type="pct"/>
            <w:gridSpan w:val="2"/>
            <w:vMerge w:val="restart"/>
            <w:shd w:val="clear" w:color="auto" w:fill="auto"/>
            <w:vAlign w:val="center"/>
          </w:tcPr>
          <w:p w14:paraId="3FF3A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浪潮</w:t>
            </w:r>
          </w:p>
        </w:tc>
        <w:tc>
          <w:tcPr>
            <w:tcW w:w="452" w:type="pct"/>
            <w:vMerge w:val="restart"/>
            <w:shd w:val="clear" w:color="auto" w:fill="auto"/>
            <w:vAlign w:val="center"/>
          </w:tcPr>
          <w:p w14:paraId="7AE3B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NF5280M5</w:t>
            </w:r>
          </w:p>
        </w:tc>
        <w:tc>
          <w:tcPr>
            <w:tcW w:w="2119" w:type="pct"/>
            <w:shd w:val="clear" w:color="auto" w:fill="auto"/>
            <w:vAlign w:val="center"/>
          </w:tcPr>
          <w:p w14:paraId="5A2AFC8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2U机架式服务器</w:t>
            </w:r>
          </w:p>
          <w:p w14:paraId="3125E80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★1、处理器：≥ 配置2个英特尔至强 银牌4214， 12核 2.2GHz；</w:t>
            </w:r>
          </w:p>
          <w:p w14:paraId="68B40D2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★2、内存：≥8*16GB TruDDR4 RDIMM内存，最大支持24个DIMM 插槽，最高可配备3TB内存。</w:t>
            </w:r>
          </w:p>
          <w:p w14:paraId="75C04DE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★3、硬盘： ≥480G+3*4T</w:t>
            </w:r>
          </w:p>
          <w:p w14:paraId="7DF76DC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4、RAID功能：缓存 阵列卡，支持0、1、5等RAID级别；</w:t>
            </w:r>
          </w:p>
          <w:p w14:paraId="048C985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5、电源：2个550W电源。</w:t>
            </w:r>
          </w:p>
          <w:p w14:paraId="3A3FB17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6、I/O扩展：4xUSB（2个前端、2个后端），5xRJ-45、1*VGA.。</w:t>
            </w:r>
          </w:p>
          <w:p w14:paraId="039B1FD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7、网卡：配置2个千兆网口</w:t>
            </w:r>
          </w:p>
          <w:p w14:paraId="68E4594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8、★最大支持4个全高GPU或8个半高GPU</w:t>
            </w:r>
            <w:r>
              <w:rPr>
                <w:rFonts w:hint="eastAsia" w:ascii="宋体" w:hAnsi="宋体" w:eastAsia="宋体" w:cs="宋体"/>
                <w:b/>
                <w:bCs/>
                <w:i w:val="0"/>
                <w:iCs w:val="0"/>
                <w:color w:val="000000"/>
                <w:kern w:val="0"/>
                <w:sz w:val="21"/>
                <w:szCs w:val="21"/>
                <w:u w:val="none"/>
                <w:lang w:val="en-US" w:eastAsia="zh-CN" w:bidi="ar"/>
              </w:rPr>
              <w:t>（竞标时提供截图证明）</w:t>
            </w:r>
          </w:p>
          <w:p w14:paraId="1012C7C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提供和服务器、存储、交换机同品牌的国产操作系统，支持安装Intel、AMD、兆芯、海光等主流的X86平台服务器，支持如飞腾、龙芯等非X86架构服务，且操作系统的使用及升级不受服务器数量和核数的限制，并提供操作系统原厂的售后服务。</w:t>
            </w:r>
          </w:p>
          <w:p w14:paraId="21E8E28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10、提供3年原厂免费上门维保服务。</w:t>
            </w:r>
          </w:p>
          <w:p w14:paraId="3E17A69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11、★可扩展支持高级威胁追溯功能，具HangOver、DroppingElephant、BlackEnergy、Eqaution等至少90个以上的高级威胁文件信息。</w:t>
            </w:r>
            <w:r>
              <w:rPr>
                <w:rFonts w:hint="eastAsia" w:ascii="宋体" w:hAnsi="宋体" w:eastAsia="宋体" w:cs="宋体"/>
                <w:b/>
                <w:bCs/>
                <w:i w:val="0"/>
                <w:iCs w:val="0"/>
                <w:color w:val="000000"/>
                <w:kern w:val="0"/>
                <w:sz w:val="21"/>
                <w:szCs w:val="21"/>
                <w:u w:val="none"/>
                <w:lang w:val="en-US" w:eastAsia="zh-CN" w:bidi="ar"/>
              </w:rPr>
              <w:t>（竞标时提供功能截图）</w:t>
            </w:r>
            <w:r>
              <w:rPr>
                <w:rFonts w:hint="eastAsia" w:ascii="宋体" w:hAnsi="宋体" w:eastAsia="宋体" w:cs="宋体"/>
                <w:i w:val="0"/>
                <w:iCs w:val="0"/>
                <w:color w:val="000000"/>
                <w:kern w:val="0"/>
                <w:sz w:val="21"/>
                <w:szCs w:val="21"/>
                <w:u w:val="none"/>
                <w:lang w:val="en-US" w:eastAsia="zh-CN" w:bidi="ar"/>
              </w:rPr>
              <w:t>；</w:t>
            </w:r>
          </w:p>
          <w:p w14:paraId="2FED6C5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12、★支持在不依赖文件扫描的情况下，对启动后的勒索病毒进程进行感知和拦截,针对Locky、TeslaCrypt、Wan+C17:C18nyCry等勒索病毒进行检测和防御；</w:t>
            </w:r>
            <w:r>
              <w:rPr>
                <w:rFonts w:hint="eastAsia" w:ascii="宋体" w:hAnsi="宋体" w:eastAsia="宋体" w:cs="宋体"/>
                <w:b/>
                <w:bCs/>
                <w:i w:val="0"/>
                <w:iCs w:val="0"/>
                <w:color w:val="000000"/>
                <w:kern w:val="0"/>
                <w:sz w:val="21"/>
                <w:szCs w:val="21"/>
                <w:u w:val="none"/>
                <w:lang w:val="en-US" w:eastAsia="zh-CN" w:bidi="ar"/>
              </w:rPr>
              <w:t>（竞标时提供功能截图）</w:t>
            </w:r>
            <w:r>
              <w:rPr>
                <w:rFonts w:hint="eastAsia" w:ascii="宋体" w:hAnsi="宋体" w:eastAsia="宋体" w:cs="宋体"/>
                <w:i w:val="0"/>
                <w:iCs w:val="0"/>
                <w:color w:val="000000"/>
                <w:kern w:val="0"/>
                <w:sz w:val="21"/>
                <w:szCs w:val="21"/>
                <w:u w:val="none"/>
                <w:lang w:val="en-US" w:eastAsia="zh-CN" w:bidi="ar"/>
              </w:rPr>
              <w:t>；</w:t>
            </w:r>
          </w:p>
          <w:p w14:paraId="5B764FF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13、★竞价时提供针对该项目原厂授权和产品彩页。投标时提供原厂供货及售后证明函。</w:t>
            </w:r>
          </w:p>
        </w:tc>
        <w:tc>
          <w:tcPr>
            <w:tcW w:w="282" w:type="pct"/>
            <w:vMerge w:val="restart"/>
            <w:shd w:val="clear" w:color="auto" w:fill="auto"/>
            <w:vAlign w:val="center"/>
          </w:tcPr>
          <w:p w14:paraId="1F60D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7" w:type="pct"/>
            <w:vMerge w:val="restart"/>
            <w:shd w:val="clear" w:color="auto" w:fill="auto"/>
            <w:vAlign w:val="center"/>
          </w:tcPr>
          <w:p w14:paraId="2231D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7" w:type="pct"/>
            <w:gridSpan w:val="2"/>
            <w:vMerge w:val="restart"/>
            <w:shd w:val="clear" w:color="auto" w:fill="auto"/>
            <w:vAlign w:val="center"/>
          </w:tcPr>
          <w:p w14:paraId="6AF3C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36000</w:t>
            </w:r>
          </w:p>
        </w:tc>
        <w:tc>
          <w:tcPr>
            <w:tcW w:w="600" w:type="pct"/>
            <w:vMerge w:val="restart"/>
            <w:shd w:val="clear" w:color="auto" w:fill="auto"/>
            <w:vAlign w:val="center"/>
          </w:tcPr>
          <w:p w14:paraId="5103E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72000</w:t>
            </w:r>
          </w:p>
        </w:tc>
      </w:tr>
      <w:tr w14:paraId="270C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86" w:hRule="atLeast"/>
          <w:jc w:val="center"/>
        </w:trPr>
        <w:tc>
          <w:tcPr>
            <w:tcW w:w="252" w:type="pct"/>
            <w:vMerge w:val="restart"/>
            <w:shd w:val="clear" w:color="auto" w:fill="auto"/>
            <w:noWrap/>
            <w:vAlign w:val="center"/>
          </w:tcPr>
          <w:p w14:paraId="1B064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7" w:type="pct"/>
            <w:vMerge w:val="restart"/>
            <w:shd w:val="clear" w:color="auto" w:fill="auto"/>
            <w:vAlign w:val="center"/>
          </w:tcPr>
          <w:p w14:paraId="0791E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云管理服务器</w:t>
            </w:r>
          </w:p>
        </w:tc>
        <w:tc>
          <w:tcPr>
            <w:tcW w:w="299" w:type="pct"/>
            <w:gridSpan w:val="2"/>
            <w:vMerge w:val="restart"/>
            <w:shd w:val="clear" w:color="auto" w:fill="auto"/>
            <w:vAlign w:val="center"/>
          </w:tcPr>
          <w:p w14:paraId="035EA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联想</w:t>
            </w:r>
          </w:p>
        </w:tc>
        <w:tc>
          <w:tcPr>
            <w:tcW w:w="452" w:type="pct"/>
            <w:vMerge w:val="restart"/>
            <w:shd w:val="clear" w:color="auto" w:fill="auto"/>
            <w:vAlign w:val="center"/>
          </w:tcPr>
          <w:p w14:paraId="14F91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ThinkSystem SR258 V2</w:t>
            </w:r>
          </w:p>
        </w:tc>
        <w:tc>
          <w:tcPr>
            <w:tcW w:w="2119" w:type="pct"/>
            <w:shd w:val="clear" w:color="auto" w:fill="auto"/>
            <w:vAlign w:val="center"/>
          </w:tcPr>
          <w:p w14:paraId="280D026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1.1U机架式服务器</w:t>
            </w:r>
          </w:p>
          <w:p w14:paraId="4DC3F77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2.CPU：1× Intel Xeon  E2314    4C  2.8GHz 四核八线程，睿频4.6GHz，单路处理器。</w:t>
            </w:r>
          </w:p>
          <w:p w14:paraId="01B37B9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3.内存：32GB DDR4 2666MHz ，最大支持4根内存槽</w:t>
            </w:r>
          </w:p>
          <w:p w14:paraId="32D731E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4.硬盘：1xThinkSystem 512G M.2 SSD硬盘  硬盘 ，2块1T SATA机械盘，最大支持4个硬盘。   </w:t>
            </w:r>
          </w:p>
          <w:p w14:paraId="5FE57BA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6.网卡与HBA卡：2 个 1GbE 端口，1 个 1GbE 专用管理</w:t>
            </w:r>
          </w:p>
          <w:p w14:paraId="0DDF79C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7.显卡：集成显卡</w:t>
            </w:r>
          </w:p>
          <w:p w14:paraId="1890214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8.电源：1×300W电源</w:t>
            </w:r>
          </w:p>
          <w:p w14:paraId="634D9B8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安全：云存储：支持同品牌云存储软件，非OEM产品；支持集群部署，采用多副本冗余存储技术，支持副本数≥2；支持网页版、windows客户端、mac客户端、虚拟盘符版、android版、ipad版、iphone版，随时随地办公；提供Windows系统、Mac系统下的outlook邮箱插件；支持office或wps在线预览，支持图片文件在线预览（图片预览时支持旋转和缩放），对于音视频文件无需下载也无须安装任何播放器软件即可实现在线播放。支持预览水印格式：WPS、office、PDF。可显示文字水印、账户信息、IP地址及时间。支持文件加密上传功能，上传到网盘中的文件为加密文件，下载到本地后需要专属工具方可对文件进行解密，实现文件的安全管控能力，并且无需借助任何第三方插件或平台；</w:t>
            </w:r>
          </w:p>
          <w:p w14:paraId="497D7DD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10、数据备份：内置2TB同品牌可用备份容量备份软件，Windows 兼容性：通过微软认证的Windows Server /2008/2008R2/2012/2012R2/2016支持，帮助减少成本和部署时间，确保兼容性和可靠性，保护本地或远程服务器和工作站的所有系统配置信息，包括活动目录。 Linux兼容性：支持以下Linux客户端系统：Oracle、Red Hat、SUSE、Centos、Asianux Consortium 、Canonical、Citrix、Debian、Novell；支持重复数据删除：内置重复数据删除功能，大大减少备份时间窗口，无需额外安装和配置，重复数据删除可随意在数据源端和备份服务器端进行配置；全局重删除最大支持64TB以上；支持对（物理机，VMware，Hyper-V，Linux）备份作业数据进行全局灵活的块级重复数据删除。支持源端，目标端，第三方设备等多种重删方式；支持虚拟机环境：在同一界面同时支持vmware和Hyper-V虚拟机环境，实现与虚拟机无关的脱机备份，支持vmdk的块级增量备份，拥有即时恢复功能，可实现对虚拟机实现即时恢复；支持虚拟机整机恢复和单个文件，和应用的细颗粒恢复，备份后自动验证每一个虚拟机备份的可恢复性，保证备份的可用性；</w:t>
            </w:r>
            <w:r>
              <w:rPr>
                <w:rFonts w:hint="eastAsia" w:ascii="宋体" w:hAnsi="宋体" w:eastAsia="宋体" w:cs="宋体"/>
                <w:b/>
                <w:bCs/>
                <w:i w:val="0"/>
                <w:iCs w:val="0"/>
                <w:color w:val="000000"/>
                <w:kern w:val="0"/>
                <w:sz w:val="21"/>
                <w:szCs w:val="21"/>
                <w:u w:val="none"/>
                <w:lang w:val="en-US" w:eastAsia="zh-CN" w:bidi="ar"/>
              </w:rPr>
              <w:t>(竞标时提供此功能国家认可的第三方检测机构的检测报告或功能界面截图并加盖供应商公章)</w:t>
            </w:r>
          </w:p>
          <w:p w14:paraId="3911214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11、针对虚拟资源管理员提供一套统一的WEB管理平台，用于管理网络，计算和存储虚拟资源。</w:t>
            </w:r>
          </w:p>
          <w:p w14:paraId="1B62D4A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12、支持数据同步可视化功能，当发生数据同步时在管理界面上可看到数据同步进度。</w:t>
            </w:r>
          </w:p>
          <w:p w14:paraId="52D71E9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13、服务：提供原厂3年7x24x4售后支持服务；</w:t>
            </w:r>
          </w:p>
        </w:tc>
        <w:tc>
          <w:tcPr>
            <w:tcW w:w="282" w:type="pct"/>
            <w:vMerge w:val="restart"/>
            <w:shd w:val="clear" w:color="auto" w:fill="auto"/>
            <w:vAlign w:val="center"/>
          </w:tcPr>
          <w:p w14:paraId="4C2C6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7" w:type="pct"/>
            <w:vMerge w:val="restart"/>
            <w:shd w:val="clear" w:color="auto" w:fill="auto"/>
            <w:vAlign w:val="center"/>
          </w:tcPr>
          <w:p w14:paraId="515C7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7" w:type="pct"/>
            <w:gridSpan w:val="2"/>
            <w:vMerge w:val="restart"/>
            <w:shd w:val="clear" w:color="auto" w:fill="auto"/>
            <w:vAlign w:val="center"/>
          </w:tcPr>
          <w:p w14:paraId="51F35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600" w:type="pct"/>
            <w:vMerge w:val="restart"/>
            <w:shd w:val="clear" w:color="auto" w:fill="auto"/>
            <w:vAlign w:val="center"/>
          </w:tcPr>
          <w:p w14:paraId="07281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r>
      <w:tr w14:paraId="5400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3" w:hRule="atLeast"/>
          <w:jc w:val="center"/>
        </w:trPr>
        <w:tc>
          <w:tcPr>
            <w:tcW w:w="252" w:type="pct"/>
            <w:vMerge w:val="restart"/>
            <w:shd w:val="clear" w:color="auto" w:fill="auto"/>
            <w:noWrap/>
            <w:vAlign w:val="center"/>
          </w:tcPr>
          <w:p w14:paraId="61022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07" w:type="pct"/>
            <w:vMerge w:val="restart"/>
            <w:shd w:val="clear" w:color="auto" w:fill="auto"/>
            <w:vAlign w:val="center"/>
          </w:tcPr>
          <w:p w14:paraId="3C1ECD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w:t>
            </w:r>
          </w:p>
        </w:tc>
        <w:tc>
          <w:tcPr>
            <w:tcW w:w="299" w:type="pct"/>
            <w:gridSpan w:val="2"/>
            <w:vMerge w:val="restart"/>
            <w:shd w:val="clear" w:color="auto" w:fill="auto"/>
            <w:vAlign w:val="center"/>
          </w:tcPr>
          <w:p w14:paraId="146AE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施耐德   </w:t>
            </w:r>
          </w:p>
        </w:tc>
        <w:tc>
          <w:tcPr>
            <w:tcW w:w="452" w:type="pct"/>
            <w:vMerge w:val="restart"/>
            <w:shd w:val="clear" w:color="auto" w:fill="auto"/>
            <w:vAlign w:val="center"/>
          </w:tcPr>
          <w:p w14:paraId="596F3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SPM6KL</w:t>
            </w:r>
          </w:p>
        </w:tc>
        <w:tc>
          <w:tcPr>
            <w:tcW w:w="2119" w:type="pct"/>
            <w:shd w:val="clear" w:color="auto" w:fill="auto"/>
            <w:vAlign w:val="center"/>
          </w:tcPr>
          <w:p w14:paraId="5C96780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★1.UPS主机：高频机 单进单出 6kVA\5.4kW \pf=0.9 \ 外接电池\240*518*459（mm）</w:t>
            </w:r>
          </w:p>
          <w:p w14:paraId="385D68D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2.铅酸蓄电池：12V150AH（20HR） Dimension：170*238.5*238.5  40kg</w:t>
            </w:r>
          </w:p>
          <w:p w14:paraId="6F7324B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3.电池箱：可容纳16节12V150AH蓄电池，含电池内部连接线</w:t>
            </w:r>
          </w:p>
        </w:tc>
        <w:tc>
          <w:tcPr>
            <w:tcW w:w="282" w:type="pct"/>
            <w:vMerge w:val="restart"/>
            <w:shd w:val="clear" w:color="auto" w:fill="auto"/>
            <w:vAlign w:val="center"/>
          </w:tcPr>
          <w:p w14:paraId="195ED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7" w:type="pct"/>
            <w:vMerge w:val="restart"/>
            <w:shd w:val="clear" w:color="auto" w:fill="auto"/>
            <w:vAlign w:val="center"/>
          </w:tcPr>
          <w:p w14:paraId="3E2F4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7" w:type="pct"/>
            <w:gridSpan w:val="2"/>
            <w:vMerge w:val="restart"/>
            <w:shd w:val="clear" w:color="auto" w:fill="auto"/>
            <w:vAlign w:val="center"/>
          </w:tcPr>
          <w:p w14:paraId="3AD92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36000</w:t>
            </w:r>
          </w:p>
        </w:tc>
        <w:tc>
          <w:tcPr>
            <w:tcW w:w="600" w:type="pct"/>
            <w:vMerge w:val="restart"/>
            <w:shd w:val="clear" w:color="auto" w:fill="auto"/>
            <w:vAlign w:val="center"/>
          </w:tcPr>
          <w:p w14:paraId="2423C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36000</w:t>
            </w:r>
          </w:p>
        </w:tc>
      </w:tr>
      <w:tr w14:paraId="0A4F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0" w:hRule="atLeast"/>
          <w:jc w:val="center"/>
        </w:trPr>
        <w:tc>
          <w:tcPr>
            <w:tcW w:w="252" w:type="pct"/>
            <w:vMerge w:val="restart"/>
            <w:shd w:val="clear" w:color="auto" w:fill="auto"/>
            <w:noWrap/>
            <w:vAlign w:val="center"/>
          </w:tcPr>
          <w:p w14:paraId="53F62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7" w:type="pct"/>
            <w:vMerge w:val="restart"/>
            <w:shd w:val="clear" w:color="auto" w:fill="auto"/>
            <w:vAlign w:val="center"/>
          </w:tcPr>
          <w:p w14:paraId="2ED2D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w:t>
            </w:r>
          </w:p>
        </w:tc>
        <w:tc>
          <w:tcPr>
            <w:tcW w:w="299" w:type="pct"/>
            <w:gridSpan w:val="2"/>
            <w:vMerge w:val="restart"/>
            <w:shd w:val="clear" w:color="auto" w:fill="auto"/>
            <w:vAlign w:val="center"/>
          </w:tcPr>
          <w:p w14:paraId="0604F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格力</w:t>
            </w:r>
          </w:p>
        </w:tc>
        <w:tc>
          <w:tcPr>
            <w:tcW w:w="452" w:type="pct"/>
            <w:vMerge w:val="restart"/>
            <w:shd w:val="clear" w:color="auto" w:fill="auto"/>
            <w:vAlign w:val="center"/>
          </w:tcPr>
          <w:p w14:paraId="27187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KFR-35GW/(35563)FNhAa-B2JY01</w:t>
            </w:r>
          </w:p>
        </w:tc>
        <w:tc>
          <w:tcPr>
            <w:tcW w:w="2119" w:type="pct"/>
            <w:shd w:val="clear" w:color="auto" w:fill="auto"/>
            <w:vAlign w:val="center"/>
          </w:tcPr>
          <w:p w14:paraId="5039759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功能配置：</w:t>
            </w:r>
          </w:p>
          <w:p w14:paraId="488773B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1.5P变频冷暖空调</w:t>
            </w:r>
          </w:p>
          <w:p w14:paraId="102DE77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壁挂式</w:t>
            </w:r>
          </w:p>
          <w:p w14:paraId="2273E7C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二级能效</w:t>
            </w:r>
          </w:p>
        </w:tc>
        <w:tc>
          <w:tcPr>
            <w:tcW w:w="282" w:type="pct"/>
            <w:vMerge w:val="restart"/>
            <w:shd w:val="clear" w:color="auto" w:fill="auto"/>
            <w:vAlign w:val="center"/>
          </w:tcPr>
          <w:p w14:paraId="22942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7" w:type="pct"/>
            <w:vMerge w:val="restart"/>
            <w:shd w:val="clear" w:color="auto" w:fill="auto"/>
            <w:vAlign w:val="center"/>
          </w:tcPr>
          <w:p w14:paraId="3CC95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7" w:type="pct"/>
            <w:gridSpan w:val="2"/>
            <w:vMerge w:val="restart"/>
            <w:shd w:val="clear" w:color="auto" w:fill="auto"/>
            <w:vAlign w:val="center"/>
          </w:tcPr>
          <w:p w14:paraId="79D38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600" w:type="pct"/>
            <w:vMerge w:val="restart"/>
            <w:shd w:val="clear" w:color="auto" w:fill="auto"/>
            <w:vAlign w:val="center"/>
          </w:tcPr>
          <w:p w14:paraId="2C9F0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r>
      <w:tr w14:paraId="3A3D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09" w:hRule="atLeast"/>
          <w:jc w:val="center"/>
        </w:trPr>
        <w:tc>
          <w:tcPr>
            <w:tcW w:w="252" w:type="pct"/>
            <w:vMerge w:val="restart"/>
            <w:shd w:val="clear" w:color="auto" w:fill="auto"/>
            <w:noWrap/>
            <w:vAlign w:val="center"/>
          </w:tcPr>
          <w:p w14:paraId="66FFB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07" w:type="pct"/>
            <w:vMerge w:val="restart"/>
            <w:shd w:val="clear" w:color="auto" w:fill="auto"/>
            <w:vAlign w:val="center"/>
          </w:tcPr>
          <w:p w14:paraId="628CE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w:t>
            </w:r>
          </w:p>
        </w:tc>
        <w:tc>
          <w:tcPr>
            <w:tcW w:w="299" w:type="pct"/>
            <w:gridSpan w:val="2"/>
            <w:vMerge w:val="restart"/>
            <w:shd w:val="clear" w:color="auto" w:fill="auto"/>
            <w:vAlign w:val="center"/>
          </w:tcPr>
          <w:p w14:paraId="78F64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格力</w:t>
            </w:r>
          </w:p>
        </w:tc>
        <w:tc>
          <w:tcPr>
            <w:tcW w:w="452" w:type="pct"/>
            <w:vMerge w:val="restart"/>
            <w:shd w:val="clear" w:color="auto" w:fill="auto"/>
            <w:vAlign w:val="center"/>
          </w:tcPr>
          <w:p w14:paraId="1A0BF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KFR-120TW/(12550S)NhCaf-3</w:t>
            </w:r>
          </w:p>
        </w:tc>
        <w:tc>
          <w:tcPr>
            <w:tcW w:w="2119" w:type="pct"/>
            <w:shd w:val="clear" w:color="auto" w:fill="auto"/>
            <w:vAlign w:val="center"/>
          </w:tcPr>
          <w:p w14:paraId="36BC765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5P天井式冷暖空调</w:t>
            </w:r>
          </w:p>
          <w:p w14:paraId="6749189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制冷剂：R32</w:t>
            </w:r>
          </w:p>
          <w:p w14:paraId="5AF5F17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外机尺寸：宽950mm；高1250mm；深340mm</w:t>
            </w:r>
          </w:p>
          <w:p w14:paraId="34EA322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内机尺寸：宽840mm；高290mm；深840mm</w:t>
            </w:r>
          </w:p>
          <w:p w14:paraId="16C6472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p>
          <w:p w14:paraId="380BCF9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循环风量：2000m³/h</w:t>
            </w:r>
          </w:p>
          <w:p w14:paraId="4D61BBD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外机噪音：58dB(A)</w:t>
            </w:r>
          </w:p>
          <w:p w14:paraId="4725E74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内机噪音：49dB(A)</w:t>
            </w:r>
          </w:p>
          <w:p w14:paraId="5250F00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制热量：12000W</w:t>
            </w:r>
          </w:p>
          <w:p w14:paraId="731A435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制冷量：12000W</w:t>
            </w:r>
          </w:p>
        </w:tc>
        <w:tc>
          <w:tcPr>
            <w:tcW w:w="282" w:type="pct"/>
            <w:vMerge w:val="restart"/>
            <w:shd w:val="clear" w:color="auto" w:fill="auto"/>
            <w:vAlign w:val="center"/>
          </w:tcPr>
          <w:p w14:paraId="157EC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47" w:type="pct"/>
            <w:vMerge w:val="restart"/>
            <w:shd w:val="clear" w:color="auto" w:fill="auto"/>
            <w:vAlign w:val="center"/>
          </w:tcPr>
          <w:p w14:paraId="7226C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7" w:type="pct"/>
            <w:gridSpan w:val="2"/>
            <w:vMerge w:val="restart"/>
            <w:shd w:val="clear" w:color="auto" w:fill="auto"/>
            <w:vAlign w:val="center"/>
          </w:tcPr>
          <w:p w14:paraId="6FD62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10700</w:t>
            </w:r>
          </w:p>
        </w:tc>
        <w:tc>
          <w:tcPr>
            <w:tcW w:w="600" w:type="pct"/>
            <w:vMerge w:val="restart"/>
            <w:shd w:val="clear" w:color="auto" w:fill="auto"/>
            <w:vAlign w:val="center"/>
          </w:tcPr>
          <w:p w14:paraId="3AAE1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128400</w:t>
            </w:r>
          </w:p>
        </w:tc>
      </w:tr>
      <w:tr w14:paraId="39C5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33" w:hRule="atLeast"/>
          <w:jc w:val="center"/>
        </w:trPr>
        <w:tc>
          <w:tcPr>
            <w:tcW w:w="252" w:type="pct"/>
            <w:vMerge w:val="restart"/>
            <w:shd w:val="clear" w:color="auto" w:fill="auto"/>
            <w:noWrap/>
            <w:vAlign w:val="center"/>
          </w:tcPr>
          <w:p w14:paraId="73E88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07" w:type="pct"/>
            <w:vMerge w:val="restart"/>
            <w:shd w:val="clear" w:color="auto" w:fill="auto"/>
            <w:vAlign w:val="center"/>
          </w:tcPr>
          <w:p w14:paraId="2686A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LED显示屏</w:t>
            </w:r>
          </w:p>
        </w:tc>
        <w:tc>
          <w:tcPr>
            <w:tcW w:w="299" w:type="pct"/>
            <w:gridSpan w:val="2"/>
            <w:vMerge w:val="restart"/>
            <w:shd w:val="clear" w:color="auto" w:fill="auto"/>
            <w:vAlign w:val="center"/>
          </w:tcPr>
          <w:p w14:paraId="5EFF830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雷曼</w:t>
            </w:r>
          </w:p>
        </w:tc>
        <w:tc>
          <w:tcPr>
            <w:tcW w:w="452" w:type="pct"/>
            <w:vMerge w:val="restart"/>
            <w:shd w:val="clear" w:color="auto" w:fill="auto"/>
            <w:vAlign w:val="center"/>
          </w:tcPr>
          <w:p w14:paraId="47BD3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LM-P1.8</w:t>
            </w:r>
          </w:p>
        </w:tc>
        <w:tc>
          <w:tcPr>
            <w:tcW w:w="2119" w:type="pct"/>
            <w:shd w:val="clear" w:color="auto" w:fill="auto"/>
            <w:vAlign w:val="center"/>
          </w:tcPr>
          <w:p w14:paraId="404F081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一、室内全彩LED显示屏</w:t>
            </w:r>
          </w:p>
          <w:p w14:paraId="76BC059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1.显示屏规格长3.84米，高2.08米，整屏面积7.987平方米。</w:t>
            </w:r>
          </w:p>
          <w:p w14:paraId="20025E5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★2.点间距 1.86mm</w:t>
            </w:r>
          </w:p>
          <w:p w14:paraId="42FBB2A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3.模组尺寸：320*160mm</w:t>
            </w:r>
          </w:p>
          <w:p w14:paraId="332DB16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4.刷新率≥3840Hz</w:t>
            </w:r>
          </w:p>
          <w:p w14:paraId="5354670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5.显示屏静态对比度：200000:1，动态对比度：10000000:1</w:t>
            </w:r>
          </w:p>
          <w:p w14:paraId="5770A94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6.显示屏亮度范围0-1200cd/㎡ ，支持0-100%可调</w:t>
            </w:r>
          </w:p>
          <w:p w14:paraId="7C8FB4F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7.显示屏具备宽广视角，可视角度：水平≥175°，垂直≥175°</w:t>
            </w:r>
          </w:p>
          <w:p w14:paraId="4DAF714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★8.像素失控率像素失控率＜1/1000000 ，像素中心距偏差0.5%</w:t>
            </w:r>
          </w:p>
          <w:p w14:paraId="2054D92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9.驱动方式：恒流驱动</w:t>
            </w:r>
          </w:p>
          <w:p w14:paraId="1AB39DA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★10.换帧频率：支持 30/50/60/120Hz</w:t>
            </w:r>
          </w:p>
          <w:p w14:paraId="21DCFD6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11.色温1000—20000K，支持色温值自定义</w:t>
            </w:r>
          </w:p>
          <w:p w14:paraId="67867E2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12.显示屏供电方式应支持4.2V供电或者2.8V+3.8V双通道分开精准供电</w:t>
            </w:r>
          </w:p>
          <w:p w14:paraId="2BA57CF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★13.PFC电源功率因数：功率因素0.99，转换效率92%</w:t>
            </w:r>
          </w:p>
          <w:p w14:paraId="0BE1F11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14.色度均匀性±0.001Cx,Cy之内</w:t>
            </w:r>
          </w:p>
          <w:p w14:paraId="0F929F0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15.显示屏具备亮度均匀性修复技术，确保亮度均匀性,校正前≥98%,校正后≥99.6%</w:t>
            </w:r>
          </w:p>
          <w:p w14:paraId="39AC810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16.显示屏釆用高精度定位结构设计箱体平整度：0.05mm、模组平整度：0.02mm,平整度：99%</w:t>
            </w:r>
          </w:p>
          <w:p w14:paraId="2B64501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★17.显示屏灰度等级24bit。具备低亮高灰，100%亮度时，24bit 灰度；70%亮度时，20bit灰度；50%亮度时，18bit 灰度；20%亮度时，16bit 灰度；</w:t>
            </w:r>
          </w:p>
          <w:p w14:paraId="034E881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18.峰值功耗350W/㎡</w:t>
            </w:r>
          </w:p>
          <w:p w14:paraId="391FEA9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19.平均功耗120W/㎡</w:t>
            </w:r>
          </w:p>
          <w:p w14:paraId="65DECEF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20.显示屏具备智能黑屏节电功能，开启智能节电功能比没有开启节能 80%以上；</w:t>
            </w:r>
          </w:p>
          <w:p w14:paraId="5ACD703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21.纳秒级，无鬼影现象</w:t>
            </w:r>
          </w:p>
          <w:p w14:paraId="14B4B3C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★22.显示屏红、绿、蓝色坐标偏差绝对值≤0.1，白色色坐标偏差绝对值≤0.01，各色块色坐标偏差绝对值≤ 0.3</w:t>
            </w:r>
          </w:p>
          <w:p w14:paraId="4830D8B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23.显示屏应符合IEC62471:2006无危险类别的限值要求，对人眼观看的安全及光辐射无危害≤1W/㎡/sr ，LB≤1W/㎡/sr</w:t>
            </w:r>
          </w:p>
          <w:p w14:paraId="185C186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★24.显示屏正面反射比≤ 6.5%；屏幕表面黑度&gt;40，墨色一致性△E&lt;0.5（需提供CNAS、CMA标识的第三方检测报告复印件并加盖投标人公章）；</w:t>
            </w:r>
          </w:p>
          <w:p w14:paraId="7FF1C98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25.亮度与视角关系应符合水平视角80°时亮度衰减率≤50%，垂直视角80°时亮度衰减率≤50%</w:t>
            </w:r>
          </w:p>
          <w:p w14:paraId="1B5C19B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26.屏幕符合GB/T 5169.16-2017电工电子产品着火危险试验，PCB满足V-0阻燃等级要求，试验过程中无滴落物，样品自燃在10s内熄灭，面板的阻燃等级达到V-0级，PCB板的火焰燃烧或灼热燃烧未达到100mm。箱体单元防火等级符合BS476标CLASS2准2等级。</w:t>
            </w:r>
          </w:p>
          <w:p w14:paraId="1433D75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27.显示屏单元模块甲醛释放符合国家标准规定要求</w:t>
            </w:r>
          </w:p>
          <w:p w14:paraId="7AF7C2F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★28.显示屏抗紫外UV辐射5级；（需提供CNAS、CMA标识的第三方检测报告复印件并加盖投标人公章）</w:t>
            </w:r>
          </w:p>
          <w:p w14:paraId="499F2CB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★29.显示屏符合ROHS相关认证标准（需提供CNAS、CMA标识的第三方检测报告复印件并加盖投标人公章）</w:t>
            </w:r>
          </w:p>
          <w:p w14:paraId="7EDB033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30.显示屏符合不小于60㎡规模的8级抗震烈度</w:t>
            </w:r>
          </w:p>
          <w:p w14:paraId="33F8FDC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★31.显示屏具备HDR3.0技术（需提供CNAS、CMA标识的第三方检测报告复印件并加盖投标人公章）。</w:t>
            </w:r>
          </w:p>
          <w:p w14:paraId="41DF69E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★32.显示屏烟气毒性指数R值0.8（需提供CNAS、CMA标识的第三方检测报告复印件并加盖投标人公章）</w:t>
            </w:r>
          </w:p>
          <w:p w14:paraId="2E1472B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★33.显示屏满足抗风荷载试验各项参数正常使用的安全要求（需提供CNAS、CMA标识的第三方检测报告复印件并加盖投标人公章）</w:t>
            </w:r>
          </w:p>
          <w:p w14:paraId="5BBCDEE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★34.显示屏控制系统软件接口需支持：Windows、MACOSX、WVX、DOS/VSE、UNIX、Linux。国产：红旗bailinux/中兴新支点操作系统/uos/ 深度（Deepin）/中标麒麟等。</w:t>
            </w:r>
          </w:p>
          <w:p w14:paraId="42CFE7A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35.多层电路板HDI设计，PCB焊盘采用沉金工艺处理，具备独特的消隐、节能，无"毛毛虫""鬼影"跟随现象</w:t>
            </w:r>
          </w:p>
          <w:p w14:paraId="4E845C2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36.显示屏支持7X24小时连续联系工作，平均无故障时间13万小时，平均修复时间2分钟，可用度大于99.999%，使用寿命&gt;100000小时</w:t>
            </w:r>
          </w:p>
          <w:p w14:paraId="241184D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37.显示屏噪声应≤1.8dB，符合GB/T18313-2001 idt ISO7779:1999（E）标准</w:t>
            </w:r>
          </w:p>
          <w:p w14:paraId="2604DC6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★38.显示屏恒定湿热符合GB/T 2423.9-2016国家标准，裸机在40摄氏度、湿度90%环境内200小时无故障，满足GB/T 2423.3-2016电工电子产品环境试验标准。符合GB/T 2423.2-2008 高温 (85 ℃)标准要求，通过GB/ T2423.3-2006恒定湿热实验后可正常工作，符合GB/T 2423.22-2012标准的高低温循环检测。（需提供CNAS、CMA标识的第三方检测报告复印件并加盖投标人公章）。</w:t>
            </w:r>
          </w:p>
          <w:p w14:paraId="0B22C5F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39。辐射骚扰30MHz-1000MHz，符合GB/T 9254.1-2021 Class B限值要求。电源端子骚扰电压150KHz-30MHz，符合GB/T9254.1-2021Class B限值要求。</w:t>
            </w:r>
          </w:p>
          <w:p w14:paraId="6961BF8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40浪涌符合GB/T 17626.5-2019，符合性能判据A</w:t>
            </w:r>
          </w:p>
          <w:p w14:paraId="5B7825D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41.高低温运行满足-40℃-80℃</w:t>
            </w:r>
          </w:p>
          <w:p w14:paraId="2EA5B75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42.储存环境应满足温度:-20~+85℃ 湿度：10~90%RH要求</w:t>
            </w:r>
          </w:p>
          <w:p w14:paraId="48646AE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★43.LED备用模组4套；</w:t>
            </w:r>
          </w:p>
          <w:p w14:paraId="3D0FC97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44.电源开关；开关电源：200W；DC5V40A。</w:t>
            </w:r>
          </w:p>
          <w:p w14:paraId="7D1233E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内置EMI滤波器，低输出纹波和噪声；</w:t>
            </w:r>
          </w:p>
          <w:p w14:paraId="5DCA7AB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保护功能：过载保护/短路保护。</w:t>
            </w:r>
          </w:p>
          <w:p w14:paraId="1F29CBC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★45.接收卡；                                                                                                                                1.单卡最大带载 512×512像素，最多支持 24 组RGB 并行数据；</w:t>
            </w:r>
          </w:p>
          <w:p w14:paraId="4621ED7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2.支持色彩管理，将显示色域在多个色域之间自由切换，使显示屏色彩更精准。</w:t>
            </w:r>
          </w:p>
          <w:p w14:paraId="4D5F648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3.支持18Bit+,使LED显示屏灰阶提升4倍，有效处理低亮时灰度丢失问题，使图像显示更细腻。</w:t>
            </w:r>
          </w:p>
          <w:p w14:paraId="1F0AB1F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4.采用 12 个标准HUB75接口，具有高稳定性和高可靠性，适用于多种环境的搭建；</w:t>
            </w:r>
          </w:p>
          <w:p w14:paraId="5ACE2E5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5.支持逐点亮色度校正，可以对每个灯点的亮度和色度进行校正，有效消除色差，使整屏的亮度和色度达到高度均匀一致，提高显示屏的画质</w:t>
            </w:r>
          </w:p>
          <w:p w14:paraId="41FC3BE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6.快速亮暗线调节在调试软件上进行快速亮暗线调节，快速解决因箱体及模组拼接造成的显示屏亮暗线，调节过程中即时生效，简单易用。</w:t>
            </w:r>
          </w:p>
          <w:p w14:paraId="475100A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7.配合支持 3D 功能的独立主控，在软件或独立主控的操作面板上开启 3D 功能，并设置 3D 参数，使画面显示 3D 效果。</w:t>
            </w:r>
          </w:p>
          <w:p w14:paraId="7E2AB1F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★46.LED系统播放软件</w:t>
            </w:r>
          </w:p>
          <w:p w14:paraId="2B83510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支持多种视频格式、图片、动画、Office文件、文字、时钟、走马灯、天气、计时、温湿度、流媒体、网页、采集卡、摄像头、Rss简讯；</w:t>
            </w:r>
          </w:p>
          <w:p w14:paraId="3F4D66A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2）.丰富的媒体属性：包括透明、背景颜色、背景图片、透明度、音量、显示比例、出入场特效、特效速度、文字颜色、炫彩效果、字体、风格等；</w:t>
            </w:r>
          </w:p>
          <w:p w14:paraId="03F49D8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页面支持一个或多个窗口；</w:t>
            </w:r>
          </w:p>
          <w:p w14:paraId="10FC621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二、视频处理器</w:t>
            </w:r>
          </w:p>
          <w:p w14:paraId="20E59B8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支持多种视频格式、图片、动画、Office文件、文字、时钟、走马灯、天气、计时、温湿度、流媒体、网页、采集卡、摄像头、Rss简讯；</w:t>
            </w:r>
          </w:p>
          <w:p w14:paraId="0C26804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2.丰富的媒体属性：包括透明、背景颜色、背景图片、透明度、音量、显示比例、出入场特效、特效速度、文字颜色、炫彩效果、字体、风格等；</w:t>
            </w:r>
          </w:p>
          <w:p w14:paraId="617C453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页面支持一个或多个窗口；</w:t>
            </w:r>
          </w:p>
          <w:p w14:paraId="57EE606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支持多个窗口个数不同的页面按次数或播放时长切换播放，且切换过程平滑无黑帧；</w:t>
            </w:r>
          </w:p>
          <w:p w14:paraId="3CE58A8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可设置不同的日期和时间播放不同的节目页。</w:t>
            </w:r>
          </w:p>
          <w:p w14:paraId="59C5BAC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三、配电箱及辅材</w:t>
            </w:r>
          </w:p>
          <w:p w14:paraId="0588C96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1、配电箱</w:t>
            </w:r>
          </w:p>
          <w:p w14:paraId="112B249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LED显示屏专用配电箱；</w:t>
            </w:r>
          </w:p>
          <w:p w14:paraId="3737C8A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2、显示屏结构。</w:t>
            </w:r>
          </w:p>
          <w:p w14:paraId="17B27B2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常规挂墙安装方式，采用钢材料结构框架，四边包边均为：5cm；</w:t>
            </w:r>
          </w:p>
          <w:p w14:paraId="0B662F4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3、含安装耗材、安装调试。</w:t>
            </w:r>
          </w:p>
        </w:tc>
        <w:tc>
          <w:tcPr>
            <w:tcW w:w="282" w:type="pct"/>
            <w:vMerge w:val="restart"/>
            <w:shd w:val="clear" w:color="auto" w:fill="auto"/>
            <w:vAlign w:val="center"/>
          </w:tcPr>
          <w:p w14:paraId="11F55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47" w:type="pct"/>
            <w:vMerge w:val="restart"/>
            <w:shd w:val="clear" w:color="auto" w:fill="auto"/>
            <w:vAlign w:val="center"/>
          </w:tcPr>
          <w:p w14:paraId="7E572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w:t>
            </w:r>
          </w:p>
        </w:tc>
        <w:tc>
          <w:tcPr>
            <w:tcW w:w="437" w:type="pct"/>
            <w:gridSpan w:val="2"/>
            <w:vMerge w:val="restart"/>
            <w:shd w:val="clear" w:color="auto" w:fill="auto"/>
            <w:vAlign w:val="center"/>
          </w:tcPr>
          <w:p w14:paraId="1F9F1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9646.5</w:t>
            </w:r>
          </w:p>
        </w:tc>
        <w:tc>
          <w:tcPr>
            <w:tcW w:w="600" w:type="pct"/>
            <w:vMerge w:val="restart"/>
            <w:shd w:val="clear" w:color="auto" w:fill="auto"/>
            <w:vAlign w:val="center"/>
          </w:tcPr>
          <w:p w14:paraId="736BC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231516.00 </w:t>
            </w:r>
          </w:p>
        </w:tc>
      </w:tr>
      <w:tr w14:paraId="744A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2" w:hRule="atLeast"/>
          <w:jc w:val="center"/>
        </w:trPr>
        <w:tc>
          <w:tcPr>
            <w:tcW w:w="252" w:type="pct"/>
            <w:vMerge w:val="restart"/>
            <w:shd w:val="clear" w:color="auto" w:fill="auto"/>
            <w:noWrap/>
            <w:vAlign w:val="center"/>
          </w:tcPr>
          <w:p w14:paraId="3C8AC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07" w:type="pct"/>
            <w:vMerge w:val="restart"/>
            <w:shd w:val="clear" w:color="auto" w:fill="auto"/>
            <w:vAlign w:val="center"/>
          </w:tcPr>
          <w:p w14:paraId="67678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智慧黑板</w:t>
            </w:r>
          </w:p>
        </w:tc>
        <w:tc>
          <w:tcPr>
            <w:tcW w:w="299" w:type="pct"/>
            <w:gridSpan w:val="2"/>
            <w:vMerge w:val="restart"/>
            <w:shd w:val="clear" w:color="auto" w:fill="auto"/>
            <w:vAlign w:val="center"/>
          </w:tcPr>
          <w:p w14:paraId="597EA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文香</w:t>
            </w:r>
          </w:p>
        </w:tc>
        <w:tc>
          <w:tcPr>
            <w:tcW w:w="452" w:type="pct"/>
            <w:vMerge w:val="restart"/>
            <w:shd w:val="clear" w:color="auto" w:fill="auto"/>
            <w:vAlign w:val="center"/>
          </w:tcPr>
          <w:p w14:paraId="7CADF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WX-BP09851J</w:t>
            </w:r>
          </w:p>
        </w:tc>
        <w:tc>
          <w:tcPr>
            <w:tcW w:w="2119" w:type="pct"/>
            <w:shd w:val="clear" w:color="auto" w:fill="auto"/>
            <w:vAlign w:val="center"/>
          </w:tcPr>
          <w:p w14:paraId="3426CD7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一．智慧黑板</w:t>
            </w:r>
          </w:p>
          <w:p w14:paraId="71CD64A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1.整机需采用一体化拼接设计，外部无任何可见内部功能模块的连接线；采用阻燃材质外壳，边角采用弧形设计，表面无尖锐边缘或凸起。</w:t>
            </w:r>
          </w:p>
          <w:p w14:paraId="3514110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2.副板需采用金属材质纳米镀膜，支持磁性材料吸附，需支持普通粉笔、液体粉笔、水溶性粉笔等直接书写。</w:t>
            </w:r>
          </w:p>
          <w:p w14:paraId="0CB3D0D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3.设备需内置NFC 模块，支持刷卡控制开机，每台设备标配不少于3张IC卡。</w:t>
            </w:r>
          </w:p>
          <w:p w14:paraId="7840F8F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4.屏幕尺寸不小于98英寸，屏幕显示分辨率最高可支持4K，屏幕刷新率可达60Hz画面无闪烁。</w:t>
            </w:r>
          </w:p>
          <w:p w14:paraId="6BE8BDE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5.液晶屏幕对比度不小于4000:1，亮度不小于400cd/㎡；屏幕表面采用厚度≤4mm钢化玻璃，具有防眩光功能。</w:t>
            </w:r>
          </w:p>
          <w:p w14:paraId="6CF0923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6.采用电容触控技术，在Android、Windows双系统下均支持≥20点触控，触控笔接触面积直径≤6mm，触摸响应时间≤10ms，书写精度≤2mm。</w:t>
            </w:r>
          </w:p>
          <w:p w14:paraId="1FA69DD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7.整机外观尺寸宽度不小于4600mm，高度不小于1300mm。</w:t>
            </w:r>
          </w:p>
          <w:p w14:paraId="25B1058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8.整机支持壁挂和支架安装方式，黑板挂墙结构具有容错机制，支持左右微调，微调距离±20cm，方便安装调节。(具有第三方实验室出具的检测报告，报告编号可在全国认证认可信息公共服务平台查询，提供报告复印件和查询截图并加公章)</w:t>
            </w:r>
          </w:p>
          <w:p w14:paraId="4449A29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9.整机支持外接信号输入时自动唤醒功能，整机处于关机通电状态，外接电脑显示信号通过HDMI传输线连接至整机时，整机可智能识别并自动开机。</w:t>
            </w:r>
          </w:p>
          <w:p w14:paraId="2D15AA0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★10.整机具备2.1声道音箱，前置2个≥15W中高音音箱，后置1个≥20W低音音箱,支持单独听功能。</w:t>
            </w:r>
          </w:p>
          <w:p w14:paraId="444C8F6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11.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p>
          <w:p w14:paraId="1397336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12.设备需支持前置≥1路HDMI输入接口、≥1路TYPE-C输入接口、≥2路USB输入接口（支持双通道）。</w:t>
            </w:r>
          </w:p>
          <w:p w14:paraId="0ED8D44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★13.设备支持一键还原功能，至少具备2种进入还原模式的方法。(具有第三方实验室出具的检测报告，报告编号可在全国认证认可信息公共服务平台查询，提供报告复印件和查询截图并加盖公章)</w:t>
            </w:r>
          </w:p>
          <w:p w14:paraId="2FEC70B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14.要求支持设置USB锁、屏幕锁、应用锁与触摸锁功能，其中USB锁、屏幕锁、应用锁可以设置对应解锁的密码。(具有第三方实验室出具的检测报告，报告编号可在全国认证认可信息公共服务平台查询，提供报告复印件和查询截图并加盖公章)</w:t>
            </w:r>
          </w:p>
          <w:p w14:paraId="03974CD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★15.OPS插拔式电脑：采用插拔式电脑模块架构，针脚数≥80pin，屏体与插拔式电脑无单独接线；处理器配置Intel Core i5处理器，不低于8G内存，不低于256G-SSD固态硬盘；具有独立非外扩展接口：支持HDMI out≥1、Mic in≥1、LINE-out≥1、USB口≥6其中USB 3.0≥3，Rj45≥1；内置有线网卡和无线网卡。</w:t>
            </w:r>
          </w:p>
          <w:p w14:paraId="29DDD17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二、白板软件</w:t>
            </w:r>
          </w:p>
          <w:p w14:paraId="4507AD2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备课</w:t>
            </w:r>
          </w:p>
          <w:p w14:paraId="03EAE7B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1.备课支持插入本地PPT，并保持原有格式无变化，动效动画无丢失，支持批注，批注可设置保存；支持显示保存在云端的课件信息，可接收或忽略其他用户分享的课件。</w:t>
            </w:r>
          </w:p>
          <w:p w14:paraId="497B5A3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2.支持对课件进行分享、下载、重命名、移动、删除操作，分享可按照手机号码及链接的方式进行分享，链接分享形式支持设置文件有效期（支持不少于永久、30天、7天等）、私密和公开的设置。</w:t>
            </w:r>
          </w:p>
          <w:p w14:paraId="7B791D9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3.课件支持自动同步至云端，支持设置课件自动保存时间，至少可设置为1分钟、3分钟、5分钟、10分钟、20分钟、30分钟等。(具有第三方实验室出具的检测报告，报告编号可在全国认证认可信息公共服务平台查询，提供报告复印件和查询截图并加盖公章)</w:t>
            </w:r>
          </w:p>
          <w:p w14:paraId="4087787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4.新建课件支持选择课件主题，提供预设课件主题，至少包含学科主题、创意主题，可在编辑课件的过程中更改。</w:t>
            </w:r>
          </w:p>
          <w:p w14:paraId="02FD371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5.提供小黑板、截图、录屏、撤销、还原、放大镜、计时器、形状、思维导图、幕布、分屏、漫游等通用工具。(具有第三方实验室出具的检测报告，报告编号可在全国认证认可信息公共服务平台查询，提供报告复印件和查询截图并加盖制造商公章)</w:t>
            </w:r>
          </w:p>
          <w:p w14:paraId="4E49253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三、投屏软件</w:t>
            </w:r>
          </w:p>
          <w:p w14:paraId="059EF2A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1.支持手机、笔记本电脑等移动端通过自动搜索接收端设备和六位识别码两种方式无线连接到智慧黑板。</w:t>
            </w:r>
          </w:p>
          <w:p w14:paraId="23D622D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2.支持不少于6个投屏客户端图像画面对比展示，在智慧黑板上可以反向控制操作笔记本电脑上的内容,支持单击、双击、右键控制。(具有第三方实验室出具的检测报告，报告编号可在全国认证认可信息公共服务平台查询，提供报告复印件和查询截图并加盖公章)</w:t>
            </w:r>
          </w:p>
          <w:p w14:paraId="3C0C278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3.支持将手机中的音视频文件无线推送至智慧黑板 ,并能进行播放和进行音量大小调节。</w:t>
            </w:r>
          </w:p>
          <w:p w14:paraId="679BDFD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4.支持鼠标遥控器功能,通过软件一键进行鼠标左键、右键、上下滚轮滑动、触摸板操控等功能。</w:t>
            </w:r>
          </w:p>
          <w:p w14:paraId="5622B27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5.要求智慧黑板显示桌面可以实时同步到手机上,手机通过两个手指对智慧黑板桌面进行放大、缩小和漫游操作 ,方便手机端对智慧黑板进行远程控制。</w:t>
            </w:r>
          </w:p>
          <w:p w14:paraId="29EE851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6.Windows客户端投屏至少支持桌面同步、镜像投屏和拓展投屏功能，点击功能会跳转至对应控制页面；Windows客户端进入控制页面，支持调节投屏清晰度，至少支持超清、高清等标准。(具有第三方实验室出具的检测报告，报告编号可在全国认证认可信息公共服务平台查询，提供报告复印件和查询截图并加盖公章)</w:t>
            </w:r>
          </w:p>
          <w:p w14:paraId="1C521F4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四、微课软件</w:t>
            </w:r>
          </w:p>
          <w:p w14:paraId="22DF13D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1.支持对音源、分辨率、录制区域进行设置；录制音源至少支持仅系统、仅麦克风、系统与麦克风。(具有第三方实验室出具的检测报告，报告编号可在全国认证认可信息公共服务平台查询，提供报告复印件和查询截图并加盖商公章)</w:t>
            </w:r>
          </w:p>
          <w:p w14:paraId="3CAC789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2.支持打开录课列表窗口，查看文件列表；支持打开云微课窗口，查看云端存储的文件列表。</w:t>
            </w:r>
          </w:p>
          <w:p w14:paraId="02D2320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3.支持倒计时功能，开始录制倒计时3S后开始录制；支持录制过程中，录制工具条不影响录制画面。(具有第三方实验室出具的检测报告，报告编号可在全国认证认可信息公共服务平台查询，提供报告复印件和查询截图并加盖制造商公章)</w:t>
            </w:r>
          </w:p>
          <w:p w14:paraId="1BDF5F5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4.支持对录制后的视频进行剪辑，剪辑包括视频合并、视频剪切、视频预览、并且可以添加水印；剪辑功能支持添加至少25字文字水印，支持字号选择、透明度调整，支持多种颜色，水印显示位置可选择。(具有第三方实验室出具的检测报告，报告编号可在全国认证认可信息公共服务平台查询，提供报告复印件和查询截图并加盖制造商公章)</w:t>
            </w:r>
          </w:p>
          <w:p w14:paraId="386C806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5.支持将Windows和Android两个系统进行绑定，绑定完成后，实现两个系统的融合。(具有第三方实验室出具的检测报告，报告编号可在全国认证认可信息公共服务平台查询，提供报告复印件和查询截图并加盖制造商公章)</w:t>
            </w:r>
          </w:p>
          <w:p w14:paraId="5DAC652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Calibri"/>
                <w:b w:val="0"/>
                <w:bCs w:val="0"/>
                <w:szCs w:val="21"/>
              </w:rPr>
            </w:pPr>
            <w:r>
              <w:rPr>
                <w:rFonts w:hint="eastAsia" w:ascii="宋体" w:hAnsi="宋体" w:eastAsia="宋体" w:cs="Calibri"/>
                <w:b w:val="0"/>
                <w:bCs w:val="0"/>
                <w:szCs w:val="21"/>
              </w:rPr>
              <w:t>★6.支持手机和大屏/电脑之间的文件互传，支持文件快传弹窗，用户可使用app扫码选择上传文件；也可选择电脑/大屏端文件进行下发，选择文件后刷新二维码弹窗，用户扫码带走文件，实现文件共享；支持查看上传的文件列表，查看文件名称、上传者及上传进度，也可打开、删除、取消文件；支持查看下载的文件列表，可查看文件名称、类型、大小、也可打开、删除、取消下载的文件。(具有第三方实验室出具的检测报告，报告编号可在全国认证认可信息公共服务平台查询，提供报告复印件和查询截图并加盖制造商公章)</w:t>
            </w:r>
          </w:p>
          <w:p w14:paraId="323157F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Calibri"/>
                <w:b w:val="0"/>
                <w:bCs w:val="0"/>
                <w:szCs w:val="21"/>
              </w:rPr>
              <w:t>★7.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具有第三方实验室出具的检测报告，报告编号可在全国认证认可信息公共服务平台查询，提供报告复印件和查询截图并加盖制造商公章)</w:t>
            </w:r>
          </w:p>
        </w:tc>
        <w:tc>
          <w:tcPr>
            <w:tcW w:w="282" w:type="pct"/>
            <w:vMerge w:val="restart"/>
            <w:shd w:val="clear" w:color="auto" w:fill="auto"/>
            <w:vAlign w:val="center"/>
          </w:tcPr>
          <w:p w14:paraId="14826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7" w:type="pct"/>
            <w:vMerge w:val="restart"/>
            <w:shd w:val="clear" w:color="auto" w:fill="auto"/>
            <w:vAlign w:val="center"/>
          </w:tcPr>
          <w:p w14:paraId="10BC3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7" w:type="pct"/>
            <w:gridSpan w:val="2"/>
            <w:vMerge w:val="restart"/>
            <w:shd w:val="clear" w:color="auto" w:fill="auto"/>
            <w:vAlign w:val="center"/>
          </w:tcPr>
          <w:p w14:paraId="4A96152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48000.00</w:t>
            </w:r>
          </w:p>
        </w:tc>
        <w:tc>
          <w:tcPr>
            <w:tcW w:w="600" w:type="pct"/>
            <w:vMerge w:val="restart"/>
            <w:shd w:val="clear" w:color="auto" w:fill="auto"/>
            <w:vAlign w:val="center"/>
          </w:tcPr>
          <w:p w14:paraId="0D035F5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48000.00</w:t>
            </w:r>
          </w:p>
        </w:tc>
      </w:tr>
      <w:tr w14:paraId="32B3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6" w:hRule="atLeast"/>
          <w:jc w:val="center"/>
        </w:trPr>
        <w:tc>
          <w:tcPr>
            <w:tcW w:w="252" w:type="pct"/>
            <w:shd w:val="clear" w:color="auto" w:fill="auto"/>
            <w:noWrap/>
            <w:vAlign w:val="center"/>
          </w:tcPr>
          <w:p w14:paraId="3723E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07" w:type="pct"/>
            <w:shd w:val="clear" w:color="auto" w:fill="auto"/>
            <w:vAlign w:val="center"/>
          </w:tcPr>
          <w:p w14:paraId="2D4D7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触摸一体机</w:t>
            </w:r>
          </w:p>
        </w:tc>
        <w:tc>
          <w:tcPr>
            <w:tcW w:w="299" w:type="pct"/>
            <w:gridSpan w:val="2"/>
            <w:shd w:val="clear" w:color="auto" w:fill="auto"/>
            <w:vAlign w:val="center"/>
          </w:tcPr>
          <w:p w14:paraId="44E54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文香</w:t>
            </w:r>
          </w:p>
        </w:tc>
        <w:tc>
          <w:tcPr>
            <w:tcW w:w="452" w:type="pct"/>
            <w:shd w:val="clear" w:color="auto" w:fill="auto"/>
            <w:vAlign w:val="center"/>
          </w:tcPr>
          <w:p w14:paraId="30C16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WX-W086004</w:t>
            </w:r>
          </w:p>
        </w:tc>
        <w:tc>
          <w:tcPr>
            <w:tcW w:w="2119" w:type="pct"/>
            <w:shd w:val="clear" w:color="auto" w:fill="auto"/>
            <w:vAlign w:val="center"/>
          </w:tcPr>
          <w:p w14:paraId="5F3F208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一、整机设计</w:t>
            </w:r>
          </w:p>
          <w:p w14:paraId="571ECE0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1.整体采用包边设计，表面钢化玻璃在合金边框内，四角圆弧，双重保护，安全抗冲击。</w:t>
            </w:r>
          </w:p>
          <w:p w14:paraId="163DE56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2.产品具有两个笔槽设计，分别在底部两端，支持触控笔吸附；具有前置挡板设计,保护前置接口及接入的设备。</w:t>
            </w:r>
          </w:p>
          <w:p w14:paraId="6E72473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3.屏幕尺寸≥86英寸，分辨率≥3840×2160，表面采用耐磨、防眩光、防划伤、高安全系数钢化玻璃。</w:t>
            </w:r>
          </w:p>
          <w:p w14:paraId="0E3DB9F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4.产品内置喇叭，采用防尘设计，功率不低于2x15W。</w:t>
            </w:r>
          </w:p>
          <w:p w14:paraId="5B57842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有不少于8个前置物理按键，至少包含电源键、菜单、主页、信号源、音量、OPS，按键具备明显标识；支持电源按键三合一功能，可选择关闭产品、内置电脑、节能等，具有供电保护功能(具有第三方实验室出具的检测报告，报告编号可在全国认证认可信息公共服务平台查询，提供报告复印件和查询截图并加盖公章)</w:t>
            </w:r>
          </w:p>
          <w:p w14:paraId="28458CB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产品采用红外多点触控技术，需支持手指轻触式多点（不少于20点触控）互动体验，触摸免驱动，即插即用，需支持主流多种操作系统。(具有第三方实验室出具的检测报告，报告编号可在全国认证认可信息公共服务平台查询，提供报告复印件和查询截图并加盖公章)</w:t>
            </w:r>
          </w:p>
          <w:p w14:paraId="33DA17A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7.具有触摸防遮挡功能，触摸屏具有防遮挡功能，触摸接收器在单点或单边遮挡后仍能正常触控书写和操作；触控连续响应无间断，有效识别≤2毫米，触控精准度32768x32768。</w:t>
            </w:r>
          </w:p>
          <w:p w14:paraId="3AA4AD2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8.内置无线网络模块，采用全向信号接发设计，支持无线网络连接，Wi-Fi及AP热点支持频段为2.4GHz和5GHz，同时支持蓝牙Bluetooth 5.0标准功能。</w:t>
            </w:r>
          </w:p>
          <w:p w14:paraId="3701D61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9.具有五指熄屏功能，支持五指智能手势识别开关产品背光，操作者可在显示区域任意位置，任意信号下，通过五指按压屏幕实现对屏幕的开关，五指触控实现产品背光的关闭与开启。</w:t>
            </w:r>
          </w:p>
          <w:p w14:paraId="4DF51B9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10.采用智能电子产品一键式设计</w:t>
            </w:r>
          </w:p>
          <w:p w14:paraId="5BBB127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11.侧边栏需支持日历、童锁、节能、截屏（支持全屏和自由截屏）、护眼、聚光灯、幕布、亮度调节、声音调节等功能应用，需支持快捷自定义程序应用。</w:t>
            </w:r>
          </w:p>
          <w:p w14:paraId="56CF813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整机内置非独立的高清摄像头，摄像头像素≥1300万，视角≥110°，需支持阵列数字音频MIC，支持调用，实现场景音视录制。(具有第三方实验室出具的检测报告，报告编号可在全国认证认可信息公共服务平台查询，提供报告复印件和查询截图并加盖公章)</w:t>
            </w:r>
          </w:p>
          <w:p w14:paraId="214A406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二、白板软件</w:t>
            </w:r>
          </w:p>
          <w:p w14:paraId="306978E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备课</w:t>
            </w:r>
          </w:p>
          <w:p w14:paraId="7177060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1.备课支持插入本地PPT，并保持原有格式无变化，动效动画无丢失，支持批注，批注可设置保存；支持显示保存在云端的课件信息，可接收或忽略其他用户分享的课件。</w:t>
            </w:r>
          </w:p>
          <w:p w14:paraId="6FA01FE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2.支持对课件进行分享、下载、重命名、移动、删除操作，分享可按照手机号码及链接的方式进行分享，链接分享形式支持设置文件有效期（支持不少于永久、30天、7天等）、私密和公开的设置。</w:t>
            </w:r>
          </w:p>
          <w:p w14:paraId="335CB56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课件支持自动同步至云端，支持设置课件自动保存时间，至少可设置为1分钟、3分钟、5分钟、10分钟、20分钟、30分钟等。(具有第三方实验室出具的检测报告，报告编号可在全国认证认可信息公共服务平台查询，提供报告复印件和查询截图并加盖制造商公章)</w:t>
            </w:r>
          </w:p>
          <w:p w14:paraId="5D4792D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三、同屏软件</w:t>
            </w:r>
          </w:p>
          <w:p w14:paraId="3566693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1.支持手机、笔记本电脑等移动端通过自动搜索接收端设备和六位识别码两种方式无线连接到产品。</w:t>
            </w:r>
          </w:p>
          <w:p w14:paraId="5FEA08E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不少于6个投屏客户端图像画面对比展示，在产品上可以反向控制操作笔记本电脑上的内容,支持单击、双击、右键控制。(具有第三方实验室出具的检测报告，报告编号可在全国认证认可信息公共服务平台查询，提供报告复印件和查询截图并加盖公章)</w:t>
            </w:r>
          </w:p>
          <w:p w14:paraId="25296CA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3.支持将手机中的音视频文件无线推送至产品 ,并能进行播放和进行音量大小调节。</w:t>
            </w:r>
          </w:p>
          <w:p w14:paraId="2B8C400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4.支持鼠标遥控器功能,通过软件一键进行鼠标左键、右键、上下滚轮滑动、触摸板操控等功能。</w:t>
            </w:r>
          </w:p>
          <w:p w14:paraId="7FD256B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5.要求产品显示桌面可以实时同步到手机上,手机通过两个手指对产品桌面进行放大、缩小和漫游操作 ,方便手机端对产品进行远程控制。</w:t>
            </w:r>
          </w:p>
          <w:p w14:paraId="61CCC93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indows客户端投屏至少支持桌面同步、镜像投屏和拓展投屏功能，点击功能会跳转至对应控制页面；Windows客户端进入控制页面，支持调节投屏清晰度，至少支持超清、高清等标准。(具有第三方实验室出具的检测报告，报告编号可在全国认证认可信息公共服务平台查询，提供报告复印件和查询截图并加盖公章)</w:t>
            </w:r>
          </w:p>
          <w:p w14:paraId="794A9E4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四、微课软件</w:t>
            </w:r>
          </w:p>
          <w:p w14:paraId="2AEB6B3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对音源、分辨率、录制区域进行设置；录制音源至少支持仅系统、仅麦克风、系统与麦克风。(具有第三方实验室出具的检测报告，报告编号可在全国认证认可信息公共服务平台查询，提供报告复印件和查询截图并加盖公章)</w:t>
            </w:r>
          </w:p>
          <w:p w14:paraId="3482FC8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2.支持打开录课列表窗口，查看文件列表；支持打开云微课窗口，查看云端存储的文件列表。</w:t>
            </w:r>
          </w:p>
          <w:p w14:paraId="26183A6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倒计时功能，开始录制倒计时3S后开始录制；支持录制过程中，录制工具条不影响录制画面。(具有第三方实验室出具的检测报告，报告编号可在全国认证认可信息公共服务平台查询，提供报告复印件和查询截图并加盖公章)</w:t>
            </w:r>
          </w:p>
          <w:p w14:paraId="6BD388D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4.录制结束后，支持弹出视频预览画面，展示用户录制的整个视频，可任意拖动进度条查看内容，调整音量大小，全屏播放。</w:t>
            </w:r>
          </w:p>
          <w:p w14:paraId="0E731D9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5.支持将录制的视频内容保存至本地硬盘；并可将本地的录制文件上传到个人云端，数据存储更方便、更安全。</w:t>
            </w:r>
          </w:p>
          <w:p w14:paraId="5413C31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对录制后的视频进行剪辑，剪辑包括视频合并、视频剪切、视频预览、并且可以添加水印；剪辑功能支持添加至少25字文字水印，支持字号选择、透明度调整，支持多种颜色，水印显示位置可选择。(具有第三方实验室出具的检测报告，报告编号可在全国认证认可信息公共服务平台查询，提供报告复印件和查询截图并加盖公章)</w:t>
            </w:r>
          </w:p>
          <w:p w14:paraId="1C8D92A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7.支持打开录课列表窗口，查看文件列表，在录课列表的任意目录下对文件或文件夹进行移动、删除、重命名等操作，可新建文件夹，快速搜索文件或文件夹。</w:t>
            </w:r>
          </w:p>
          <w:p w14:paraId="6320B59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将视频文件上传至云端存储；支持在上传列表查看所有上传中的文件状态，可进行暂停、开始、取消等操作。(具有第三方实验室出具的检测报告，报告编号可在全国认证认可信息公共服务平台查询，提供报告复印件和查询截图并加盖公章)</w:t>
            </w:r>
          </w:p>
          <w:p w14:paraId="57933D1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点击录课列表中的视频文件，可预览播放；支持打开云微课窗口，查看云端存储的文件列表；支持在云微课的任意目录下对文件或文件夹进行分享、下载、移动、删除、重命名等操作，可新建文件夹，快速搜索文件或文件夹。</w:t>
            </w:r>
          </w:p>
          <w:p w14:paraId="6E133BE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将云微课中的视频文件或文件夹下载至本地；支持在下载列表中查看所有下载中的文件状态，可进行暂停、开始、取消等操作；支持分享功能，包含手机号分享和链接分享，被分享用户登录后可打开并查看分享文件。</w:t>
            </w:r>
          </w:p>
          <w:p w14:paraId="48EA402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五、教学管理软件</w:t>
            </w:r>
          </w:p>
          <w:p w14:paraId="4262C5D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软件可最小化至任务栏或退出应用，方便老师按照个人习惯使用；需支持组件及应用，默认显示天气组件，并显示我的电脑、白板、传屏、展台、资源中心、我的云盘、文件快传、回收站等；需支持快速调起白板、传屏、展台等应用；需支持将任意路径下的文件一键发送至教学桌面。(具有第三方实验室出具的检测报告，报告编号可在全国认证认可信息公共服务平台查询，提供报告复印件和查询截图并加盖公章)</w:t>
            </w:r>
          </w:p>
          <w:p w14:paraId="62C4979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2.可快速打开平台查看对应的资源中心及个人云盘；</w:t>
            </w:r>
          </w:p>
          <w:p w14:paraId="6AE4213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3.支持查看课程列表，至少包括常规课程、互动课程、直播课程；课表以日历的形式呈现，可直接切换点击日期查看对应的课程数量及列表。</w:t>
            </w:r>
          </w:p>
          <w:p w14:paraId="2573C62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4.支持常规课程创建，可设置课程名称、上课日期、时间，选择班级、关联课件，设置课件自动打开时间。</w:t>
            </w:r>
          </w:p>
          <w:p w14:paraId="1864F24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5.支持远程互动课程创建，可设置课程主题、开课日期、时间，设置成员加入课程自动上台、设置成员加入课程自动静音、设置课程密码、设置课程模式。</w:t>
            </w:r>
          </w:p>
          <w:p w14:paraId="5BF13CC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6.支持直播课程创建，可在教育专属桌面直接打开平台并创建直播课程，创建完成后，在平台端可观看直播。</w:t>
            </w:r>
          </w:p>
          <w:p w14:paraId="6FA62E0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7.支持对云端资源的文件/文件夹的操作，至少包含移动、重命名、分享、下载、删除、新建文件夹、刷新列表、搜索，也可通过文件名、文件更新时间、文件大小进行排序。</w:t>
            </w:r>
          </w:p>
          <w:p w14:paraId="7546319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8.支持云微课功能，可自动获取该账号下使用微课软件录制并上传至云端的全部文件列表；支持云课件功能，可自动获取该账号下使用白板软件制作并上传至云端的全部文件列表。</w:t>
            </w:r>
          </w:p>
          <w:p w14:paraId="2806932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手机和大屏/电脑之间的文件互传，支持文件快传弹窗，用户可使用app扫码选择上传文件；也可选择电脑/大屏端文件进行下发，选择文件后刷新二维码弹窗，用户扫码带走文件，实现文件共享；支持查看上传的文件列表，查看文件名称、上传者及上传进度，也可打开、删除、取消文件；支持查看下载的文件列表，可查看文件名称、类型、大小、也可打开、删除、取消下载的文件。(具有第三方实验室出具的检测报告，报告编号可在全国认证认可信息公共服务平台查询，提供报告复印件和查询截图并加盖公章)</w:t>
            </w:r>
          </w:p>
          <w:p w14:paraId="77750CD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查看Windows内的应用列表，可自动获取Windows系统内的应用，按名称由A-Z进行排列，可任意添加、移除应用到教学桌面上；支持预置多种桌面组件，包含推荐应用、天气、课表、日历、每日一言、时钟、欢迎语、我的云盘、资源中心、我的电脑、回收站、文件快传、白板、传屏、微课。可任意添加或移除组件，已添加到桌面上的组件可任意拖动改变位置。(具有第三方实验室出具的检测报告，报告编号可在全国认证认可信息公共服务平台查询，提供报告复印件和查询截图并加盖制造商公章)</w:t>
            </w:r>
          </w:p>
          <w:p w14:paraId="60D68A1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支持查看多个桌面列表，可任意增加/删除桌面，并对桌面进行命名，点击桌面可快速定位到桌面；支持基础信息设置，可设置桌面背景、欢迎语、数据同步、开机自启等设置；支持设置欢迎语，展示在桌面顶部，可设置文本内容、颜色、字体、字号、下划线、加粗、斜体等。(具有第三方实验室出具的检测报告，报告编号可在全国认证认可信息公共服务平台查询，提供报告复印件和查询截图并加盖制造商公章)</w:t>
            </w:r>
          </w:p>
          <w:p w14:paraId="677C4C3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具有第三方实验室出具的检测报告，报告编号可在全国认证认可信息公共服务平台查询，提供报告复印件和查询截图并加盖制造商公章)</w:t>
            </w:r>
          </w:p>
          <w:p w14:paraId="4D134EC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六、OPS插拔式电脑</w:t>
            </w:r>
          </w:p>
          <w:p w14:paraId="3F2FCB7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1．采用OPS插拔式架构，针脚数80pin，屏体与插拔式电脑无单独接线；</w:t>
            </w:r>
          </w:p>
          <w:p w14:paraId="7D0F0B8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2．处理器配置不低于Intel Core i5处理器；内存不低于8G；硬盘不低于256G-SSD 固态硬盘；</w:t>
            </w:r>
          </w:p>
        </w:tc>
        <w:tc>
          <w:tcPr>
            <w:tcW w:w="282" w:type="pct"/>
            <w:shd w:val="clear" w:color="auto" w:fill="auto"/>
            <w:vAlign w:val="center"/>
          </w:tcPr>
          <w:p w14:paraId="10625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47" w:type="pct"/>
            <w:shd w:val="clear" w:color="auto" w:fill="auto"/>
            <w:vAlign w:val="center"/>
          </w:tcPr>
          <w:p w14:paraId="21C66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7" w:type="pct"/>
            <w:gridSpan w:val="2"/>
            <w:shd w:val="clear" w:color="auto" w:fill="auto"/>
            <w:vAlign w:val="center"/>
          </w:tcPr>
          <w:p w14:paraId="3695270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21150.00</w:t>
            </w:r>
          </w:p>
        </w:tc>
        <w:tc>
          <w:tcPr>
            <w:tcW w:w="600" w:type="pct"/>
            <w:shd w:val="clear" w:color="auto" w:fill="auto"/>
            <w:vAlign w:val="center"/>
          </w:tcPr>
          <w:p w14:paraId="69A458F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126900.00</w:t>
            </w:r>
          </w:p>
        </w:tc>
      </w:tr>
      <w:tr w14:paraId="3490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3713" w:type="pct"/>
            <w:gridSpan w:val="7"/>
            <w:shd w:val="clear" w:color="auto" w:fill="auto"/>
            <w:noWrap/>
            <w:vAlign w:val="center"/>
          </w:tcPr>
          <w:p w14:paraId="71DE11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286" w:type="pct"/>
            <w:gridSpan w:val="4"/>
            <w:shd w:val="clear" w:color="auto" w:fill="auto"/>
            <w:noWrap/>
            <w:vAlign w:val="center"/>
          </w:tcPr>
          <w:p w14:paraId="24DC1A7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666316.00 </w:t>
            </w:r>
          </w:p>
        </w:tc>
      </w:tr>
      <w:tr w14:paraId="38D6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4397" w:type="pct"/>
            <w:gridSpan w:val="9"/>
            <w:shd w:val="clear" w:color="auto" w:fill="auto"/>
            <w:noWrap/>
            <w:vAlign w:val="center"/>
          </w:tcPr>
          <w:p w14:paraId="451FD6E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Courier New" w:eastAsia="宋体" w:cs="Times New Roman"/>
                <w:color w:val="auto"/>
                <w:szCs w:val="22"/>
                <w:highlight w:val="none"/>
              </w:rPr>
              <w:t>★</w:t>
            </w:r>
            <w:r>
              <w:rPr>
                <w:rFonts w:hint="eastAsia" w:ascii="宋体" w:hAnsi="宋体" w:eastAsia="宋体" w:cs="宋体"/>
                <w:b w:val="0"/>
                <w:bCs w:val="0"/>
                <w:color w:val="auto"/>
                <w:sz w:val="21"/>
                <w:szCs w:val="21"/>
                <w:highlight w:val="none"/>
              </w:rPr>
              <w:t>商务要求</w:t>
            </w:r>
          </w:p>
        </w:tc>
        <w:tc>
          <w:tcPr>
            <w:tcW w:w="602" w:type="pct"/>
            <w:gridSpan w:val="2"/>
            <w:shd w:val="clear" w:color="auto" w:fill="auto"/>
            <w:noWrap/>
            <w:vAlign w:val="center"/>
          </w:tcPr>
          <w:p w14:paraId="4A39565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3689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50" w:type="pct"/>
            <w:gridSpan w:val="3"/>
            <w:shd w:val="clear" w:color="auto" w:fill="auto"/>
            <w:noWrap/>
            <w:vAlign w:val="center"/>
          </w:tcPr>
          <w:p w14:paraId="21103E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Cs w:val="22"/>
                <w:highlight w:val="none"/>
              </w:rPr>
              <w:t>★</w:t>
            </w:r>
            <w:r>
              <w:rPr>
                <w:rFonts w:hint="eastAsia" w:ascii="宋体" w:hAnsi="宋体" w:eastAsia="宋体" w:cs="宋体"/>
                <w:b w:val="0"/>
                <w:bCs w:val="0"/>
                <w:color w:val="auto"/>
                <w:sz w:val="21"/>
                <w:szCs w:val="21"/>
                <w:highlight w:val="none"/>
              </w:rPr>
              <w:t>竞标报价要求</w:t>
            </w:r>
          </w:p>
        </w:tc>
        <w:tc>
          <w:tcPr>
            <w:tcW w:w="3546" w:type="pct"/>
            <w:gridSpan w:val="6"/>
            <w:shd w:val="clear" w:color="auto" w:fill="auto"/>
            <w:noWrap/>
            <w:vAlign w:val="center"/>
          </w:tcPr>
          <w:p w14:paraId="42BE60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投标报价为采购人指定地点的现场交货价，包括：</w:t>
            </w:r>
          </w:p>
          <w:p w14:paraId="2D4F60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1）货物的价格：包括货款、杂配件、安装费、验收费；</w:t>
            </w:r>
          </w:p>
          <w:p w14:paraId="54F0E6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2）货物的标准附件、备品备件、专用工具的价格。</w:t>
            </w:r>
          </w:p>
          <w:p w14:paraId="0DC4BA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3）运输、装卸、调试、培训、技术支持、售后服务费。</w:t>
            </w:r>
          </w:p>
          <w:p w14:paraId="70DE7F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4）各类软件、系统等的安装、集成、试运行等费用。</w:t>
            </w:r>
          </w:p>
          <w:p w14:paraId="02B587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5）保险费和各项税金。</w:t>
            </w:r>
          </w:p>
          <w:p w14:paraId="20CBFC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p>
          <w:p w14:paraId="7AB0E6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（1）竞标供应商自行考虑完成项目所需的辅材、杂配件等数量，投标报价中应包含全部内容，成交后采购人不再另行支付额外费用。</w:t>
            </w:r>
          </w:p>
          <w:p w14:paraId="27CBFF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color w:val="auto"/>
                <w:sz w:val="21"/>
                <w:szCs w:val="21"/>
                <w:highlight w:val="none"/>
              </w:rPr>
              <w:t>（2）竞标供应商的投标总报价≤采购预算总价。</w:t>
            </w:r>
          </w:p>
        </w:tc>
        <w:tc>
          <w:tcPr>
            <w:tcW w:w="602" w:type="pct"/>
            <w:gridSpan w:val="2"/>
            <w:shd w:val="clear" w:color="auto" w:fill="auto"/>
            <w:noWrap/>
            <w:vAlign w:val="center"/>
          </w:tcPr>
          <w:p w14:paraId="375973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011C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50" w:type="pct"/>
            <w:gridSpan w:val="3"/>
            <w:shd w:val="clear" w:color="auto" w:fill="auto"/>
            <w:noWrap/>
            <w:vAlign w:val="center"/>
          </w:tcPr>
          <w:p w14:paraId="500F1F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Cs w:val="22"/>
                <w:highlight w:val="none"/>
              </w:rPr>
              <w:t>★</w:t>
            </w:r>
            <w:r>
              <w:rPr>
                <w:rFonts w:hint="eastAsia" w:ascii="宋体" w:hAnsi="宋体" w:eastAsia="宋体" w:cs="宋体"/>
                <w:b w:val="0"/>
                <w:bCs w:val="0"/>
                <w:color w:val="auto"/>
                <w:sz w:val="21"/>
                <w:szCs w:val="21"/>
                <w:highlight w:val="none"/>
              </w:rPr>
              <w:t>合同签订期及地点</w:t>
            </w:r>
          </w:p>
        </w:tc>
        <w:tc>
          <w:tcPr>
            <w:tcW w:w="3546" w:type="pct"/>
            <w:gridSpan w:val="6"/>
            <w:shd w:val="clear" w:color="auto" w:fill="auto"/>
            <w:noWrap/>
            <w:vAlign w:val="center"/>
          </w:tcPr>
          <w:p w14:paraId="6CB4AD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1）合同签订期：自成交公告发出之日起</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个工作日内。</w:t>
            </w:r>
          </w:p>
          <w:p w14:paraId="723E84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color w:val="auto"/>
                <w:sz w:val="21"/>
                <w:szCs w:val="21"/>
                <w:highlight w:val="none"/>
              </w:rPr>
              <w:t>2）合同签订地点：采购人指定地点。</w:t>
            </w:r>
          </w:p>
        </w:tc>
        <w:tc>
          <w:tcPr>
            <w:tcW w:w="602" w:type="pct"/>
            <w:gridSpan w:val="2"/>
            <w:shd w:val="clear" w:color="auto" w:fill="auto"/>
            <w:noWrap/>
            <w:vAlign w:val="center"/>
          </w:tcPr>
          <w:p w14:paraId="2229781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78C2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50" w:type="pct"/>
            <w:gridSpan w:val="3"/>
            <w:shd w:val="clear" w:color="auto" w:fill="auto"/>
            <w:noWrap/>
            <w:vAlign w:val="center"/>
          </w:tcPr>
          <w:p w14:paraId="4594CF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Cs w:val="22"/>
                <w:highlight w:val="none"/>
              </w:rPr>
              <w:t>★</w:t>
            </w:r>
            <w:r>
              <w:rPr>
                <w:rFonts w:hint="eastAsia" w:ascii="宋体" w:hAnsi="宋体" w:eastAsia="宋体" w:cs="宋体"/>
                <w:b w:val="0"/>
                <w:bCs w:val="0"/>
                <w:color w:val="auto"/>
                <w:sz w:val="21"/>
                <w:szCs w:val="21"/>
                <w:highlight w:val="none"/>
              </w:rPr>
              <w:t>交付使用期及交货地点</w:t>
            </w:r>
          </w:p>
        </w:tc>
        <w:tc>
          <w:tcPr>
            <w:tcW w:w="3546" w:type="pct"/>
            <w:gridSpan w:val="6"/>
            <w:shd w:val="clear" w:color="auto" w:fill="auto"/>
            <w:noWrap/>
            <w:vAlign w:val="center"/>
          </w:tcPr>
          <w:p w14:paraId="010B4D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1）交付使用期：自接到采购人通知之日起</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日内</w:t>
            </w:r>
            <w:r>
              <w:rPr>
                <w:rFonts w:hint="eastAsia" w:ascii="宋体" w:hAnsi="宋体" w:eastAsia="宋体" w:cs="宋体"/>
                <w:b w:val="0"/>
                <w:bCs w:val="0"/>
                <w:color w:val="auto"/>
                <w:sz w:val="21"/>
                <w:szCs w:val="21"/>
                <w:highlight w:val="none"/>
                <w:lang w:eastAsia="zh-CN"/>
              </w:rPr>
              <w:t>安装调试、</w:t>
            </w:r>
            <w:r>
              <w:rPr>
                <w:rFonts w:hint="eastAsia" w:ascii="宋体" w:hAnsi="宋体" w:eastAsia="宋体" w:cs="宋体"/>
                <w:b w:val="0"/>
                <w:bCs w:val="0"/>
                <w:color w:val="auto"/>
                <w:sz w:val="21"/>
                <w:szCs w:val="21"/>
                <w:highlight w:val="none"/>
              </w:rPr>
              <w:t>验收合格并交付使用。</w:t>
            </w:r>
          </w:p>
          <w:p w14:paraId="42627E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color w:val="auto"/>
                <w:sz w:val="21"/>
                <w:szCs w:val="21"/>
                <w:highlight w:val="none"/>
              </w:rPr>
              <w:t>2）交货地点：采购人指定地点。</w:t>
            </w:r>
          </w:p>
        </w:tc>
        <w:tc>
          <w:tcPr>
            <w:tcW w:w="602" w:type="pct"/>
            <w:gridSpan w:val="2"/>
            <w:shd w:val="clear" w:color="auto" w:fill="auto"/>
            <w:noWrap/>
            <w:vAlign w:val="center"/>
          </w:tcPr>
          <w:p w14:paraId="4F21E7A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5676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50" w:type="pct"/>
            <w:gridSpan w:val="3"/>
            <w:shd w:val="clear" w:color="auto" w:fill="auto"/>
            <w:noWrap/>
            <w:vAlign w:val="center"/>
          </w:tcPr>
          <w:p w14:paraId="3E3F72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Cs w:val="22"/>
                <w:highlight w:val="none"/>
              </w:rPr>
              <w:t>★</w:t>
            </w:r>
            <w:r>
              <w:rPr>
                <w:rFonts w:hint="eastAsia" w:ascii="宋体" w:hAnsi="宋体" w:eastAsia="宋体" w:cs="宋体"/>
                <w:b w:val="0"/>
                <w:bCs w:val="0"/>
                <w:color w:val="auto"/>
                <w:sz w:val="21"/>
                <w:szCs w:val="21"/>
                <w:highlight w:val="none"/>
              </w:rPr>
              <w:t>售后服务要求</w:t>
            </w:r>
          </w:p>
        </w:tc>
        <w:tc>
          <w:tcPr>
            <w:tcW w:w="3546" w:type="pct"/>
            <w:gridSpan w:val="6"/>
            <w:shd w:val="clear" w:color="auto" w:fill="auto"/>
            <w:noWrap/>
            <w:vAlign w:val="center"/>
          </w:tcPr>
          <w:p w14:paraId="3E9DD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1）免费送货上门、安装、调试至正常使用。</w:t>
            </w:r>
          </w:p>
          <w:p w14:paraId="12596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2）成交供应商在质量保证期内应当为采购人提供以下技术支持和服务：</w:t>
            </w:r>
          </w:p>
          <w:p w14:paraId="50133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 电话咨询</w:t>
            </w:r>
          </w:p>
          <w:p w14:paraId="68908A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成交供应商应当为采购人提供技术援助电话，解答采购人在使用中遇到的问题，及时为采购人提出解决问题的建议。</w:t>
            </w:r>
          </w:p>
          <w:p w14:paraId="2E90A3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 现场响应</w:t>
            </w:r>
          </w:p>
          <w:p w14:paraId="67020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采购人遇到使用或技术问题，电话咨询不能解决的，成交供应商应在在接到通知后成交供应商的维修技术人员必须在 30分钟内响应，</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小时内到达现场处理，一般故障处理时限不超过</w:t>
            </w:r>
            <w:r>
              <w:rPr>
                <w:rFonts w:hint="eastAsia" w:ascii="宋体" w:hAnsi="宋体" w:eastAsia="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小时，重大故障处理时限不超过</w:t>
            </w:r>
            <w:r>
              <w:rPr>
                <w:rFonts w:hint="eastAsia" w:ascii="宋体" w:hAnsi="宋体" w:eastAsia="宋体" w:cs="宋体"/>
                <w:b w:val="0"/>
                <w:bCs w:val="0"/>
                <w:color w:val="auto"/>
                <w:sz w:val="21"/>
                <w:szCs w:val="21"/>
                <w:highlight w:val="none"/>
                <w:lang w:val="en-US" w:eastAsia="zh-CN"/>
              </w:rPr>
              <w:t>48</w:t>
            </w:r>
            <w:r>
              <w:rPr>
                <w:rFonts w:hint="eastAsia" w:ascii="宋体" w:hAnsi="宋体" w:eastAsia="宋体" w:cs="宋体"/>
                <w:b w:val="0"/>
                <w:bCs w:val="0"/>
                <w:color w:val="auto"/>
                <w:sz w:val="21"/>
                <w:szCs w:val="21"/>
                <w:highlight w:val="none"/>
              </w:rPr>
              <w:t>小时修复。未能修复的直接更换，保证采购人正常使用。按国家及行业标准对故障进行及时处理。</w:t>
            </w:r>
          </w:p>
          <w:p w14:paraId="5E2BB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 技术升级</w:t>
            </w:r>
          </w:p>
          <w:p w14:paraId="3408C4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在质保期内，如果成交供应商的产品或服务升级，成交供应商应及时通知采购人，如采购人有相应要求，成交供应商应对采购人购买的产品或服务进行升级。</w:t>
            </w:r>
          </w:p>
          <w:p w14:paraId="0057BB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3）质保期外服务要求</w:t>
            </w:r>
          </w:p>
          <w:p w14:paraId="39BA2C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 质量保证期过后，成交供应商应同样提供免费电话咨询服务，并应承诺提供产品或服务上门维护。</w:t>
            </w:r>
          </w:p>
          <w:p w14:paraId="5CA28A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 质量保证期过后，采购人需要继续由原成交供应商提供售后服务的，该成交供应商和制造商应以优惠价格提供售后服务。</w:t>
            </w:r>
          </w:p>
          <w:p w14:paraId="7B19CC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4）备品备件及易损件</w:t>
            </w:r>
          </w:p>
          <w:p w14:paraId="6208C6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成交供应商售后服务中，维修使用的备品备件及易损件应为原厂配件，未经采购人同意不得使用非原厂配件。</w:t>
            </w:r>
          </w:p>
          <w:p w14:paraId="22DC63F7">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成交供应商有完善的安装施工队伍，实现销售、安装、售后服务一条龙。</w:t>
            </w:r>
          </w:p>
          <w:p w14:paraId="7B54FE3A">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培训</w:t>
            </w:r>
          </w:p>
          <w:p w14:paraId="0F9AD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color w:val="auto"/>
                <w:sz w:val="21"/>
                <w:szCs w:val="21"/>
                <w:highlight w:val="none"/>
              </w:rPr>
              <w:t>成交供应商对其提供产品或服务的使用和操作应尽培训义务。成交供应商应提供对采购人的多次免费培训，使采购人使用人员熟练掌握所培训内容，熟练掌握全部功能。</w:t>
            </w:r>
          </w:p>
        </w:tc>
        <w:tc>
          <w:tcPr>
            <w:tcW w:w="602" w:type="pct"/>
            <w:gridSpan w:val="2"/>
            <w:shd w:val="clear" w:color="auto" w:fill="auto"/>
            <w:noWrap/>
            <w:vAlign w:val="center"/>
          </w:tcPr>
          <w:p w14:paraId="2D4AB9D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28AE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50" w:type="pct"/>
            <w:gridSpan w:val="3"/>
            <w:shd w:val="clear" w:color="auto" w:fill="auto"/>
            <w:noWrap/>
            <w:vAlign w:val="center"/>
          </w:tcPr>
          <w:p w14:paraId="296C22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Cs w:val="22"/>
                <w:highlight w:val="none"/>
              </w:rPr>
              <w:t>★</w:t>
            </w:r>
            <w:r>
              <w:rPr>
                <w:rFonts w:hint="eastAsia" w:ascii="宋体" w:hAnsi="宋体" w:eastAsia="宋体" w:cs="宋体"/>
                <w:b w:val="0"/>
                <w:bCs w:val="0"/>
                <w:color w:val="auto"/>
                <w:sz w:val="21"/>
                <w:szCs w:val="21"/>
                <w:highlight w:val="none"/>
              </w:rPr>
              <w:t>售后技术要求</w:t>
            </w:r>
          </w:p>
        </w:tc>
        <w:tc>
          <w:tcPr>
            <w:tcW w:w="3546" w:type="pct"/>
            <w:gridSpan w:val="6"/>
            <w:shd w:val="clear" w:color="auto" w:fill="auto"/>
            <w:noWrap/>
            <w:vAlign w:val="center"/>
          </w:tcPr>
          <w:p w14:paraId="1557ED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1）整机由设备制造商提供原厂有限免费上门维修服务（节假日不休），终身移动和固定电话均可免费拨打的呼叫中心热线7×24小时免费技术支持服务。</w:t>
            </w:r>
          </w:p>
          <w:p w14:paraId="7AF6D8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color w:val="auto"/>
                <w:sz w:val="21"/>
                <w:szCs w:val="21"/>
                <w:highlight w:val="none"/>
              </w:rPr>
              <w:t>2）其余按国家标准执行。</w:t>
            </w:r>
          </w:p>
        </w:tc>
        <w:tc>
          <w:tcPr>
            <w:tcW w:w="602" w:type="pct"/>
            <w:gridSpan w:val="2"/>
            <w:shd w:val="clear" w:color="auto" w:fill="auto"/>
            <w:noWrap/>
            <w:vAlign w:val="center"/>
          </w:tcPr>
          <w:p w14:paraId="59C4267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6B99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50" w:type="pct"/>
            <w:gridSpan w:val="3"/>
            <w:shd w:val="clear" w:color="auto" w:fill="auto"/>
            <w:noWrap/>
            <w:vAlign w:val="center"/>
          </w:tcPr>
          <w:p w14:paraId="32257A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Cs w:val="22"/>
                <w:highlight w:val="none"/>
              </w:rPr>
              <w:t>★</w:t>
            </w:r>
            <w:r>
              <w:rPr>
                <w:rFonts w:hint="eastAsia" w:ascii="宋体" w:hAnsi="宋体" w:eastAsia="宋体" w:cs="宋体"/>
                <w:b w:val="0"/>
                <w:bCs w:val="0"/>
                <w:color w:val="auto"/>
                <w:sz w:val="21"/>
                <w:szCs w:val="21"/>
                <w:highlight w:val="none"/>
              </w:rPr>
              <w:t>质保期</w:t>
            </w:r>
          </w:p>
        </w:tc>
        <w:tc>
          <w:tcPr>
            <w:tcW w:w="3546" w:type="pct"/>
            <w:gridSpan w:val="6"/>
            <w:shd w:val="clear" w:color="auto" w:fill="auto"/>
            <w:noWrap/>
            <w:vAlign w:val="center"/>
          </w:tcPr>
          <w:p w14:paraId="28EC2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color w:val="auto"/>
                <w:sz w:val="21"/>
                <w:szCs w:val="21"/>
                <w:highlight w:val="none"/>
              </w:rPr>
              <w:t>所有竞标产品必须是厂家合法渠道的全新正品，按国家有关产品“三包”规定执行“三包”，</w:t>
            </w:r>
            <w:r>
              <w:rPr>
                <w:rFonts w:hint="eastAsia" w:ascii="宋体" w:hAnsi="宋体" w:eastAsia="宋体" w:cs="宋体"/>
                <w:b w:val="0"/>
                <w:bCs w:val="0"/>
                <w:color w:val="auto"/>
                <w:sz w:val="21"/>
                <w:szCs w:val="21"/>
                <w:highlight w:val="none"/>
                <w:lang w:val="en-US" w:eastAsia="zh-CN"/>
              </w:rPr>
              <w:t>项目整体</w:t>
            </w:r>
            <w:r>
              <w:rPr>
                <w:rFonts w:hint="eastAsia" w:ascii="宋体" w:hAnsi="宋体" w:eastAsia="宋体" w:cs="宋体"/>
                <w:b w:val="0"/>
                <w:bCs w:val="0"/>
                <w:color w:val="auto"/>
                <w:sz w:val="21"/>
                <w:szCs w:val="21"/>
                <w:highlight w:val="none"/>
              </w:rPr>
              <w:t>质保期至少为一年（各分项另有要求的，以各分项要求为准），自验收合格之日起计算；质保期内，成交人将负责处理并解决故障，并免费更换有故障的零、部件及免费更换有质量问题的货物，一切费用由成交人负责。</w:t>
            </w:r>
          </w:p>
        </w:tc>
        <w:tc>
          <w:tcPr>
            <w:tcW w:w="602" w:type="pct"/>
            <w:gridSpan w:val="2"/>
            <w:shd w:val="clear" w:color="auto" w:fill="auto"/>
            <w:noWrap/>
            <w:vAlign w:val="center"/>
          </w:tcPr>
          <w:p w14:paraId="6A7CDE8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3162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50" w:type="pct"/>
            <w:gridSpan w:val="3"/>
            <w:shd w:val="clear" w:color="auto" w:fill="auto"/>
            <w:noWrap/>
            <w:vAlign w:val="center"/>
          </w:tcPr>
          <w:p w14:paraId="1A73E8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Cs w:val="22"/>
                <w:highlight w:val="none"/>
              </w:rPr>
              <w:t>★</w:t>
            </w:r>
            <w:r>
              <w:rPr>
                <w:rFonts w:hint="eastAsia" w:ascii="宋体" w:hAnsi="宋体" w:eastAsia="宋体" w:cs="宋体"/>
                <w:b w:val="0"/>
                <w:bCs w:val="0"/>
                <w:color w:val="auto"/>
                <w:sz w:val="21"/>
                <w:szCs w:val="21"/>
                <w:highlight w:val="none"/>
              </w:rPr>
              <w:t>付款条件（付款方式）</w:t>
            </w:r>
          </w:p>
        </w:tc>
        <w:tc>
          <w:tcPr>
            <w:tcW w:w="3546" w:type="pct"/>
            <w:gridSpan w:val="6"/>
            <w:shd w:val="clear" w:color="auto" w:fill="auto"/>
            <w:noWrap/>
            <w:vAlign w:val="center"/>
          </w:tcPr>
          <w:p w14:paraId="124601F4">
            <w:pPr>
              <w:spacing w:line="380" w:lineRule="exact"/>
              <w:rPr>
                <w:rFonts w:ascii="宋体" w:hAnsi="宋体" w:eastAsia="宋体" w:cs="宋体"/>
                <w:bCs/>
                <w:color w:val="auto"/>
                <w:szCs w:val="22"/>
                <w:highlight w:val="none"/>
              </w:rPr>
            </w:pPr>
            <w:r>
              <w:rPr>
                <w:rFonts w:hint="eastAsia" w:ascii="宋体" w:hAnsi="Courier New" w:eastAsia="宋体" w:cs="Times New Roman"/>
                <w:color w:val="auto"/>
                <w:szCs w:val="22"/>
                <w:highlight w:val="none"/>
              </w:rPr>
              <w:t>（1）</w:t>
            </w:r>
            <w:r>
              <w:rPr>
                <w:rFonts w:hint="eastAsia" w:ascii="宋体" w:hAnsi="宋体" w:eastAsia="宋体" w:cs="宋体"/>
                <w:bCs/>
                <w:color w:val="auto"/>
                <w:szCs w:val="22"/>
                <w:highlight w:val="none"/>
              </w:rPr>
              <w:t>全部货物到货安装且验收合格后15个工作日内采购人向</w:t>
            </w:r>
            <w:r>
              <w:rPr>
                <w:rFonts w:hint="eastAsia" w:ascii="宋体" w:hAnsi="宋体" w:eastAsia="宋体" w:cs="宋体"/>
                <w:bCs/>
                <w:color w:val="auto"/>
                <w:szCs w:val="22"/>
                <w:highlight w:val="none"/>
                <w:lang w:eastAsia="zh-CN"/>
              </w:rPr>
              <w:t>成交供应商</w:t>
            </w:r>
            <w:r>
              <w:rPr>
                <w:rFonts w:hint="eastAsia" w:ascii="宋体" w:hAnsi="宋体" w:eastAsia="宋体" w:cs="宋体"/>
                <w:bCs/>
                <w:color w:val="auto"/>
                <w:szCs w:val="22"/>
                <w:highlight w:val="none"/>
              </w:rPr>
              <w:t>一次性支付所有款项。</w:t>
            </w:r>
          </w:p>
          <w:p w14:paraId="12263BC1">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bCs/>
                <w:color w:val="auto"/>
                <w:szCs w:val="22"/>
                <w:highlight w:val="none"/>
              </w:rPr>
            </w:pPr>
            <w:bookmarkStart w:id="0" w:name="_GoBack"/>
            <w:bookmarkEnd w:id="0"/>
            <w:r>
              <w:rPr>
                <w:rFonts w:hint="eastAsia" w:ascii="宋体" w:hAnsi="宋体" w:eastAsia="宋体" w:cs="宋体"/>
                <w:bCs/>
                <w:color w:val="auto"/>
                <w:szCs w:val="22"/>
                <w:highlight w:val="none"/>
              </w:rPr>
              <w:t>（2）采购人付款前，</w:t>
            </w:r>
            <w:r>
              <w:rPr>
                <w:rFonts w:hint="eastAsia" w:ascii="宋体" w:hAnsi="宋体" w:eastAsia="宋体" w:cs="宋体"/>
                <w:bCs/>
                <w:color w:val="auto"/>
                <w:szCs w:val="22"/>
                <w:highlight w:val="none"/>
                <w:lang w:eastAsia="zh-CN"/>
              </w:rPr>
              <w:t>成交供应商</w:t>
            </w:r>
            <w:r>
              <w:rPr>
                <w:rFonts w:hint="eastAsia" w:ascii="宋体" w:hAnsi="宋体" w:eastAsia="宋体" w:cs="宋体"/>
                <w:bCs/>
                <w:color w:val="auto"/>
                <w:szCs w:val="22"/>
                <w:highlight w:val="none"/>
              </w:rPr>
              <w:t>应向采购人开具等额有效的增值税发票，采购人未收到发票的，有权不予支付相应款项直至</w:t>
            </w:r>
            <w:r>
              <w:rPr>
                <w:rFonts w:hint="eastAsia" w:ascii="宋体" w:hAnsi="宋体" w:eastAsia="宋体" w:cs="宋体"/>
                <w:bCs/>
                <w:color w:val="auto"/>
                <w:szCs w:val="22"/>
                <w:highlight w:val="none"/>
                <w:lang w:eastAsia="zh-CN"/>
              </w:rPr>
              <w:t>成交供应商</w:t>
            </w:r>
            <w:r>
              <w:rPr>
                <w:rFonts w:hint="eastAsia" w:ascii="宋体" w:hAnsi="宋体" w:eastAsia="宋体" w:cs="宋体"/>
                <w:bCs/>
                <w:color w:val="auto"/>
                <w:szCs w:val="22"/>
                <w:highlight w:val="none"/>
              </w:rPr>
              <w:t>提供合格发票，并不承担延迟付款责任。发票认证通过是付款的必要前提之一。</w:t>
            </w:r>
          </w:p>
          <w:p w14:paraId="2C177C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Cs/>
                <w:color w:val="auto"/>
                <w:szCs w:val="22"/>
                <w:highlight w:val="none"/>
              </w:rPr>
              <w:t>（3）付款方式：</w:t>
            </w:r>
            <w:r>
              <w:rPr>
                <w:rFonts w:hint="eastAsia" w:ascii="宋体" w:hAnsi="宋体" w:eastAsia="宋体" w:cs="宋体"/>
                <w:bCs/>
                <w:color w:val="auto"/>
                <w:szCs w:val="22"/>
                <w:highlight w:val="none"/>
                <w:u w:val="single"/>
              </w:rPr>
              <w:t xml:space="preserve"> 银行转账 </w:t>
            </w:r>
            <w:r>
              <w:rPr>
                <w:rFonts w:hint="eastAsia" w:ascii="宋体" w:hAnsi="宋体" w:eastAsia="宋体" w:cs="宋体"/>
                <w:bCs/>
                <w:color w:val="auto"/>
                <w:szCs w:val="22"/>
                <w:highlight w:val="none"/>
              </w:rPr>
              <w:t>。</w:t>
            </w:r>
          </w:p>
        </w:tc>
        <w:tc>
          <w:tcPr>
            <w:tcW w:w="602" w:type="pct"/>
            <w:gridSpan w:val="2"/>
            <w:shd w:val="clear" w:color="auto" w:fill="auto"/>
            <w:noWrap/>
            <w:vAlign w:val="center"/>
          </w:tcPr>
          <w:p w14:paraId="0400D03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71F2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50" w:type="pct"/>
            <w:gridSpan w:val="3"/>
            <w:shd w:val="clear" w:color="auto" w:fill="auto"/>
            <w:noWrap/>
            <w:vAlign w:val="center"/>
          </w:tcPr>
          <w:p w14:paraId="030C7F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Cs w:val="22"/>
                <w:highlight w:val="none"/>
              </w:rPr>
              <w:t>★</w:t>
            </w:r>
            <w:r>
              <w:rPr>
                <w:rFonts w:hint="eastAsia" w:ascii="宋体" w:hAnsi="宋体" w:eastAsia="宋体" w:cs="宋体"/>
                <w:b w:val="0"/>
                <w:bCs w:val="0"/>
                <w:color w:val="auto"/>
                <w:sz w:val="21"/>
                <w:szCs w:val="21"/>
                <w:highlight w:val="none"/>
              </w:rPr>
              <w:t>验收条件及标准</w:t>
            </w:r>
          </w:p>
        </w:tc>
        <w:tc>
          <w:tcPr>
            <w:tcW w:w="3546" w:type="pct"/>
            <w:gridSpan w:val="6"/>
            <w:shd w:val="clear" w:color="auto" w:fill="auto"/>
            <w:noWrap/>
            <w:vAlign w:val="center"/>
          </w:tcPr>
          <w:p w14:paraId="2139F3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成交供应商代表必须参与及协助采购人现场拆封、安装、调试，验货时严格按照需求参数进行验货。如供货时出现有设备停产的情况，成交供应商必须提供具备与原设备技术参数要求相同或高于原设备技术参数要求的替代产品。</w:t>
            </w:r>
          </w:p>
          <w:p w14:paraId="0D53BC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left"/>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color w:val="auto"/>
                <w:szCs w:val="21"/>
                <w:highlight w:val="none"/>
              </w:rPr>
              <w:t>2）成交供应商应当保证其所提供的产品为符合国家知识产权法律法规要求的正规正版产品，为确保采购人系统的安全性及稳定性以及成交供应商所提供产品参数的真实性，履约供货产品验收时进行现场测试，满足要求后方能进行验收。若成交供应商所提供的产品为不符合国家知识产权法律法规要求的非正规正版产品或属于假冒伪劣商品的，其合同无效，并按照国家相关法律法规的规定提请有关政府监管部门对其进行处理。</w:t>
            </w:r>
          </w:p>
        </w:tc>
        <w:tc>
          <w:tcPr>
            <w:tcW w:w="602" w:type="pct"/>
            <w:gridSpan w:val="2"/>
            <w:shd w:val="clear" w:color="auto" w:fill="auto"/>
            <w:noWrap/>
            <w:vAlign w:val="center"/>
          </w:tcPr>
          <w:p w14:paraId="241BF58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257B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50" w:type="pct"/>
            <w:gridSpan w:val="3"/>
            <w:shd w:val="clear" w:color="auto" w:fill="auto"/>
            <w:noWrap/>
            <w:vAlign w:val="center"/>
          </w:tcPr>
          <w:p w14:paraId="03F63A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highlight w:val="none"/>
              </w:rPr>
              <w:t>★</w:t>
            </w:r>
            <w:r>
              <w:rPr>
                <w:rFonts w:hint="eastAsia" w:ascii="宋体" w:hAnsi="宋体" w:eastAsia="宋体" w:cs="宋体"/>
                <w:b w:val="0"/>
                <w:bCs w:val="0"/>
                <w:color w:val="auto"/>
                <w:szCs w:val="21"/>
                <w:highlight w:val="none"/>
              </w:rPr>
              <w:t>其它要求</w:t>
            </w:r>
          </w:p>
        </w:tc>
        <w:tc>
          <w:tcPr>
            <w:tcW w:w="3546" w:type="pct"/>
            <w:gridSpan w:val="6"/>
            <w:shd w:val="clear" w:color="auto" w:fill="auto"/>
            <w:noWrap/>
            <w:vAlign w:val="center"/>
          </w:tcPr>
          <w:p w14:paraId="63BA434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1.本项目采购需求中带★号的内容或“须”、“必须”的内容描述均为实质性要求，必须全部满足，否则，视为实质不响应文件要求，其竞价无效，采购人有权利追究中标供应商的相关责任。</w:t>
            </w:r>
          </w:p>
          <w:p w14:paraId="7747858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★2.本项目为反向竞价，供应商报价仅限</w:t>
            </w:r>
            <w:r>
              <w:rPr>
                <w:rFonts w:hint="eastAsia" w:ascii="宋体" w:hAnsi="宋体" w:eastAsia="宋体" w:cs="宋体"/>
                <w:color w:val="auto"/>
                <w:szCs w:val="22"/>
                <w:highlight w:val="none"/>
                <w:lang w:eastAsia="zh-CN"/>
              </w:rPr>
              <w:t>本项目采购需求表中指定品牌及型号</w:t>
            </w:r>
            <w:r>
              <w:rPr>
                <w:rFonts w:hint="eastAsia" w:ascii="宋体" w:hAnsi="宋体" w:eastAsia="宋体" w:cs="宋体"/>
                <w:color w:val="auto"/>
                <w:szCs w:val="22"/>
                <w:highlight w:val="none"/>
              </w:rPr>
              <w:t>，不接受</w:t>
            </w:r>
            <w:r>
              <w:rPr>
                <w:rFonts w:hint="eastAsia" w:ascii="宋体" w:hAnsi="宋体" w:eastAsia="宋体" w:cs="宋体"/>
                <w:color w:val="auto"/>
                <w:szCs w:val="22"/>
                <w:highlight w:val="none"/>
                <w:lang w:eastAsia="zh-CN"/>
              </w:rPr>
              <w:t>指定</w:t>
            </w:r>
            <w:r>
              <w:rPr>
                <w:rFonts w:hint="eastAsia" w:ascii="宋体" w:hAnsi="宋体" w:eastAsia="宋体" w:cs="宋体"/>
                <w:color w:val="auto"/>
                <w:szCs w:val="22"/>
                <w:highlight w:val="none"/>
              </w:rPr>
              <w:t>品牌及型号以外的产品</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供应商不得以任何理由更改货物的品牌、配置，否则按无效竞标处理；成交供应商所提供的货物为非本采购需求的货物，采购人可以拒绝收货，相关损失由成交供应商自行承担。如违反上述要求，采购人可向财政部门举报成交供应商不良行为并追究其相应的法律责任。</w:t>
            </w:r>
          </w:p>
          <w:p w14:paraId="36CE977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★3.正品保障：为确保产品质量及维护采购人合法权益，供货前成交供应商必须提供仅限</w:t>
            </w:r>
            <w:r>
              <w:rPr>
                <w:rFonts w:hint="eastAsia" w:ascii="宋体" w:hAnsi="宋体" w:eastAsia="宋体" w:cs="宋体"/>
                <w:color w:val="auto"/>
                <w:szCs w:val="22"/>
                <w:highlight w:val="none"/>
                <w:lang w:eastAsia="zh-CN"/>
              </w:rPr>
              <w:t>本项目采购需求表中指定品牌及型号</w:t>
            </w:r>
            <w:r>
              <w:rPr>
                <w:rFonts w:hint="eastAsia" w:ascii="宋体" w:hAnsi="宋体" w:eastAsia="宋体" w:cs="宋体"/>
                <w:color w:val="auto"/>
                <w:szCs w:val="22"/>
                <w:highlight w:val="none"/>
              </w:rPr>
              <w:t>厂家针对本项目的供货证明（加盖原生产厂商公章）和原厂授权书（加盖原生产厂商公章）并上传，否则作无效竞标处理，采购人可以拒绝收货并追究成交供应商违约责任及取消该竞价结果。</w:t>
            </w:r>
          </w:p>
          <w:p w14:paraId="40C44F9F">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4、供应商提供的设备的技术参数、配置和性能指标必须为真实有效。在竞价结果公示后3个工作日内采购人有权要求成交人提供成交产品明细清单、竞价文件要求提供的相关证明文件原件进行核查，以及提供原厂针对本项目的满足招标参数及服务要求确认函及授权书原件并加盖原厂公章；如若无法提供或者提供的与招标要求不符，则按弄虚作假处理，将上报相关采购监管部门，产生的相关后果由成交人自行承担。商家须知在线询价、反向竞价违约处理规则网页地址详见:https://inquirvhall.zcvgov.cn/inquiryhall/list?districtCode=450109</w:t>
            </w:r>
          </w:p>
          <w:p w14:paraId="04EA01E6">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val="en-US" w:eastAsia="zh-CN"/>
              </w:rPr>
              <w:t>5</w:t>
            </w:r>
            <w:r>
              <w:rPr>
                <w:rFonts w:hint="eastAsia" w:ascii="宋体" w:hAnsi="宋体" w:eastAsia="宋体" w:cs="宋体"/>
                <w:color w:val="auto"/>
                <w:szCs w:val="22"/>
                <w:highlight w:val="none"/>
              </w:rPr>
              <w:t>.签订合同时，成交供应商提供文件中检测报告的原件进行核查，不符合的，视为虚假应标，将按照有关规定追究成交供应商的责任；如出现所提供检测报告不符技术参数要求，视为作无效竞标处理，将取消竞价结果并追究责任，其产生的所有后果由成交供应商承担。</w:t>
            </w:r>
          </w:p>
          <w:p w14:paraId="4BA24B9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val="en-US" w:eastAsia="zh-CN"/>
              </w:rPr>
              <w:t>6</w:t>
            </w:r>
            <w:r>
              <w:rPr>
                <w:rFonts w:hint="eastAsia" w:ascii="宋体" w:hAnsi="宋体" w:eastAsia="宋体" w:cs="宋体"/>
                <w:color w:val="auto"/>
                <w:szCs w:val="22"/>
                <w:highlight w:val="none"/>
              </w:rPr>
              <w:t>、验收时采购人对家具进行检测，由采购人在项目中选取产品送到国家认可有资质且计量认证合格的省级以上（含省级）质检部门进行检测，检验结果不合格的不予验收并做退货处理，由此产生的一切后果由供应商承担。</w:t>
            </w:r>
          </w:p>
          <w:p w14:paraId="6EEBAC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Cs w:val="22"/>
                <w:highlight w:val="none"/>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诚信要求</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szCs w:val="21"/>
                <w:highlight w:val="none"/>
              </w:rPr>
              <w:t>如发现竞价供应商在“信用中国”网站、中</w:t>
            </w:r>
            <w:r>
              <w:rPr>
                <w:rFonts w:hint="eastAsia" w:ascii="宋体" w:hAnsi="宋体" w:eastAsia="宋体" w:cs="宋体"/>
                <w:bCs/>
                <w:color w:val="auto"/>
                <w:szCs w:val="21"/>
              </w:rPr>
              <w:t>国政府采购网等渠道被列入失信被执行人、重大税收违法案件当事人名单、政府采购严重违法失信行为记录名单及其他不符合《中华人民共和国政府采购法》第二十二条规定条件的，将被取消竞价或成交资格。</w:t>
            </w:r>
          </w:p>
        </w:tc>
        <w:tc>
          <w:tcPr>
            <w:tcW w:w="602" w:type="pct"/>
            <w:gridSpan w:val="2"/>
            <w:shd w:val="clear" w:color="auto" w:fill="auto"/>
            <w:noWrap/>
            <w:vAlign w:val="center"/>
          </w:tcPr>
          <w:p w14:paraId="04724C1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bl>
    <w:p w14:paraId="0FAB8FDB"/>
    <w:p w14:paraId="1C299AB5"/>
    <w:p w14:paraId="0418BC2B"/>
    <w:p w14:paraId="10843AE3">
      <w:r>
        <w:br w:type="page"/>
      </w:r>
    </w:p>
    <w:p w14:paraId="456320F2">
      <w:pPr>
        <w:jc w:val="left"/>
        <w:rPr>
          <w:rFonts w:ascii="Calibri" w:hAnsi="Calibri" w:eastAsia="宋体" w:cs="Times New Roman"/>
          <w:b/>
          <w:color w:val="000000"/>
          <w:szCs w:val="21"/>
        </w:rPr>
      </w:pPr>
      <w:r>
        <w:rPr>
          <w:rFonts w:hint="eastAsia" w:ascii="Calibri" w:hAnsi="Calibri" w:eastAsia="宋体" w:cs="Times New Roman"/>
          <w:b/>
          <w:color w:val="000000"/>
          <w:szCs w:val="21"/>
        </w:rPr>
        <w:t>附件1：</w:t>
      </w:r>
    </w:p>
    <w:p w14:paraId="637DCA8C">
      <w:pPr>
        <w:jc w:val="center"/>
        <w:rPr>
          <w:rFonts w:ascii="宋体" w:hAnsi="宋体" w:eastAsia="宋体" w:cs="Times New Roman"/>
          <w:b/>
          <w:color w:val="000000"/>
          <w:szCs w:val="21"/>
        </w:rPr>
      </w:pPr>
      <w:r>
        <w:rPr>
          <w:rFonts w:hint="eastAsia" w:ascii="Calibri" w:hAnsi="Calibri" w:eastAsia="宋体" w:cs="Times New Roman"/>
          <w:b/>
          <w:color w:val="000000"/>
          <w:szCs w:val="21"/>
          <w:lang w:eastAsia="zh-CN"/>
        </w:rPr>
        <w:t>竞价响应</w:t>
      </w:r>
      <w:r>
        <w:rPr>
          <w:rFonts w:ascii="Calibri" w:hAnsi="Calibri" w:eastAsia="宋体" w:cs="Times New Roman"/>
          <w:b/>
          <w:color w:val="000000"/>
          <w:szCs w:val="21"/>
        </w:rPr>
        <w:t>表</w:t>
      </w:r>
      <w:r>
        <w:rPr>
          <w:rFonts w:hint="eastAsia" w:ascii="宋体" w:hAnsi="宋体" w:eastAsia="宋体" w:cs="Times New Roman"/>
          <w:b/>
          <w:color w:val="000000"/>
          <w:szCs w:val="21"/>
        </w:rPr>
        <w:t>（必须提供）</w:t>
      </w:r>
    </w:p>
    <w:p w14:paraId="53D469E6">
      <w:pPr>
        <w:spacing w:line="300" w:lineRule="auto"/>
        <w:rPr>
          <w:rFonts w:ascii="宋体" w:hAnsi="宋体" w:eastAsia="宋体" w:cs="Times New Roman"/>
          <w:color w:val="000000"/>
          <w:szCs w:val="21"/>
        </w:rPr>
      </w:pPr>
      <w:r>
        <w:rPr>
          <w:rFonts w:hint="eastAsia" w:ascii="宋体" w:hAnsi="宋体" w:eastAsia="宋体" w:cs="Times New Roman"/>
          <w:color w:val="000000"/>
          <w:szCs w:val="21"/>
        </w:rPr>
        <w:t>采购项目名称:</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 xml:space="preserve">    </w:t>
      </w:r>
    </w:p>
    <w:p w14:paraId="2D8AE57F">
      <w:pPr>
        <w:spacing w:line="300" w:lineRule="auto"/>
        <w:rPr>
          <w:rFonts w:ascii="宋体" w:hAnsi="宋体" w:eastAsia="宋体" w:cs="Times New Roman"/>
          <w:color w:val="000000"/>
          <w:szCs w:val="21"/>
        </w:rPr>
      </w:pPr>
      <w:r>
        <w:rPr>
          <w:rFonts w:hint="eastAsia" w:ascii="宋体" w:hAnsi="宋体" w:eastAsia="宋体" w:cs="Times New Roman"/>
          <w:color w:val="000000"/>
          <w:szCs w:val="21"/>
        </w:rPr>
        <w:t>采购项目编号:</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 xml:space="preserve"> </w:t>
      </w:r>
    </w:p>
    <w:p w14:paraId="4E3B4D92">
      <w:pPr>
        <w:ind w:firstLine="2415" w:firstLineChars="1150"/>
        <w:rPr>
          <w:rFonts w:ascii="Calibri" w:hAnsi="Calibri" w:eastAsia="宋体" w:cs="Times New Roman"/>
          <w:color w:val="000000"/>
          <w:szCs w:val="21"/>
        </w:rPr>
      </w:pPr>
      <w:r>
        <w:rPr>
          <w:rFonts w:ascii="Calibri" w:hAnsi="Calibri" w:eastAsia="宋体" w:cs="Times New Roman"/>
          <w:color w:val="000000"/>
          <w:szCs w:val="21"/>
        </w:rPr>
        <w:t xml:space="preserve">                            金额单位：人民币（元）</w:t>
      </w:r>
    </w:p>
    <w:tbl>
      <w:tblPr>
        <w:tblStyle w:val="5"/>
        <w:tblW w:w="10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11"/>
        <w:gridCol w:w="694"/>
        <w:gridCol w:w="708"/>
        <w:gridCol w:w="2977"/>
        <w:gridCol w:w="1276"/>
        <w:gridCol w:w="1134"/>
        <w:gridCol w:w="709"/>
        <w:gridCol w:w="1134"/>
        <w:gridCol w:w="504"/>
      </w:tblGrid>
      <w:tr w14:paraId="71D6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45" w:type="dxa"/>
            <w:tcBorders>
              <w:bottom w:val="single" w:color="auto" w:sz="4" w:space="0"/>
            </w:tcBorders>
            <w:noWrap w:val="0"/>
            <w:vAlign w:val="center"/>
          </w:tcPr>
          <w:p w14:paraId="77E23F00">
            <w:pPr>
              <w:pStyle w:val="4"/>
              <w:jc w:val="center"/>
              <w:rPr>
                <w:rFonts w:hAnsi="宋体"/>
                <w:color w:val="000000"/>
                <w:spacing w:val="-20"/>
              </w:rPr>
            </w:pPr>
            <w:r>
              <w:rPr>
                <w:rFonts w:hint="eastAsia" w:hAnsi="宋体"/>
                <w:color w:val="000000"/>
                <w:spacing w:val="-20"/>
              </w:rPr>
              <w:t>序号</w:t>
            </w:r>
          </w:p>
        </w:tc>
        <w:tc>
          <w:tcPr>
            <w:tcW w:w="1011" w:type="dxa"/>
            <w:tcBorders>
              <w:bottom w:val="single" w:color="auto" w:sz="4" w:space="0"/>
            </w:tcBorders>
            <w:noWrap w:val="0"/>
            <w:vAlign w:val="center"/>
          </w:tcPr>
          <w:p w14:paraId="746C6787">
            <w:pPr>
              <w:tabs>
                <w:tab w:val="left" w:pos="180"/>
                <w:tab w:val="left" w:pos="1620"/>
              </w:tabs>
              <w:spacing w:line="500" w:lineRule="exact"/>
              <w:jc w:val="center"/>
              <w:rPr>
                <w:rFonts w:ascii="宋体" w:hAnsi="宋体" w:eastAsia="宋体" w:cs="Times New Roman"/>
                <w:color w:val="000000"/>
                <w:szCs w:val="21"/>
              </w:rPr>
            </w:pPr>
            <w:r>
              <w:rPr>
                <w:rFonts w:hint="eastAsia" w:ascii="宋体" w:hAnsi="宋体" w:eastAsia="宋体" w:cs="Times New Roman"/>
                <w:color w:val="000000"/>
                <w:szCs w:val="21"/>
              </w:rPr>
              <w:t>货物(服务)名称</w:t>
            </w:r>
          </w:p>
        </w:tc>
        <w:tc>
          <w:tcPr>
            <w:tcW w:w="694" w:type="dxa"/>
            <w:tcBorders>
              <w:bottom w:val="single" w:color="auto" w:sz="4" w:space="0"/>
            </w:tcBorders>
            <w:noWrap w:val="0"/>
            <w:vAlign w:val="center"/>
          </w:tcPr>
          <w:p w14:paraId="34F9E3F7">
            <w:pPr>
              <w:tabs>
                <w:tab w:val="left" w:pos="180"/>
                <w:tab w:val="left" w:pos="1620"/>
              </w:tabs>
              <w:spacing w:line="500" w:lineRule="exact"/>
              <w:jc w:val="center"/>
              <w:rPr>
                <w:rFonts w:ascii="宋体" w:hAnsi="宋体" w:eastAsia="宋体" w:cs="Times New Roman"/>
                <w:color w:val="000000"/>
                <w:szCs w:val="21"/>
              </w:rPr>
            </w:pPr>
            <w:r>
              <w:rPr>
                <w:rFonts w:hint="eastAsia" w:ascii="宋体" w:hAnsi="宋体" w:eastAsia="宋体" w:cs="Times New Roman"/>
                <w:color w:val="000000"/>
                <w:szCs w:val="21"/>
              </w:rPr>
              <w:t>数量</w:t>
            </w:r>
            <w:r>
              <w:rPr>
                <w:rFonts w:hint="eastAsia" w:ascii="Calibri" w:hAnsi="宋体" w:eastAsia="宋体" w:cs="Times New Roman"/>
                <w:color w:val="000000"/>
              </w:rPr>
              <w:t>①</w:t>
            </w:r>
          </w:p>
        </w:tc>
        <w:tc>
          <w:tcPr>
            <w:tcW w:w="708" w:type="dxa"/>
            <w:tcBorders>
              <w:bottom w:val="single" w:color="auto" w:sz="4" w:space="0"/>
            </w:tcBorders>
            <w:noWrap w:val="0"/>
            <w:vAlign w:val="center"/>
          </w:tcPr>
          <w:p w14:paraId="29211458">
            <w:pPr>
              <w:tabs>
                <w:tab w:val="left" w:pos="180"/>
                <w:tab w:val="left" w:pos="1620"/>
              </w:tabs>
              <w:spacing w:line="500" w:lineRule="exact"/>
              <w:jc w:val="center"/>
              <w:rPr>
                <w:rFonts w:ascii="宋体" w:hAnsi="宋体" w:eastAsia="宋体" w:cs="Times New Roman"/>
                <w:color w:val="000000"/>
                <w:szCs w:val="21"/>
              </w:rPr>
            </w:pPr>
            <w:r>
              <w:rPr>
                <w:rFonts w:hint="eastAsia" w:ascii="宋体" w:hAnsi="宋体" w:eastAsia="宋体" w:cs="Times New Roman"/>
                <w:color w:val="000000"/>
                <w:szCs w:val="21"/>
              </w:rPr>
              <w:t>单位</w:t>
            </w:r>
          </w:p>
        </w:tc>
        <w:tc>
          <w:tcPr>
            <w:tcW w:w="2977" w:type="dxa"/>
            <w:tcBorders>
              <w:bottom w:val="single" w:color="auto" w:sz="4" w:space="0"/>
            </w:tcBorders>
            <w:noWrap w:val="0"/>
            <w:vAlign w:val="center"/>
          </w:tcPr>
          <w:p w14:paraId="3146EE85">
            <w:pPr>
              <w:tabs>
                <w:tab w:val="left" w:pos="180"/>
                <w:tab w:val="left" w:pos="1620"/>
              </w:tabs>
              <w:spacing w:line="500" w:lineRule="exact"/>
              <w:jc w:val="center"/>
              <w:rPr>
                <w:rFonts w:ascii="宋体" w:hAnsi="宋体" w:eastAsia="宋体" w:cs="Times New Roman"/>
                <w:color w:val="000000"/>
                <w:szCs w:val="21"/>
              </w:rPr>
            </w:pPr>
            <w:r>
              <w:rPr>
                <w:rFonts w:hint="eastAsia" w:ascii="宋体" w:hAnsi="宋体" w:eastAsia="宋体" w:cs="Times New Roman"/>
                <w:color w:val="000000"/>
                <w:szCs w:val="21"/>
              </w:rPr>
              <w:t>技术参数及性能配置要求</w:t>
            </w:r>
          </w:p>
        </w:tc>
        <w:tc>
          <w:tcPr>
            <w:tcW w:w="1276" w:type="dxa"/>
            <w:tcBorders>
              <w:bottom w:val="single" w:color="auto" w:sz="4" w:space="0"/>
            </w:tcBorders>
            <w:noWrap w:val="0"/>
            <w:vAlign w:val="center"/>
          </w:tcPr>
          <w:p w14:paraId="4BBBD9A4">
            <w:pPr>
              <w:tabs>
                <w:tab w:val="left" w:pos="180"/>
                <w:tab w:val="left" w:pos="1620"/>
              </w:tabs>
              <w:spacing w:line="500" w:lineRule="exact"/>
              <w:jc w:val="center"/>
              <w:rPr>
                <w:rFonts w:ascii="宋体" w:hAnsi="宋体" w:eastAsia="宋体" w:cs="Times New Roman"/>
                <w:color w:val="000000"/>
                <w:szCs w:val="21"/>
              </w:rPr>
            </w:pPr>
            <w:r>
              <w:rPr>
                <w:rFonts w:hint="eastAsia" w:ascii="宋体" w:hAnsi="宋体" w:eastAsia="宋体" w:cs="Times New Roman"/>
                <w:color w:val="000000"/>
                <w:szCs w:val="21"/>
              </w:rPr>
              <w:t>品牌、型号规格</w:t>
            </w:r>
          </w:p>
        </w:tc>
        <w:tc>
          <w:tcPr>
            <w:tcW w:w="1134" w:type="dxa"/>
            <w:tcBorders>
              <w:bottom w:val="single" w:color="auto" w:sz="4" w:space="0"/>
            </w:tcBorders>
            <w:noWrap w:val="0"/>
            <w:vAlign w:val="center"/>
          </w:tcPr>
          <w:p w14:paraId="51D8627B">
            <w:pPr>
              <w:tabs>
                <w:tab w:val="left" w:pos="180"/>
                <w:tab w:val="left" w:pos="1620"/>
              </w:tabs>
              <w:spacing w:line="500" w:lineRule="exact"/>
              <w:jc w:val="center"/>
              <w:rPr>
                <w:rFonts w:ascii="宋体" w:hAnsi="宋体" w:eastAsia="宋体" w:cs="Times New Roman"/>
                <w:color w:val="000000"/>
                <w:szCs w:val="21"/>
              </w:rPr>
            </w:pPr>
            <w:r>
              <w:rPr>
                <w:rFonts w:hint="eastAsia" w:ascii="宋体" w:hAnsi="宋体" w:eastAsia="宋体" w:cs="Times New Roman"/>
                <w:color w:val="000000"/>
                <w:szCs w:val="21"/>
              </w:rPr>
              <w:t>生产厂家</w:t>
            </w:r>
          </w:p>
        </w:tc>
        <w:tc>
          <w:tcPr>
            <w:tcW w:w="709" w:type="dxa"/>
            <w:tcBorders>
              <w:bottom w:val="single" w:color="auto" w:sz="4" w:space="0"/>
            </w:tcBorders>
            <w:noWrap w:val="0"/>
            <w:vAlign w:val="center"/>
          </w:tcPr>
          <w:p w14:paraId="300D6FA7">
            <w:pPr>
              <w:tabs>
                <w:tab w:val="left" w:pos="180"/>
                <w:tab w:val="left" w:pos="1620"/>
              </w:tabs>
              <w:spacing w:line="500" w:lineRule="exact"/>
              <w:jc w:val="center"/>
              <w:rPr>
                <w:rFonts w:ascii="宋体" w:hAnsi="宋体" w:eastAsia="宋体" w:cs="Times New Roman"/>
                <w:color w:val="000000"/>
                <w:szCs w:val="21"/>
              </w:rPr>
            </w:pPr>
            <w:r>
              <w:rPr>
                <w:rFonts w:hint="eastAsia" w:ascii="宋体" w:hAnsi="宋体" w:eastAsia="宋体" w:cs="Times New Roman"/>
                <w:color w:val="000000"/>
                <w:szCs w:val="21"/>
              </w:rPr>
              <w:t>单价</w:t>
            </w:r>
            <w:r>
              <w:rPr>
                <w:rFonts w:hint="eastAsia" w:ascii="Calibri" w:hAnsi="宋体" w:eastAsia="宋体" w:cs="Times New Roman"/>
                <w:color w:val="000000"/>
              </w:rPr>
              <w:t>②</w:t>
            </w:r>
          </w:p>
        </w:tc>
        <w:tc>
          <w:tcPr>
            <w:tcW w:w="1134" w:type="dxa"/>
            <w:tcBorders>
              <w:bottom w:val="single" w:color="auto" w:sz="4" w:space="0"/>
            </w:tcBorders>
            <w:noWrap w:val="0"/>
            <w:vAlign w:val="center"/>
          </w:tcPr>
          <w:p w14:paraId="5FB09B09">
            <w:pPr>
              <w:pStyle w:val="4"/>
              <w:jc w:val="center"/>
              <w:rPr>
                <w:rFonts w:hAnsi="宋体"/>
                <w:color w:val="000000"/>
              </w:rPr>
            </w:pPr>
            <w:r>
              <w:rPr>
                <w:rFonts w:hint="eastAsia" w:hAnsi="宋体"/>
                <w:color w:val="000000"/>
              </w:rPr>
              <w:t>单项合价</w:t>
            </w:r>
          </w:p>
          <w:p w14:paraId="078024DC">
            <w:pPr>
              <w:pStyle w:val="4"/>
              <w:jc w:val="center"/>
              <w:rPr>
                <w:rFonts w:hAnsi="宋体"/>
                <w:color w:val="000000"/>
              </w:rPr>
            </w:pPr>
            <w:r>
              <w:rPr>
                <w:rFonts w:hint="eastAsia" w:hAnsi="宋体"/>
                <w:color w:val="000000"/>
              </w:rPr>
              <w:t>（元）</w:t>
            </w:r>
          </w:p>
          <w:p w14:paraId="3F4E387A">
            <w:pPr>
              <w:pStyle w:val="4"/>
              <w:jc w:val="center"/>
              <w:rPr>
                <w:rFonts w:hAnsi="宋体"/>
                <w:color w:val="000000"/>
              </w:rPr>
            </w:pPr>
            <w:r>
              <w:rPr>
                <w:rFonts w:hint="eastAsia" w:hAnsi="宋体"/>
                <w:color w:val="000000"/>
              </w:rPr>
              <w:t>③</w:t>
            </w:r>
            <w:r>
              <w:rPr>
                <w:rFonts w:hAnsi="宋体"/>
                <w:color w:val="000000"/>
              </w:rPr>
              <w:t>=</w:t>
            </w:r>
            <w:r>
              <w:rPr>
                <w:rFonts w:hint="eastAsia" w:hAnsi="宋体"/>
                <w:color w:val="000000"/>
              </w:rPr>
              <w:t>①×②</w:t>
            </w:r>
          </w:p>
        </w:tc>
        <w:tc>
          <w:tcPr>
            <w:tcW w:w="504" w:type="dxa"/>
            <w:tcBorders>
              <w:bottom w:val="single" w:color="auto" w:sz="4" w:space="0"/>
            </w:tcBorders>
            <w:noWrap w:val="0"/>
            <w:vAlign w:val="center"/>
          </w:tcPr>
          <w:p w14:paraId="16E6526E">
            <w:pPr>
              <w:pStyle w:val="4"/>
              <w:jc w:val="center"/>
              <w:rPr>
                <w:rFonts w:hAnsi="宋体"/>
                <w:color w:val="000000"/>
              </w:rPr>
            </w:pPr>
            <w:r>
              <w:rPr>
                <w:rFonts w:hint="eastAsia" w:hAnsi="宋体"/>
                <w:color w:val="000000"/>
              </w:rPr>
              <w:t>备注</w:t>
            </w:r>
          </w:p>
        </w:tc>
      </w:tr>
      <w:tr w14:paraId="15D2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14:paraId="2972C699">
            <w:pPr>
              <w:jc w:val="center"/>
              <w:rPr>
                <w:rFonts w:ascii="宋体" w:hAnsi="宋体" w:eastAsia="宋体" w:cs="Times New Roman"/>
                <w:color w:val="000000"/>
                <w:sz w:val="24"/>
              </w:rPr>
            </w:pPr>
            <w:r>
              <w:rPr>
                <w:rFonts w:hint="eastAsia" w:ascii="宋体" w:hAnsi="宋体" w:eastAsia="宋体" w:cs="Times New Roman"/>
                <w:color w:val="000000"/>
                <w:sz w:val="24"/>
              </w:rPr>
              <w:t>1</w:t>
            </w:r>
          </w:p>
        </w:tc>
        <w:tc>
          <w:tcPr>
            <w:tcW w:w="1011" w:type="dxa"/>
            <w:noWrap w:val="0"/>
            <w:vAlign w:val="center"/>
          </w:tcPr>
          <w:p w14:paraId="618391F8">
            <w:pPr>
              <w:jc w:val="center"/>
              <w:rPr>
                <w:rFonts w:ascii="宋体" w:hAnsi="宋体" w:eastAsia="宋体" w:cs="Times New Roman"/>
                <w:color w:val="000000"/>
              </w:rPr>
            </w:pPr>
          </w:p>
        </w:tc>
        <w:tc>
          <w:tcPr>
            <w:tcW w:w="694" w:type="dxa"/>
            <w:noWrap w:val="0"/>
            <w:vAlign w:val="center"/>
          </w:tcPr>
          <w:p w14:paraId="4CAB47CE">
            <w:pPr>
              <w:jc w:val="center"/>
              <w:rPr>
                <w:rFonts w:ascii="宋体" w:hAnsi="宋体" w:eastAsia="宋体" w:cs="Times New Roman"/>
                <w:color w:val="000000"/>
              </w:rPr>
            </w:pPr>
          </w:p>
        </w:tc>
        <w:tc>
          <w:tcPr>
            <w:tcW w:w="708" w:type="dxa"/>
            <w:noWrap w:val="0"/>
            <w:vAlign w:val="center"/>
          </w:tcPr>
          <w:p w14:paraId="2944DFE3">
            <w:pPr>
              <w:pStyle w:val="4"/>
              <w:rPr>
                <w:rFonts w:hAnsi="宋体"/>
                <w:color w:val="000000"/>
              </w:rPr>
            </w:pPr>
          </w:p>
        </w:tc>
        <w:tc>
          <w:tcPr>
            <w:tcW w:w="2977" w:type="dxa"/>
            <w:noWrap w:val="0"/>
            <w:vAlign w:val="center"/>
          </w:tcPr>
          <w:p w14:paraId="15F68E8C">
            <w:pPr>
              <w:pStyle w:val="4"/>
              <w:rPr>
                <w:rFonts w:hAnsi="宋体"/>
                <w:color w:val="000000"/>
              </w:rPr>
            </w:pPr>
          </w:p>
        </w:tc>
        <w:tc>
          <w:tcPr>
            <w:tcW w:w="1276" w:type="dxa"/>
            <w:noWrap w:val="0"/>
            <w:vAlign w:val="center"/>
          </w:tcPr>
          <w:p w14:paraId="0AE4C053">
            <w:pPr>
              <w:pStyle w:val="4"/>
              <w:rPr>
                <w:rFonts w:hAnsi="宋体"/>
                <w:color w:val="000000"/>
              </w:rPr>
            </w:pPr>
          </w:p>
        </w:tc>
        <w:tc>
          <w:tcPr>
            <w:tcW w:w="1134" w:type="dxa"/>
            <w:noWrap w:val="0"/>
            <w:vAlign w:val="center"/>
          </w:tcPr>
          <w:p w14:paraId="72BD08FB">
            <w:pPr>
              <w:pStyle w:val="4"/>
              <w:rPr>
                <w:rFonts w:hAnsi="宋体"/>
                <w:color w:val="000000"/>
              </w:rPr>
            </w:pPr>
          </w:p>
        </w:tc>
        <w:tc>
          <w:tcPr>
            <w:tcW w:w="709" w:type="dxa"/>
            <w:noWrap w:val="0"/>
            <w:vAlign w:val="center"/>
          </w:tcPr>
          <w:p w14:paraId="774C6BCC">
            <w:pPr>
              <w:pStyle w:val="4"/>
              <w:rPr>
                <w:rFonts w:hAnsi="宋体"/>
                <w:color w:val="000000"/>
              </w:rPr>
            </w:pPr>
          </w:p>
        </w:tc>
        <w:tc>
          <w:tcPr>
            <w:tcW w:w="1134" w:type="dxa"/>
            <w:noWrap w:val="0"/>
            <w:vAlign w:val="center"/>
          </w:tcPr>
          <w:p w14:paraId="3CC8DCEF">
            <w:pPr>
              <w:pStyle w:val="4"/>
              <w:rPr>
                <w:rFonts w:hAnsi="宋体"/>
                <w:color w:val="000000"/>
              </w:rPr>
            </w:pPr>
          </w:p>
        </w:tc>
        <w:tc>
          <w:tcPr>
            <w:tcW w:w="504" w:type="dxa"/>
            <w:noWrap w:val="0"/>
            <w:vAlign w:val="center"/>
          </w:tcPr>
          <w:p w14:paraId="6AEC4B2D">
            <w:pPr>
              <w:pStyle w:val="4"/>
              <w:rPr>
                <w:rFonts w:hAnsi="宋体"/>
                <w:color w:val="000000"/>
                <w:spacing w:val="-6"/>
              </w:rPr>
            </w:pPr>
          </w:p>
        </w:tc>
      </w:tr>
      <w:tr w14:paraId="3047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14:paraId="66500229">
            <w:pPr>
              <w:jc w:val="center"/>
              <w:rPr>
                <w:rFonts w:ascii="宋体" w:hAnsi="宋体" w:eastAsia="宋体" w:cs="Times New Roman"/>
                <w:color w:val="000000"/>
                <w:sz w:val="24"/>
              </w:rPr>
            </w:pPr>
            <w:r>
              <w:rPr>
                <w:rFonts w:hint="eastAsia" w:ascii="宋体" w:hAnsi="宋体" w:eastAsia="宋体" w:cs="Times New Roman"/>
                <w:color w:val="000000"/>
                <w:sz w:val="24"/>
              </w:rPr>
              <w:t>…</w:t>
            </w:r>
          </w:p>
        </w:tc>
        <w:tc>
          <w:tcPr>
            <w:tcW w:w="1011" w:type="dxa"/>
            <w:noWrap w:val="0"/>
            <w:vAlign w:val="center"/>
          </w:tcPr>
          <w:p w14:paraId="7ABDEB55">
            <w:pPr>
              <w:jc w:val="center"/>
              <w:rPr>
                <w:rFonts w:ascii="宋体" w:hAnsi="宋体" w:eastAsia="宋体" w:cs="Times New Roman"/>
                <w:color w:val="000000"/>
              </w:rPr>
            </w:pPr>
          </w:p>
        </w:tc>
        <w:tc>
          <w:tcPr>
            <w:tcW w:w="694" w:type="dxa"/>
            <w:noWrap w:val="0"/>
            <w:vAlign w:val="center"/>
          </w:tcPr>
          <w:p w14:paraId="26716802">
            <w:pPr>
              <w:jc w:val="center"/>
              <w:rPr>
                <w:rFonts w:ascii="宋体" w:hAnsi="宋体" w:eastAsia="宋体" w:cs="Times New Roman"/>
                <w:color w:val="000000"/>
              </w:rPr>
            </w:pPr>
          </w:p>
        </w:tc>
        <w:tc>
          <w:tcPr>
            <w:tcW w:w="708" w:type="dxa"/>
            <w:noWrap w:val="0"/>
            <w:vAlign w:val="center"/>
          </w:tcPr>
          <w:p w14:paraId="6A647E8F">
            <w:pPr>
              <w:pStyle w:val="4"/>
              <w:rPr>
                <w:rFonts w:hAnsi="宋体"/>
                <w:color w:val="000000"/>
              </w:rPr>
            </w:pPr>
          </w:p>
        </w:tc>
        <w:tc>
          <w:tcPr>
            <w:tcW w:w="2977" w:type="dxa"/>
            <w:noWrap w:val="0"/>
            <w:vAlign w:val="center"/>
          </w:tcPr>
          <w:p w14:paraId="7F5FFC9E">
            <w:pPr>
              <w:pStyle w:val="4"/>
              <w:rPr>
                <w:rFonts w:hAnsi="宋体"/>
                <w:color w:val="000000"/>
              </w:rPr>
            </w:pPr>
          </w:p>
        </w:tc>
        <w:tc>
          <w:tcPr>
            <w:tcW w:w="1276" w:type="dxa"/>
            <w:noWrap w:val="0"/>
            <w:vAlign w:val="center"/>
          </w:tcPr>
          <w:p w14:paraId="58563F96">
            <w:pPr>
              <w:pStyle w:val="4"/>
              <w:rPr>
                <w:rFonts w:hAnsi="宋体"/>
                <w:color w:val="000000"/>
              </w:rPr>
            </w:pPr>
          </w:p>
        </w:tc>
        <w:tc>
          <w:tcPr>
            <w:tcW w:w="1134" w:type="dxa"/>
            <w:noWrap w:val="0"/>
            <w:vAlign w:val="center"/>
          </w:tcPr>
          <w:p w14:paraId="10F297FF">
            <w:pPr>
              <w:pStyle w:val="4"/>
              <w:rPr>
                <w:rFonts w:hAnsi="宋体"/>
                <w:color w:val="000000"/>
              </w:rPr>
            </w:pPr>
          </w:p>
        </w:tc>
        <w:tc>
          <w:tcPr>
            <w:tcW w:w="709" w:type="dxa"/>
            <w:noWrap w:val="0"/>
            <w:vAlign w:val="center"/>
          </w:tcPr>
          <w:p w14:paraId="483CB727">
            <w:pPr>
              <w:pStyle w:val="4"/>
              <w:rPr>
                <w:rFonts w:hAnsi="宋体"/>
                <w:color w:val="000000"/>
              </w:rPr>
            </w:pPr>
          </w:p>
        </w:tc>
        <w:tc>
          <w:tcPr>
            <w:tcW w:w="1134" w:type="dxa"/>
            <w:noWrap w:val="0"/>
            <w:vAlign w:val="center"/>
          </w:tcPr>
          <w:p w14:paraId="53B09B18">
            <w:pPr>
              <w:pStyle w:val="4"/>
              <w:rPr>
                <w:rFonts w:hAnsi="宋体"/>
                <w:color w:val="000000"/>
              </w:rPr>
            </w:pPr>
          </w:p>
        </w:tc>
        <w:tc>
          <w:tcPr>
            <w:tcW w:w="504" w:type="dxa"/>
            <w:noWrap w:val="0"/>
            <w:vAlign w:val="center"/>
          </w:tcPr>
          <w:p w14:paraId="633A9F6B">
            <w:pPr>
              <w:pStyle w:val="4"/>
              <w:rPr>
                <w:rFonts w:hAnsi="宋体"/>
                <w:color w:val="000000"/>
                <w:spacing w:val="-6"/>
              </w:rPr>
            </w:pPr>
          </w:p>
        </w:tc>
      </w:tr>
      <w:tr w14:paraId="18E3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14:paraId="01DC64C1">
            <w:pPr>
              <w:jc w:val="center"/>
              <w:rPr>
                <w:rFonts w:ascii="宋体" w:hAnsi="宋体" w:eastAsia="宋体" w:cs="Times New Roman"/>
                <w:color w:val="000000"/>
                <w:sz w:val="24"/>
              </w:rPr>
            </w:pPr>
            <w:r>
              <w:rPr>
                <w:rFonts w:ascii="宋体" w:hAnsi="宋体" w:eastAsia="宋体" w:cs="Times New Roman"/>
                <w:color w:val="000000"/>
                <w:sz w:val="24"/>
              </w:rPr>
              <w:t>N</w:t>
            </w:r>
          </w:p>
        </w:tc>
        <w:tc>
          <w:tcPr>
            <w:tcW w:w="1011" w:type="dxa"/>
            <w:noWrap w:val="0"/>
            <w:vAlign w:val="center"/>
          </w:tcPr>
          <w:p w14:paraId="1064B588">
            <w:pPr>
              <w:jc w:val="center"/>
              <w:rPr>
                <w:rFonts w:ascii="宋体" w:hAnsi="宋体" w:eastAsia="宋体" w:cs="Times New Roman"/>
                <w:color w:val="000000"/>
              </w:rPr>
            </w:pPr>
          </w:p>
        </w:tc>
        <w:tc>
          <w:tcPr>
            <w:tcW w:w="694" w:type="dxa"/>
            <w:noWrap w:val="0"/>
            <w:vAlign w:val="center"/>
          </w:tcPr>
          <w:p w14:paraId="6E2CAB18">
            <w:pPr>
              <w:jc w:val="center"/>
              <w:rPr>
                <w:rFonts w:ascii="宋体" w:hAnsi="宋体" w:eastAsia="宋体" w:cs="Times New Roman"/>
                <w:color w:val="000000"/>
              </w:rPr>
            </w:pPr>
          </w:p>
        </w:tc>
        <w:tc>
          <w:tcPr>
            <w:tcW w:w="708" w:type="dxa"/>
            <w:noWrap w:val="0"/>
            <w:vAlign w:val="center"/>
          </w:tcPr>
          <w:p w14:paraId="4EF4C4A3">
            <w:pPr>
              <w:pStyle w:val="4"/>
              <w:rPr>
                <w:rFonts w:hAnsi="宋体"/>
                <w:color w:val="000000"/>
              </w:rPr>
            </w:pPr>
          </w:p>
        </w:tc>
        <w:tc>
          <w:tcPr>
            <w:tcW w:w="2977" w:type="dxa"/>
            <w:noWrap w:val="0"/>
            <w:vAlign w:val="center"/>
          </w:tcPr>
          <w:p w14:paraId="1D9F32B9">
            <w:pPr>
              <w:pStyle w:val="4"/>
              <w:rPr>
                <w:rFonts w:hAnsi="宋体"/>
                <w:color w:val="000000"/>
              </w:rPr>
            </w:pPr>
          </w:p>
        </w:tc>
        <w:tc>
          <w:tcPr>
            <w:tcW w:w="1276" w:type="dxa"/>
            <w:noWrap w:val="0"/>
            <w:vAlign w:val="center"/>
          </w:tcPr>
          <w:p w14:paraId="5AFAF652">
            <w:pPr>
              <w:pStyle w:val="4"/>
              <w:rPr>
                <w:rFonts w:hAnsi="宋体"/>
                <w:color w:val="000000"/>
              </w:rPr>
            </w:pPr>
          </w:p>
        </w:tc>
        <w:tc>
          <w:tcPr>
            <w:tcW w:w="1134" w:type="dxa"/>
            <w:noWrap w:val="0"/>
            <w:vAlign w:val="center"/>
          </w:tcPr>
          <w:p w14:paraId="683B8B1E">
            <w:pPr>
              <w:pStyle w:val="4"/>
              <w:rPr>
                <w:rFonts w:hAnsi="宋体"/>
                <w:color w:val="000000"/>
              </w:rPr>
            </w:pPr>
          </w:p>
        </w:tc>
        <w:tc>
          <w:tcPr>
            <w:tcW w:w="709" w:type="dxa"/>
            <w:noWrap w:val="0"/>
            <w:vAlign w:val="center"/>
          </w:tcPr>
          <w:p w14:paraId="3260CB6E">
            <w:pPr>
              <w:pStyle w:val="4"/>
              <w:rPr>
                <w:rFonts w:hAnsi="宋体"/>
                <w:color w:val="000000"/>
              </w:rPr>
            </w:pPr>
          </w:p>
        </w:tc>
        <w:tc>
          <w:tcPr>
            <w:tcW w:w="1134" w:type="dxa"/>
            <w:noWrap w:val="0"/>
            <w:vAlign w:val="center"/>
          </w:tcPr>
          <w:p w14:paraId="496260C0">
            <w:pPr>
              <w:pStyle w:val="4"/>
              <w:rPr>
                <w:rFonts w:hAnsi="宋体"/>
                <w:color w:val="000000"/>
              </w:rPr>
            </w:pPr>
          </w:p>
        </w:tc>
        <w:tc>
          <w:tcPr>
            <w:tcW w:w="504" w:type="dxa"/>
            <w:noWrap w:val="0"/>
            <w:vAlign w:val="center"/>
          </w:tcPr>
          <w:p w14:paraId="1663CD65">
            <w:pPr>
              <w:pStyle w:val="4"/>
              <w:rPr>
                <w:rFonts w:hAnsi="宋体"/>
                <w:color w:val="000000"/>
                <w:spacing w:val="-6"/>
              </w:rPr>
            </w:pPr>
          </w:p>
        </w:tc>
      </w:tr>
      <w:tr w14:paraId="0184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noWrap w:val="0"/>
            <w:vAlign w:val="center"/>
          </w:tcPr>
          <w:p w14:paraId="5A1891F3">
            <w:pPr>
              <w:pStyle w:val="4"/>
              <w:rPr>
                <w:rFonts w:hAnsi="宋体"/>
                <w:color w:val="000000"/>
                <w:spacing w:val="-6"/>
              </w:rPr>
            </w:pPr>
            <w:r>
              <w:rPr>
                <w:rFonts w:hint="eastAsia" w:hAnsi="宋体"/>
                <w:color w:val="000000"/>
                <w:spacing w:val="-6"/>
              </w:rPr>
              <w:t>总报价（人民币大写）：                                       （￥                       元）</w:t>
            </w:r>
          </w:p>
        </w:tc>
      </w:tr>
      <w:tr w14:paraId="3B2A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noWrap w:val="0"/>
            <w:vAlign w:val="center"/>
          </w:tcPr>
          <w:p w14:paraId="0A7EE1EF">
            <w:pPr>
              <w:pStyle w:val="4"/>
              <w:tabs>
                <w:tab w:val="left" w:pos="721"/>
              </w:tabs>
              <w:rPr>
                <w:rFonts w:hAnsi="宋体"/>
                <w:color w:val="000000"/>
                <w:spacing w:val="-6"/>
              </w:rPr>
            </w:pPr>
            <w:r>
              <w:rPr>
                <w:rFonts w:hint="eastAsia" w:hAnsi="宋体"/>
                <w:color w:val="000000"/>
                <w:spacing w:val="-6"/>
              </w:rPr>
              <w:t>交付使用时间：</w:t>
            </w:r>
          </w:p>
        </w:tc>
      </w:tr>
      <w:tr w14:paraId="0444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noWrap w:val="0"/>
            <w:vAlign w:val="center"/>
          </w:tcPr>
          <w:p w14:paraId="05770328">
            <w:pPr>
              <w:pStyle w:val="4"/>
              <w:tabs>
                <w:tab w:val="left" w:pos="721"/>
              </w:tabs>
              <w:rPr>
                <w:rFonts w:hAnsi="宋体"/>
                <w:color w:val="000000"/>
                <w:spacing w:val="-6"/>
              </w:rPr>
            </w:pPr>
            <w:r>
              <w:rPr>
                <w:rFonts w:hint="eastAsia" w:hAnsi="宋体"/>
                <w:color w:val="000000"/>
                <w:spacing w:val="-6"/>
              </w:rPr>
              <w:t>交付使用地点:</w:t>
            </w:r>
          </w:p>
        </w:tc>
      </w:tr>
    </w:tbl>
    <w:p w14:paraId="01F5E537">
      <w:pPr>
        <w:ind w:firstLine="2415" w:firstLineChars="1150"/>
        <w:rPr>
          <w:rFonts w:ascii="Calibri" w:hAnsi="Calibri" w:eastAsia="宋体" w:cs="Times New Roman"/>
          <w:color w:val="000000"/>
          <w:szCs w:val="21"/>
        </w:rPr>
      </w:pPr>
    </w:p>
    <w:p w14:paraId="7CEF0250">
      <w:pPr>
        <w:rPr>
          <w:rFonts w:ascii="Calibri" w:hAnsi="Calibri" w:eastAsia="宋体" w:cs="Times New Roman"/>
          <w:color w:val="000000"/>
          <w:spacing w:val="20"/>
          <w:szCs w:val="21"/>
          <w:u w:val="single"/>
        </w:rPr>
      </w:pPr>
    </w:p>
    <w:p w14:paraId="00C3B1AB">
      <w:pPr>
        <w:spacing w:line="360" w:lineRule="auto"/>
        <w:rPr>
          <w:rFonts w:ascii="Calibri" w:hAnsi="Calibri" w:eastAsia="宋体" w:cs="Times New Roman"/>
          <w:color w:val="000000"/>
          <w:spacing w:val="20"/>
          <w:szCs w:val="21"/>
        </w:rPr>
      </w:pPr>
    </w:p>
    <w:p w14:paraId="7EB43C32">
      <w:pPr>
        <w:jc w:val="left"/>
        <w:rPr>
          <w:rFonts w:ascii="Calibri" w:hAnsi="Calibri" w:eastAsia="宋体" w:cs="Times New Roman"/>
          <w:color w:val="000000"/>
          <w:szCs w:val="21"/>
        </w:rPr>
      </w:pPr>
      <w:r>
        <w:rPr>
          <w:rFonts w:ascii="Calibri" w:hAnsi="Calibri" w:eastAsia="宋体" w:cs="Times New Roman"/>
          <w:color w:val="000000"/>
          <w:szCs w:val="21"/>
        </w:rPr>
        <w:t>注：</w:t>
      </w:r>
    </w:p>
    <w:p w14:paraId="1A2CC9A4">
      <w:pPr>
        <w:jc w:val="left"/>
        <w:rPr>
          <w:rFonts w:ascii="Calibri" w:hAnsi="Calibri" w:eastAsia="宋体" w:cs="Times New Roman"/>
          <w:color w:val="000000"/>
          <w:szCs w:val="21"/>
        </w:rPr>
      </w:pPr>
      <w:r>
        <w:rPr>
          <w:rFonts w:ascii="Calibri" w:hAnsi="Calibri" w:eastAsia="宋体" w:cs="Times New Roman"/>
          <w:color w:val="000000"/>
          <w:szCs w:val="21"/>
        </w:rPr>
        <w:t>1.</w:t>
      </w:r>
      <w:r>
        <w:rPr>
          <w:rFonts w:hint="eastAsia" w:ascii="宋体" w:hAnsi="宋体" w:eastAsia="宋体" w:cs="Times New Roman"/>
          <w:color w:val="000000"/>
          <w:szCs w:val="21"/>
        </w:rPr>
        <w:t>供应商的首次报价与最后报价均不能超过采购预算，否则报价无效。</w:t>
      </w:r>
    </w:p>
    <w:p w14:paraId="514F866F">
      <w:pPr>
        <w:jc w:val="left"/>
        <w:rPr>
          <w:rFonts w:ascii="Calibri" w:hAnsi="Calibri" w:eastAsia="宋体" w:cs="Times New Roman"/>
          <w:color w:val="000000"/>
          <w:szCs w:val="21"/>
        </w:rPr>
      </w:pPr>
      <w:r>
        <w:rPr>
          <w:rFonts w:hint="eastAsia" w:ascii="Calibri" w:hAnsi="Calibri" w:eastAsia="宋体" w:cs="Times New Roman"/>
          <w:color w:val="000000"/>
          <w:szCs w:val="21"/>
        </w:rPr>
        <w:t>2.所有价格均用人民币表示，单位为元，精确到个数位。</w:t>
      </w:r>
    </w:p>
    <w:p w14:paraId="631EA4FD">
      <w:pPr>
        <w:spacing w:line="500" w:lineRule="exact"/>
        <w:rPr>
          <w:rFonts w:ascii="宋体" w:hAnsi="宋体" w:eastAsia="宋体" w:cs="Times New Roman"/>
          <w:color w:val="000000"/>
          <w:szCs w:val="21"/>
        </w:rPr>
      </w:pPr>
      <w:r>
        <w:rPr>
          <w:rFonts w:hint="eastAsia" w:ascii="Calibri" w:hAnsi="Calibri" w:eastAsia="宋体" w:cs="Times New Roman"/>
          <w:color w:val="000000"/>
          <w:szCs w:val="21"/>
        </w:rPr>
        <w:t>3.</w:t>
      </w:r>
      <w:r>
        <w:rPr>
          <w:rFonts w:hint="eastAsia" w:ascii="宋体" w:hAnsi="宋体" w:eastAsia="宋体" w:cs="Times New Roman"/>
          <w:color w:val="000000"/>
          <w:szCs w:val="21"/>
        </w:rPr>
        <w:t>竞标报价指货物、服务、随配附件、备品备件、工具、货物运抵指定交货地点、安装调试的各种费用和售后服务、税金及其它所有成本、费用的总和。</w:t>
      </w:r>
    </w:p>
    <w:p w14:paraId="6826A6DC">
      <w:pPr>
        <w:jc w:val="left"/>
        <w:rPr>
          <w:rFonts w:ascii="Calibri" w:hAnsi="Calibri" w:eastAsia="宋体" w:cs="Times New Roman"/>
          <w:color w:val="000000"/>
          <w:szCs w:val="21"/>
        </w:rPr>
      </w:pPr>
      <w:r>
        <w:rPr>
          <w:rFonts w:hint="eastAsia" w:ascii="Calibri" w:hAnsi="Calibri" w:eastAsia="宋体" w:cs="Times New Roman"/>
          <w:color w:val="000000"/>
          <w:szCs w:val="21"/>
        </w:rPr>
        <w:t>4.</w:t>
      </w:r>
      <w:r>
        <w:rPr>
          <w:rFonts w:hint="eastAsia" w:ascii="宋体" w:hAnsi="宋体" w:eastAsia="宋体" w:cs="Times New Roman"/>
          <w:color w:val="000000"/>
          <w:szCs w:val="21"/>
        </w:rPr>
        <w:t xml:space="preserve"> 自然人参加谈判的无需盖章，需要签字。</w:t>
      </w:r>
    </w:p>
    <w:p w14:paraId="081DBF82">
      <w:pPr>
        <w:jc w:val="left"/>
        <w:rPr>
          <w:rFonts w:ascii="Calibri" w:hAnsi="Calibri" w:eastAsia="宋体" w:cs="Times New Roman"/>
          <w:color w:val="000000"/>
          <w:szCs w:val="21"/>
        </w:rPr>
      </w:pPr>
      <w:r>
        <w:rPr>
          <w:rFonts w:hint="eastAsia" w:ascii="Calibri" w:hAnsi="Calibri" w:eastAsia="宋体" w:cs="Times New Roman"/>
          <w:color w:val="000000"/>
          <w:szCs w:val="21"/>
        </w:rPr>
        <w:t>5.</w:t>
      </w:r>
      <w:r>
        <w:rPr>
          <w:rFonts w:ascii="Calibri" w:hAnsi="Calibri" w:eastAsia="宋体" w:cs="Times New Roman"/>
          <w:color w:val="000000"/>
          <w:szCs w:val="21"/>
        </w:rPr>
        <w:t>本表可扩展，并逐页签字及盖章</w:t>
      </w:r>
      <w:r>
        <w:rPr>
          <w:rFonts w:hint="eastAsia" w:ascii="Calibri" w:hAnsi="Calibri" w:eastAsia="宋体" w:cs="Times New Roman"/>
          <w:color w:val="000000"/>
          <w:szCs w:val="21"/>
        </w:rPr>
        <w:t>，否则其报价无效并作无效响应处理。</w:t>
      </w:r>
    </w:p>
    <w:p w14:paraId="6EBA98BD">
      <w:pPr>
        <w:jc w:val="left"/>
        <w:rPr>
          <w:rFonts w:ascii="Calibri" w:hAnsi="Calibri" w:eastAsia="宋体" w:cs="Times New Roman"/>
          <w:color w:val="000000"/>
          <w:szCs w:val="21"/>
        </w:rPr>
      </w:pPr>
    </w:p>
    <w:p w14:paraId="4021F431">
      <w:pPr>
        <w:spacing w:line="360" w:lineRule="auto"/>
        <w:rPr>
          <w:rFonts w:ascii="Calibri" w:hAnsi="Calibri" w:eastAsia="宋体" w:cs="Times New Roman"/>
          <w:color w:val="000000"/>
          <w:spacing w:val="20"/>
          <w:szCs w:val="21"/>
        </w:rPr>
      </w:pPr>
    </w:p>
    <w:p w14:paraId="03963ED7">
      <w:pPr>
        <w:spacing w:line="360" w:lineRule="auto"/>
        <w:rPr>
          <w:rFonts w:ascii="Calibri" w:hAnsi="Calibri" w:eastAsia="宋体" w:cs="Times New Roman"/>
          <w:color w:val="000000"/>
          <w:szCs w:val="21"/>
        </w:rPr>
      </w:pPr>
      <w:r>
        <w:rPr>
          <w:rFonts w:ascii="Calibri" w:hAnsi="Calibri" w:eastAsia="宋体" w:cs="Times New Roman"/>
          <w:color w:val="000000"/>
          <w:szCs w:val="21"/>
        </w:rPr>
        <w:t>供应商名称（公章）：</w:t>
      </w:r>
      <w:r>
        <w:rPr>
          <w:rFonts w:ascii="Calibri" w:hAnsi="Calibri" w:eastAsia="宋体" w:cs="Times New Roman"/>
          <w:color w:val="000000"/>
          <w:szCs w:val="21"/>
          <w:u w:val="single"/>
        </w:rPr>
        <w:t xml:space="preserve">                          </w:t>
      </w:r>
    </w:p>
    <w:p w14:paraId="6CDC3F2E">
      <w:pPr>
        <w:spacing w:line="360" w:lineRule="auto"/>
        <w:rPr>
          <w:rFonts w:ascii="Calibri" w:hAnsi="Calibri" w:eastAsia="宋体" w:cs="Times New Roman"/>
          <w:color w:val="000000"/>
          <w:spacing w:val="20"/>
          <w:szCs w:val="21"/>
          <w:u w:val="single"/>
        </w:rPr>
      </w:pPr>
      <w:r>
        <w:rPr>
          <w:rFonts w:ascii="Calibri" w:hAnsi="Calibri" w:eastAsia="宋体" w:cs="Times New Roman"/>
          <w:color w:val="000000"/>
          <w:szCs w:val="21"/>
        </w:rPr>
        <w:t>日  期：：</w:t>
      </w:r>
      <w:r>
        <w:rPr>
          <w:rFonts w:ascii="Calibri" w:hAnsi="Calibri" w:eastAsia="宋体" w:cs="Times New Roman"/>
          <w:color w:val="000000"/>
          <w:szCs w:val="21"/>
          <w:u w:val="single"/>
        </w:rPr>
        <w:t xml:space="preserve">         </w:t>
      </w:r>
      <w:r>
        <w:rPr>
          <w:rFonts w:ascii="Calibri" w:hAnsi="Calibri" w:eastAsia="宋体" w:cs="Times New Roman"/>
          <w:color w:val="000000"/>
          <w:szCs w:val="21"/>
        </w:rPr>
        <w:t>年</w:t>
      </w:r>
      <w:r>
        <w:rPr>
          <w:rFonts w:ascii="Calibri" w:hAnsi="Calibri" w:eastAsia="宋体" w:cs="Times New Roman"/>
          <w:color w:val="000000"/>
          <w:szCs w:val="21"/>
          <w:u w:val="single"/>
        </w:rPr>
        <w:t xml:space="preserve">   </w:t>
      </w:r>
      <w:r>
        <w:rPr>
          <w:rFonts w:ascii="Calibri" w:hAnsi="Calibri" w:eastAsia="宋体" w:cs="Times New Roman"/>
          <w:color w:val="000000"/>
          <w:szCs w:val="21"/>
        </w:rPr>
        <w:t>月</w:t>
      </w:r>
      <w:r>
        <w:rPr>
          <w:rFonts w:ascii="Calibri" w:hAnsi="Calibri" w:eastAsia="宋体" w:cs="Times New Roman"/>
          <w:color w:val="000000"/>
          <w:szCs w:val="21"/>
          <w:u w:val="single"/>
        </w:rPr>
        <w:t xml:space="preserve">   </w:t>
      </w:r>
      <w:r>
        <w:rPr>
          <w:rFonts w:ascii="Calibri" w:hAnsi="Calibri" w:eastAsia="宋体" w:cs="Times New Roman"/>
          <w:color w:val="000000"/>
          <w:szCs w:val="21"/>
        </w:rPr>
        <w:t xml:space="preserve">日 </w:t>
      </w:r>
    </w:p>
    <w:p w14:paraId="4C02C2FE">
      <w:pPr>
        <w:rPr>
          <w:rFonts w:ascii="Calibri" w:hAnsi="Calibri" w:eastAsia="宋体" w:cs="Times New Roman"/>
          <w:color w:val="000000"/>
        </w:rPr>
      </w:pPr>
      <w:r>
        <w:rPr>
          <w:rFonts w:ascii="Calibri" w:hAnsi="Calibri" w:eastAsia="宋体" w:cs="Times New Roman"/>
          <w:color w:val="000000"/>
        </w:rPr>
        <w:br w:type="page"/>
      </w:r>
    </w:p>
    <w:p w14:paraId="201B66F1">
      <w:pPr>
        <w:jc w:val="left"/>
        <w:rPr>
          <w:rFonts w:ascii="Calibri" w:hAnsi="Calibri" w:eastAsia="宋体" w:cs="Times New Roman"/>
          <w:b/>
          <w:color w:val="000000"/>
          <w:szCs w:val="21"/>
        </w:rPr>
      </w:pPr>
      <w:r>
        <w:rPr>
          <w:rFonts w:hint="eastAsia" w:ascii="Calibri" w:hAnsi="Calibri" w:eastAsia="宋体" w:cs="Times New Roman"/>
          <w:b/>
          <w:color w:val="000000"/>
          <w:szCs w:val="21"/>
        </w:rPr>
        <w:t>附件2：</w:t>
      </w:r>
    </w:p>
    <w:p w14:paraId="23E0C009">
      <w:pPr>
        <w:spacing w:line="300" w:lineRule="auto"/>
        <w:jc w:val="center"/>
        <w:rPr>
          <w:rFonts w:ascii="宋体" w:hAnsi="宋体" w:eastAsia="宋体" w:cs="Times New Roman"/>
          <w:b/>
          <w:color w:val="000000"/>
          <w:szCs w:val="21"/>
        </w:rPr>
      </w:pPr>
      <w:r>
        <w:rPr>
          <w:rFonts w:hint="eastAsia" w:ascii="宋体" w:hAnsi="宋体" w:eastAsia="宋体" w:cs="Times New Roman"/>
          <w:b/>
          <w:color w:val="000000"/>
          <w:szCs w:val="21"/>
          <w:lang w:eastAsia="zh-CN"/>
        </w:rPr>
        <w:t>采购</w:t>
      </w:r>
      <w:r>
        <w:rPr>
          <w:rFonts w:hint="eastAsia" w:ascii="宋体" w:hAnsi="宋体" w:eastAsia="宋体" w:cs="Times New Roman"/>
          <w:b/>
          <w:color w:val="000000"/>
          <w:szCs w:val="21"/>
        </w:rPr>
        <w:t>商务表（必须提供）</w:t>
      </w:r>
    </w:p>
    <w:p w14:paraId="49573977">
      <w:pPr>
        <w:spacing w:line="300" w:lineRule="auto"/>
        <w:rPr>
          <w:rFonts w:ascii="宋体" w:hAnsi="宋体" w:eastAsia="宋体" w:cs="Times New Roman"/>
          <w:color w:val="000000"/>
          <w:szCs w:val="21"/>
        </w:rPr>
      </w:pPr>
    </w:p>
    <w:p w14:paraId="6CFF543C">
      <w:pPr>
        <w:spacing w:line="300" w:lineRule="auto"/>
        <w:rPr>
          <w:rFonts w:ascii="宋体" w:hAnsi="宋体" w:eastAsia="宋体" w:cs="Times New Roman"/>
          <w:color w:val="000000"/>
          <w:szCs w:val="21"/>
        </w:rPr>
      </w:pPr>
      <w:r>
        <w:rPr>
          <w:rFonts w:hint="eastAsia" w:ascii="宋体" w:hAnsi="宋体" w:eastAsia="宋体" w:cs="Times New Roman"/>
          <w:color w:val="000000"/>
          <w:szCs w:val="21"/>
        </w:rPr>
        <w:t>采购项目名称:</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 xml:space="preserve">    </w:t>
      </w:r>
    </w:p>
    <w:p w14:paraId="69F1E0CD">
      <w:pPr>
        <w:spacing w:line="300" w:lineRule="auto"/>
        <w:rPr>
          <w:rFonts w:ascii="宋体" w:hAnsi="宋体" w:eastAsia="宋体" w:cs="Times New Roman"/>
          <w:color w:val="000000"/>
          <w:szCs w:val="21"/>
          <w:u w:val="single"/>
        </w:rPr>
      </w:pPr>
      <w:r>
        <w:rPr>
          <w:rFonts w:hint="eastAsia" w:ascii="宋体" w:hAnsi="宋体" w:eastAsia="宋体" w:cs="Times New Roman"/>
          <w:color w:val="000000"/>
          <w:szCs w:val="21"/>
        </w:rPr>
        <w:t>采购项目编号:</w:t>
      </w:r>
      <w:r>
        <w:rPr>
          <w:rFonts w:hint="eastAsia" w:ascii="宋体" w:hAnsi="宋体" w:eastAsia="宋体" w:cs="Times New Roman"/>
          <w:color w:val="000000"/>
          <w:szCs w:val="21"/>
          <w:u w:val="single"/>
        </w:rPr>
        <w:t xml:space="preserve">                 </w:t>
      </w:r>
    </w:p>
    <w:p w14:paraId="5A2152FF">
      <w:pPr>
        <w:spacing w:line="300" w:lineRule="auto"/>
        <w:rPr>
          <w:rFonts w:ascii="宋体" w:hAnsi="宋体" w:eastAsia="宋体" w:cs="Times New Roman"/>
          <w:color w:val="000000"/>
          <w:szCs w:val="21"/>
        </w:rPr>
      </w:pPr>
    </w:p>
    <w:tbl>
      <w:tblPr>
        <w:tblStyle w:val="5"/>
        <w:tblW w:w="850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316"/>
        <w:gridCol w:w="2268"/>
        <w:gridCol w:w="3087"/>
        <w:gridCol w:w="1198"/>
      </w:tblGrid>
      <w:tr w14:paraId="6A58F8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14:paraId="1AE86289">
            <w:pPr>
              <w:adjustRightInd w:val="0"/>
              <w:snapToGrid w:val="0"/>
              <w:spacing w:line="300" w:lineRule="auto"/>
              <w:jc w:val="center"/>
              <w:outlineLvl w:val="0"/>
              <w:rPr>
                <w:rFonts w:ascii="宋体" w:hAnsi="宋体" w:eastAsia="宋体" w:cs="Times New Roman"/>
                <w:color w:val="000000"/>
                <w:szCs w:val="21"/>
              </w:rPr>
            </w:pPr>
            <w:r>
              <w:rPr>
                <w:rFonts w:hint="eastAsia" w:ascii="宋体" w:hAnsi="宋体" w:eastAsia="宋体" w:cs="Times New Roman"/>
                <w:color w:val="000000"/>
                <w:szCs w:val="21"/>
              </w:rPr>
              <w:t>序号</w:t>
            </w:r>
          </w:p>
        </w:tc>
        <w:tc>
          <w:tcPr>
            <w:tcW w:w="1316" w:type="dxa"/>
            <w:noWrap w:val="0"/>
            <w:vAlign w:val="center"/>
          </w:tcPr>
          <w:p w14:paraId="09EC28CD">
            <w:pPr>
              <w:adjustRightInd w:val="0"/>
              <w:snapToGrid w:val="0"/>
              <w:spacing w:line="300" w:lineRule="auto"/>
              <w:jc w:val="center"/>
              <w:outlineLvl w:val="0"/>
              <w:rPr>
                <w:rFonts w:ascii="宋体" w:hAnsi="宋体" w:eastAsia="宋体" w:cs="Times New Roman"/>
                <w:color w:val="000000"/>
                <w:szCs w:val="21"/>
              </w:rPr>
            </w:pPr>
            <w:r>
              <w:rPr>
                <w:rFonts w:hint="eastAsia" w:ascii="宋体" w:hAnsi="宋体" w:eastAsia="宋体" w:cs="Times New Roman"/>
                <w:color w:val="000000"/>
                <w:szCs w:val="21"/>
              </w:rPr>
              <w:t xml:space="preserve">名称                    </w:t>
            </w:r>
          </w:p>
        </w:tc>
        <w:tc>
          <w:tcPr>
            <w:tcW w:w="2268" w:type="dxa"/>
            <w:noWrap w:val="0"/>
            <w:vAlign w:val="center"/>
          </w:tcPr>
          <w:p w14:paraId="2AEECB0D">
            <w:pPr>
              <w:adjustRightInd w:val="0"/>
              <w:snapToGrid w:val="0"/>
              <w:spacing w:line="300" w:lineRule="auto"/>
              <w:jc w:val="center"/>
              <w:outlineLvl w:val="0"/>
              <w:rPr>
                <w:rFonts w:ascii="宋体" w:hAnsi="宋体" w:eastAsia="宋体" w:cs="Times New Roman"/>
                <w:color w:val="000000"/>
                <w:szCs w:val="21"/>
              </w:rPr>
            </w:pPr>
            <w:r>
              <w:rPr>
                <w:rFonts w:hint="eastAsia" w:ascii="宋体" w:hAnsi="宋体" w:eastAsia="宋体" w:cs="Times New Roman"/>
                <w:color w:val="000000"/>
                <w:szCs w:val="21"/>
              </w:rPr>
              <w:t>采购文件</w:t>
            </w:r>
            <w:r>
              <w:rPr>
                <w:rFonts w:hint="eastAsia" w:ascii="宋体" w:hAnsi="宋体" w:eastAsia="宋体" w:cs="Times New Roman"/>
                <w:color w:val="000000"/>
                <w:szCs w:val="21"/>
                <w:lang w:eastAsia="zh-CN"/>
              </w:rPr>
              <w:t>商务</w:t>
            </w:r>
            <w:r>
              <w:rPr>
                <w:rFonts w:hint="eastAsia" w:ascii="宋体" w:hAnsi="宋体" w:eastAsia="宋体" w:cs="Times New Roman"/>
                <w:color w:val="000000"/>
                <w:szCs w:val="21"/>
              </w:rPr>
              <w:t>要求</w:t>
            </w:r>
          </w:p>
        </w:tc>
        <w:tc>
          <w:tcPr>
            <w:tcW w:w="3087" w:type="dxa"/>
            <w:noWrap w:val="0"/>
            <w:vAlign w:val="center"/>
          </w:tcPr>
          <w:p w14:paraId="7AA4E817">
            <w:pPr>
              <w:adjustRightInd w:val="0"/>
              <w:snapToGrid w:val="0"/>
              <w:spacing w:line="300" w:lineRule="auto"/>
              <w:ind w:left="-107" w:leftChars="-51" w:firstLine="107" w:firstLineChars="51"/>
              <w:jc w:val="center"/>
              <w:outlineLvl w:val="0"/>
              <w:rPr>
                <w:rFonts w:ascii="宋体" w:hAnsi="宋体" w:eastAsia="宋体" w:cs="Times New Roman"/>
                <w:color w:val="000000"/>
                <w:szCs w:val="21"/>
              </w:rPr>
            </w:pPr>
            <w:r>
              <w:rPr>
                <w:rFonts w:hint="eastAsia" w:ascii="宋体" w:hAnsi="宋体" w:eastAsia="宋体" w:cs="Times New Roman"/>
                <w:color w:val="000000"/>
                <w:szCs w:val="21"/>
              </w:rPr>
              <w:t>报价响应文件具体响应</w:t>
            </w:r>
          </w:p>
        </w:tc>
        <w:tc>
          <w:tcPr>
            <w:tcW w:w="1198" w:type="dxa"/>
            <w:noWrap w:val="0"/>
            <w:vAlign w:val="center"/>
          </w:tcPr>
          <w:p w14:paraId="23469DDD">
            <w:pPr>
              <w:adjustRightInd w:val="0"/>
              <w:snapToGrid w:val="0"/>
              <w:spacing w:line="300" w:lineRule="auto"/>
              <w:jc w:val="center"/>
              <w:outlineLvl w:val="0"/>
              <w:rPr>
                <w:rFonts w:hint="eastAsia" w:ascii="宋体" w:hAnsi="宋体" w:eastAsia="宋体" w:cs="Times New Roman"/>
                <w:color w:val="000000"/>
                <w:szCs w:val="21"/>
                <w:lang w:eastAsia="zh-CN"/>
              </w:rPr>
            </w:pPr>
            <w:r>
              <w:rPr>
                <w:rFonts w:hint="eastAsia" w:ascii="宋体" w:hAnsi="宋体" w:eastAsia="宋体" w:cs="Times New Roman"/>
                <w:color w:val="000000"/>
                <w:szCs w:val="21"/>
                <w:lang w:eastAsia="zh-CN"/>
              </w:rPr>
              <w:t>偏离说明</w:t>
            </w:r>
          </w:p>
        </w:tc>
      </w:tr>
      <w:tr w14:paraId="0EF44D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noWrap w:val="0"/>
            <w:vAlign w:val="center"/>
          </w:tcPr>
          <w:p w14:paraId="2CCB569A">
            <w:pPr>
              <w:adjustRightInd w:val="0"/>
              <w:snapToGrid w:val="0"/>
              <w:spacing w:line="300" w:lineRule="auto"/>
              <w:jc w:val="center"/>
              <w:outlineLvl w:val="0"/>
              <w:rPr>
                <w:rFonts w:ascii="宋体" w:hAnsi="宋体" w:eastAsia="宋体" w:cs="Times New Roman"/>
                <w:color w:val="000000"/>
                <w:szCs w:val="21"/>
              </w:rPr>
            </w:pPr>
            <w:r>
              <w:rPr>
                <w:rFonts w:hint="eastAsia" w:ascii="宋体" w:hAnsi="宋体" w:eastAsia="宋体" w:cs="Times New Roman"/>
                <w:color w:val="000000"/>
                <w:szCs w:val="21"/>
              </w:rPr>
              <w:t>1</w:t>
            </w:r>
          </w:p>
        </w:tc>
        <w:tc>
          <w:tcPr>
            <w:tcW w:w="1316" w:type="dxa"/>
            <w:noWrap w:val="0"/>
            <w:vAlign w:val="center"/>
          </w:tcPr>
          <w:p w14:paraId="49D078D6">
            <w:pPr>
              <w:adjustRightInd w:val="0"/>
              <w:snapToGrid w:val="0"/>
              <w:spacing w:line="300" w:lineRule="auto"/>
              <w:jc w:val="center"/>
              <w:outlineLvl w:val="0"/>
              <w:rPr>
                <w:rFonts w:ascii="宋体" w:hAnsi="宋体" w:eastAsia="宋体" w:cs="Times New Roman"/>
                <w:color w:val="000000"/>
                <w:szCs w:val="21"/>
              </w:rPr>
            </w:pPr>
          </w:p>
        </w:tc>
        <w:tc>
          <w:tcPr>
            <w:tcW w:w="2268" w:type="dxa"/>
            <w:noWrap w:val="0"/>
            <w:vAlign w:val="center"/>
          </w:tcPr>
          <w:p w14:paraId="3E668AFC">
            <w:pPr>
              <w:adjustRightInd w:val="0"/>
              <w:snapToGrid w:val="0"/>
              <w:spacing w:line="300" w:lineRule="auto"/>
              <w:jc w:val="center"/>
              <w:outlineLvl w:val="0"/>
              <w:rPr>
                <w:rFonts w:ascii="宋体" w:hAnsi="宋体" w:eastAsia="宋体" w:cs="Times New Roman"/>
                <w:color w:val="000000"/>
                <w:szCs w:val="21"/>
              </w:rPr>
            </w:pPr>
          </w:p>
        </w:tc>
        <w:tc>
          <w:tcPr>
            <w:tcW w:w="3087" w:type="dxa"/>
            <w:noWrap w:val="0"/>
            <w:vAlign w:val="center"/>
          </w:tcPr>
          <w:p w14:paraId="38FF9D9B">
            <w:pPr>
              <w:adjustRightInd w:val="0"/>
              <w:snapToGrid w:val="0"/>
              <w:spacing w:line="300" w:lineRule="auto"/>
              <w:jc w:val="center"/>
              <w:outlineLvl w:val="0"/>
              <w:rPr>
                <w:rFonts w:ascii="宋体" w:hAnsi="宋体" w:eastAsia="宋体" w:cs="Times New Roman"/>
                <w:color w:val="000000"/>
                <w:szCs w:val="21"/>
              </w:rPr>
            </w:pPr>
          </w:p>
        </w:tc>
        <w:tc>
          <w:tcPr>
            <w:tcW w:w="1198" w:type="dxa"/>
            <w:noWrap w:val="0"/>
            <w:vAlign w:val="center"/>
          </w:tcPr>
          <w:p w14:paraId="00E6D0BB">
            <w:pPr>
              <w:adjustRightInd w:val="0"/>
              <w:snapToGrid w:val="0"/>
              <w:spacing w:line="300" w:lineRule="auto"/>
              <w:jc w:val="center"/>
              <w:outlineLvl w:val="0"/>
              <w:rPr>
                <w:rFonts w:ascii="宋体" w:hAnsi="宋体" w:eastAsia="宋体" w:cs="Times New Roman"/>
                <w:color w:val="000000"/>
                <w:szCs w:val="21"/>
              </w:rPr>
            </w:pPr>
          </w:p>
        </w:tc>
      </w:tr>
      <w:tr w14:paraId="0B3AB9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6DB24CCE">
            <w:pPr>
              <w:adjustRightInd w:val="0"/>
              <w:snapToGrid w:val="0"/>
              <w:spacing w:line="300" w:lineRule="auto"/>
              <w:jc w:val="center"/>
              <w:outlineLvl w:val="0"/>
              <w:rPr>
                <w:rFonts w:ascii="宋体" w:hAnsi="宋体" w:eastAsia="宋体" w:cs="Times New Roman"/>
                <w:color w:val="000000"/>
                <w:szCs w:val="21"/>
              </w:rPr>
            </w:pPr>
            <w:r>
              <w:rPr>
                <w:rFonts w:hint="eastAsia" w:ascii="宋体" w:hAnsi="宋体" w:eastAsia="宋体" w:cs="Times New Roman"/>
                <w:color w:val="000000"/>
                <w:szCs w:val="21"/>
              </w:rPr>
              <w:t>2</w:t>
            </w:r>
          </w:p>
        </w:tc>
        <w:tc>
          <w:tcPr>
            <w:tcW w:w="1316" w:type="dxa"/>
            <w:noWrap w:val="0"/>
            <w:vAlign w:val="center"/>
          </w:tcPr>
          <w:p w14:paraId="1B0C50A7">
            <w:pPr>
              <w:adjustRightInd w:val="0"/>
              <w:snapToGrid w:val="0"/>
              <w:spacing w:line="300" w:lineRule="auto"/>
              <w:jc w:val="center"/>
              <w:outlineLvl w:val="0"/>
              <w:rPr>
                <w:rFonts w:ascii="宋体" w:hAnsi="宋体" w:eastAsia="宋体" w:cs="Times New Roman"/>
                <w:color w:val="000000"/>
                <w:szCs w:val="21"/>
              </w:rPr>
            </w:pPr>
          </w:p>
        </w:tc>
        <w:tc>
          <w:tcPr>
            <w:tcW w:w="2268" w:type="dxa"/>
            <w:noWrap w:val="0"/>
            <w:vAlign w:val="center"/>
          </w:tcPr>
          <w:p w14:paraId="2F12B5AE">
            <w:pPr>
              <w:adjustRightInd w:val="0"/>
              <w:snapToGrid w:val="0"/>
              <w:spacing w:line="300" w:lineRule="auto"/>
              <w:jc w:val="center"/>
              <w:outlineLvl w:val="0"/>
              <w:rPr>
                <w:rFonts w:ascii="宋体" w:hAnsi="宋体" w:eastAsia="宋体" w:cs="Times New Roman"/>
                <w:color w:val="000000"/>
                <w:szCs w:val="21"/>
              </w:rPr>
            </w:pPr>
          </w:p>
        </w:tc>
        <w:tc>
          <w:tcPr>
            <w:tcW w:w="3087" w:type="dxa"/>
            <w:noWrap w:val="0"/>
            <w:vAlign w:val="center"/>
          </w:tcPr>
          <w:p w14:paraId="3CD42669">
            <w:pPr>
              <w:adjustRightInd w:val="0"/>
              <w:snapToGrid w:val="0"/>
              <w:spacing w:line="300" w:lineRule="auto"/>
              <w:jc w:val="center"/>
              <w:outlineLvl w:val="0"/>
              <w:rPr>
                <w:rFonts w:ascii="宋体" w:hAnsi="宋体" w:eastAsia="宋体" w:cs="Times New Roman"/>
                <w:color w:val="000000"/>
                <w:szCs w:val="21"/>
              </w:rPr>
            </w:pPr>
          </w:p>
        </w:tc>
        <w:tc>
          <w:tcPr>
            <w:tcW w:w="1198" w:type="dxa"/>
            <w:noWrap w:val="0"/>
            <w:vAlign w:val="center"/>
          </w:tcPr>
          <w:p w14:paraId="4638F465">
            <w:pPr>
              <w:adjustRightInd w:val="0"/>
              <w:snapToGrid w:val="0"/>
              <w:spacing w:line="300" w:lineRule="auto"/>
              <w:jc w:val="center"/>
              <w:outlineLvl w:val="0"/>
              <w:rPr>
                <w:rFonts w:ascii="宋体" w:hAnsi="宋体" w:eastAsia="宋体" w:cs="Times New Roman"/>
                <w:color w:val="000000"/>
                <w:szCs w:val="21"/>
              </w:rPr>
            </w:pPr>
          </w:p>
        </w:tc>
      </w:tr>
      <w:tr w14:paraId="710EE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489CC19E">
            <w:pPr>
              <w:adjustRightInd w:val="0"/>
              <w:snapToGrid w:val="0"/>
              <w:spacing w:line="300" w:lineRule="auto"/>
              <w:jc w:val="center"/>
              <w:outlineLvl w:val="0"/>
              <w:rPr>
                <w:rFonts w:hint="eastAsia"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3</w:t>
            </w:r>
          </w:p>
        </w:tc>
        <w:tc>
          <w:tcPr>
            <w:tcW w:w="1316" w:type="dxa"/>
            <w:noWrap w:val="0"/>
            <w:vAlign w:val="center"/>
          </w:tcPr>
          <w:p w14:paraId="192EF2E1">
            <w:pPr>
              <w:adjustRightInd w:val="0"/>
              <w:snapToGrid w:val="0"/>
              <w:spacing w:line="300" w:lineRule="auto"/>
              <w:jc w:val="center"/>
              <w:outlineLvl w:val="0"/>
              <w:rPr>
                <w:rFonts w:ascii="宋体" w:hAnsi="宋体" w:eastAsia="宋体" w:cs="Times New Roman"/>
                <w:color w:val="000000"/>
                <w:szCs w:val="21"/>
              </w:rPr>
            </w:pPr>
          </w:p>
        </w:tc>
        <w:tc>
          <w:tcPr>
            <w:tcW w:w="2268" w:type="dxa"/>
            <w:noWrap w:val="0"/>
            <w:vAlign w:val="center"/>
          </w:tcPr>
          <w:p w14:paraId="42099EB3">
            <w:pPr>
              <w:adjustRightInd w:val="0"/>
              <w:snapToGrid w:val="0"/>
              <w:spacing w:line="300" w:lineRule="auto"/>
              <w:jc w:val="center"/>
              <w:outlineLvl w:val="0"/>
              <w:rPr>
                <w:rFonts w:ascii="宋体" w:hAnsi="宋体" w:eastAsia="宋体" w:cs="Times New Roman"/>
                <w:color w:val="000000"/>
                <w:szCs w:val="21"/>
              </w:rPr>
            </w:pPr>
          </w:p>
        </w:tc>
        <w:tc>
          <w:tcPr>
            <w:tcW w:w="3087" w:type="dxa"/>
            <w:noWrap w:val="0"/>
            <w:vAlign w:val="center"/>
          </w:tcPr>
          <w:p w14:paraId="79FDBD3E">
            <w:pPr>
              <w:adjustRightInd w:val="0"/>
              <w:snapToGrid w:val="0"/>
              <w:spacing w:line="300" w:lineRule="auto"/>
              <w:jc w:val="center"/>
              <w:outlineLvl w:val="0"/>
              <w:rPr>
                <w:rFonts w:ascii="宋体" w:hAnsi="宋体" w:eastAsia="宋体" w:cs="Times New Roman"/>
                <w:color w:val="000000"/>
                <w:szCs w:val="21"/>
              </w:rPr>
            </w:pPr>
          </w:p>
        </w:tc>
        <w:tc>
          <w:tcPr>
            <w:tcW w:w="1198" w:type="dxa"/>
            <w:noWrap w:val="0"/>
            <w:vAlign w:val="center"/>
          </w:tcPr>
          <w:p w14:paraId="3221B4C4">
            <w:pPr>
              <w:adjustRightInd w:val="0"/>
              <w:snapToGrid w:val="0"/>
              <w:spacing w:line="300" w:lineRule="auto"/>
              <w:jc w:val="center"/>
              <w:outlineLvl w:val="0"/>
              <w:rPr>
                <w:rFonts w:ascii="宋体" w:hAnsi="宋体" w:eastAsia="宋体" w:cs="Times New Roman"/>
                <w:color w:val="000000"/>
                <w:szCs w:val="21"/>
              </w:rPr>
            </w:pPr>
          </w:p>
        </w:tc>
      </w:tr>
      <w:tr w14:paraId="41F747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14:paraId="590612BD">
            <w:pPr>
              <w:adjustRightInd w:val="0"/>
              <w:snapToGrid w:val="0"/>
              <w:spacing w:line="300" w:lineRule="auto"/>
              <w:jc w:val="center"/>
              <w:outlineLvl w:val="0"/>
              <w:rPr>
                <w:rFonts w:hint="eastAsia"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4</w:t>
            </w:r>
          </w:p>
        </w:tc>
        <w:tc>
          <w:tcPr>
            <w:tcW w:w="1316" w:type="dxa"/>
            <w:noWrap w:val="0"/>
            <w:vAlign w:val="top"/>
          </w:tcPr>
          <w:p w14:paraId="1ABDC02E">
            <w:pPr>
              <w:adjustRightInd w:val="0"/>
              <w:snapToGrid w:val="0"/>
              <w:spacing w:line="300" w:lineRule="auto"/>
              <w:jc w:val="center"/>
              <w:outlineLvl w:val="0"/>
              <w:rPr>
                <w:rFonts w:ascii="宋体" w:hAnsi="宋体" w:eastAsia="宋体" w:cs="Times New Roman"/>
                <w:color w:val="000000"/>
                <w:szCs w:val="21"/>
              </w:rPr>
            </w:pPr>
          </w:p>
        </w:tc>
        <w:tc>
          <w:tcPr>
            <w:tcW w:w="2268" w:type="dxa"/>
            <w:noWrap w:val="0"/>
            <w:vAlign w:val="top"/>
          </w:tcPr>
          <w:p w14:paraId="1FF0E485">
            <w:pPr>
              <w:adjustRightInd w:val="0"/>
              <w:snapToGrid w:val="0"/>
              <w:spacing w:line="300" w:lineRule="auto"/>
              <w:jc w:val="center"/>
              <w:outlineLvl w:val="0"/>
              <w:rPr>
                <w:rFonts w:ascii="宋体" w:hAnsi="宋体" w:eastAsia="宋体" w:cs="Times New Roman"/>
                <w:color w:val="000000"/>
                <w:szCs w:val="21"/>
              </w:rPr>
            </w:pPr>
          </w:p>
        </w:tc>
        <w:tc>
          <w:tcPr>
            <w:tcW w:w="3087" w:type="dxa"/>
            <w:noWrap w:val="0"/>
            <w:vAlign w:val="top"/>
          </w:tcPr>
          <w:p w14:paraId="62BE40CB">
            <w:pPr>
              <w:adjustRightInd w:val="0"/>
              <w:snapToGrid w:val="0"/>
              <w:spacing w:line="300" w:lineRule="auto"/>
              <w:jc w:val="center"/>
              <w:outlineLvl w:val="0"/>
              <w:rPr>
                <w:rFonts w:ascii="宋体" w:hAnsi="宋体" w:eastAsia="宋体" w:cs="Times New Roman"/>
                <w:color w:val="000000"/>
                <w:szCs w:val="21"/>
              </w:rPr>
            </w:pPr>
          </w:p>
        </w:tc>
        <w:tc>
          <w:tcPr>
            <w:tcW w:w="1198" w:type="dxa"/>
            <w:noWrap w:val="0"/>
            <w:vAlign w:val="top"/>
          </w:tcPr>
          <w:p w14:paraId="0FB85184">
            <w:pPr>
              <w:adjustRightInd w:val="0"/>
              <w:snapToGrid w:val="0"/>
              <w:spacing w:line="300" w:lineRule="auto"/>
              <w:jc w:val="center"/>
              <w:outlineLvl w:val="0"/>
              <w:rPr>
                <w:rFonts w:ascii="宋体" w:hAnsi="宋体" w:eastAsia="宋体" w:cs="Times New Roman"/>
                <w:color w:val="000000"/>
                <w:szCs w:val="21"/>
              </w:rPr>
            </w:pPr>
          </w:p>
        </w:tc>
      </w:tr>
      <w:tr w14:paraId="668C0B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14:paraId="3A990663">
            <w:pPr>
              <w:adjustRightInd w:val="0"/>
              <w:snapToGrid w:val="0"/>
              <w:spacing w:line="300" w:lineRule="auto"/>
              <w:jc w:val="center"/>
              <w:outlineLvl w:val="0"/>
              <w:rPr>
                <w:rFonts w:hint="eastAsia"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5</w:t>
            </w:r>
          </w:p>
        </w:tc>
        <w:tc>
          <w:tcPr>
            <w:tcW w:w="1316" w:type="dxa"/>
            <w:noWrap w:val="0"/>
            <w:vAlign w:val="top"/>
          </w:tcPr>
          <w:p w14:paraId="7F58CEEC">
            <w:pPr>
              <w:adjustRightInd w:val="0"/>
              <w:snapToGrid w:val="0"/>
              <w:spacing w:line="300" w:lineRule="auto"/>
              <w:jc w:val="center"/>
              <w:outlineLvl w:val="0"/>
              <w:rPr>
                <w:rFonts w:ascii="宋体" w:hAnsi="宋体" w:eastAsia="宋体" w:cs="Times New Roman"/>
                <w:color w:val="000000"/>
                <w:szCs w:val="21"/>
              </w:rPr>
            </w:pPr>
          </w:p>
        </w:tc>
        <w:tc>
          <w:tcPr>
            <w:tcW w:w="2268" w:type="dxa"/>
            <w:noWrap w:val="0"/>
            <w:vAlign w:val="top"/>
          </w:tcPr>
          <w:p w14:paraId="35D0CC0E">
            <w:pPr>
              <w:adjustRightInd w:val="0"/>
              <w:snapToGrid w:val="0"/>
              <w:spacing w:line="300" w:lineRule="auto"/>
              <w:jc w:val="center"/>
              <w:outlineLvl w:val="0"/>
              <w:rPr>
                <w:rFonts w:ascii="宋体" w:hAnsi="宋体" w:eastAsia="宋体" w:cs="Times New Roman"/>
                <w:color w:val="000000"/>
                <w:szCs w:val="21"/>
              </w:rPr>
            </w:pPr>
          </w:p>
        </w:tc>
        <w:tc>
          <w:tcPr>
            <w:tcW w:w="3087" w:type="dxa"/>
            <w:noWrap w:val="0"/>
            <w:vAlign w:val="top"/>
          </w:tcPr>
          <w:p w14:paraId="7D68EA81">
            <w:pPr>
              <w:adjustRightInd w:val="0"/>
              <w:snapToGrid w:val="0"/>
              <w:spacing w:line="300" w:lineRule="auto"/>
              <w:jc w:val="center"/>
              <w:outlineLvl w:val="0"/>
              <w:rPr>
                <w:rFonts w:ascii="宋体" w:hAnsi="宋体" w:eastAsia="宋体" w:cs="Times New Roman"/>
                <w:color w:val="000000"/>
                <w:szCs w:val="21"/>
              </w:rPr>
            </w:pPr>
          </w:p>
        </w:tc>
        <w:tc>
          <w:tcPr>
            <w:tcW w:w="1198" w:type="dxa"/>
            <w:noWrap w:val="0"/>
            <w:vAlign w:val="top"/>
          </w:tcPr>
          <w:p w14:paraId="213316C6">
            <w:pPr>
              <w:adjustRightInd w:val="0"/>
              <w:snapToGrid w:val="0"/>
              <w:spacing w:line="300" w:lineRule="auto"/>
              <w:jc w:val="center"/>
              <w:outlineLvl w:val="0"/>
              <w:rPr>
                <w:rFonts w:ascii="宋体" w:hAnsi="宋体" w:eastAsia="宋体" w:cs="Times New Roman"/>
                <w:color w:val="000000"/>
                <w:szCs w:val="21"/>
              </w:rPr>
            </w:pPr>
          </w:p>
        </w:tc>
      </w:tr>
      <w:tr w14:paraId="117008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35" w:type="dxa"/>
            <w:noWrap w:val="0"/>
            <w:vAlign w:val="center"/>
          </w:tcPr>
          <w:p w14:paraId="78E41ACE">
            <w:pPr>
              <w:adjustRightInd w:val="0"/>
              <w:snapToGrid w:val="0"/>
              <w:spacing w:line="300" w:lineRule="auto"/>
              <w:jc w:val="center"/>
              <w:outlineLvl w:val="0"/>
              <w:rPr>
                <w:rFonts w:ascii="宋体" w:hAnsi="宋体" w:eastAsia="宋体" w:cs="Times New Roman"/>
                <w:color w:val="000000"/>
                <w:szCs w:val="21"/>
              </w:rPr>
            </w:pPr>
            <w:r>
              <w:rPr>
                <w:rFonts w:hint="eastAsia" w:ascii="宋体" w:hAnsi="宋体" w:eastAsia="宋体" w:cs="Times New Roman"/>
                <w:color w:val="000000"/>
                <w:szCs w:val="21"/>
              </w:rPr>
              <w:t>…</w:t>
            </w:r>
          </w:p>
        </w:tc>
        <w:tc>
          <w:tcPr>
            <w:tcW w:w="1316" w:type="dxa"/>
            <w:noWrap w:val="0"/>
            <w:vAlign w:val="center"/>
          </w:tcPr>
          <w:p w14:paraId="0951A18F">
            <w:pPr>
              <w:adjustRightInd w:val="0"/>
              <w:snapToGrid w:val="0"/>
              <w:spacing w:line="300" w:lineRule="auto"/>
              <w:jc w:val="center"/>
              <w:outlineLvl w:val="0"/>
              <w:rPr>
                <w:rFonts w:ascii="宋体" w:hAnsi="宋体" w:eastAsia="宋体" w:cs="Times New Roman"/>
                <w:color w:val="000000"/>
                <w:szCs w:val="21"/>
              </w:rPr>
            </w:pPr>
          </w:p>
        </w:tc>
        <w:tc>
          <w:tcPr>
            <w:tcW w:w="2268" w:type="dxa"/>
            <w:noWrap w:val="0"/>
            <w:vAlign w:val="center"/>
          </w:tcPr>
          <w:p w14:paraId="5D4BCF09">
            <w:pPr>
              <w:adjustRightInd w:val="0"/>
              <w:snapToGrid w:val="0"/>
              <w:spacing w:line="300" w:lineRule="auto"/>
              <w:jc w:val="center"/>
              <w:outlineLvl w:val="0"/>
              <w:rPr>
                <w:rFonts w:ascii="宋体" w:hAnsi="宋体" w:eastAsia="宋体" w:cs="Times New Roman"/>
                <w:color w:val="000000"/>
                <w:szCs w:val="21"/>
              </w:rPr>
            </w:pPr>
          </w:p>
        </w:tc>
        <w:tc>
          <w:tcPr>
            <w:tcW w:w="3087" w:type="dxa"/>
            <w:noWrap w:val="0"/>
            <w:vAlign w:val="center"/>
          </w:tcPr>
          <w:p w14:paraId="22689A91">
            <w:pPr>
              <w:adjustRightInd w:val="0"/>
              <w:snapToGrid w:val="0"/>
              <w:spacing w:line="300" w:lineRule="auto"/>
              <w:jc w:val="center"/>
              <w:outlineLvl w:val="0"/>
              <w:rPr>
                <w:rFonts w:ascii="宋体" w:hAnsi="宋体" w:eastAsia="宋体" w:cs="Times New Roman"/>
                <w:color w:val="000000"/>
                <w:szCs w:val="21"/>
              </w:rPr>
            </w:pPr>
          </w:p>
        </w:tc>
        <w:tc>
          <w:tcPr>
            <w:tcW w:w="1198" w:type="dxa"/>
            <w:tcBorders>
              <w:right w:val="single" w:color="auto" w:sz="4" w:space="0"/>
            </w:tcBorders>
            <w:noWrap w:val="0"/>
            <w:vAlign w:val="center"/>
          </w:tcPr>
          <w:p w14:paraId="7686A1FF">
            <w:pPr>
              <w:adjustRightInd w:val="0"/>
              <w:snapToGrid w:val="0"/>
              <w:spacing w:line="300" w:lineRule="auto"/>
              <w:jc w:val="center"/>
              <w:outlineLvl w:val="0"/>
              <w:rPr>
                <w:rFonts w:ascii="宋体" w:hAnsi="宋体" w:eastAsia="宋体" w:cs="Times New Roman"/>
                <w:color w:val="000000"/>
                <w:szCs w:val="21"/>
              </w:rPr>
            </w:pPr>
          </w:p>
        </w:tc>
      </w:tr>
    </w:tbl>
    <w:p w14:paraId="2512E8BD">
      <w:pPr>
        <w:spacing w:line="300" w:lineRule="auto"/>
        <w:rPr>
          <w:rFonts w:ascii="宋体" w:hAnsi="宋体" w:eastAsia="宋体" w:cs="Times New Roman"/>
          <w:color w:val="000000"/>
          <w:szCs w:val="21"/>
        </w:rPr>
      </w:pPr>
    </w:p>
    <w:p w14:paraId="70728FD7">
      <w:pPr>
        <w:adjustRightInd w:val="0"/>
        <w:snapToGrid w:val="0"/>
        <w:spacing w:line="300" w:lineRule="auto"/>
        <w:rPr>
          <w:rFonts w:ascii="宋体" w:hAnsi="宋体" w:eastAsia="宋体" w:cs="Times New Roman"/>
          <w:color w:val="000000"/>
          <w:szCs w:val="21"/>
        </w:rPr>
      </w:pPr>
    </w:p>
    <w:p w14:paraId="066AF441">
      <w:pPr>
        <w:pStyle w:val="4"/>
        <w:spacing w:line="300" w:lineRule="auto"/>
        <w:rPr>
          <w:rFonts w:hint="eastAsia" w:ascii="宋体" w:hAnsi="宋体"/>
          <w:color w:val="000000"/>
          <w:sz w:val="21"/>
          <w:szCs w:val="21"/>
        </w:rPr>
      </w:pPr>
      <w:r>
        <w:rPr>
          <w:rFonts w:hint="eastAsia" w:ascii="宋体" w:hAnsi="宋体"/>
          <w:color w:val="000000"/>
          <w:sz w:val="21"/>
          <w:szCs w:val="21"/>
        </w:rPr>
        <w:t>说明:</w:t>
      </w:r>
    </w:p>
    <w:p w14:paraId="05069778">
      <w:pPr>
        <w:pStyle w:val="4"/>
        <w:spacing w:line="300" w:lineRule="auto"/>
        <w:rPr>
          <w:rFonts w:hint="eastAsia" w:ascii="宋体" w:hAnsi="宋体"/>
          <w:color w:val="000000"/>
          <w:sz w:val="21"/>
          <w:szCs w:val="21"/>
        </w:rPr>
      </w:pPr>
      <w:r>
        <w:rPr>
          <w:rFonts w:hint="eastAsia" w:ascii="宋体" w:hAnsi="宋体"/>
          <w:color w:val="000000"/>
          <w:sz w:val="21"/>
          <w:szCs w:val="21"/>
        </w:rPr>
        <w:t>1.应对照采购文件“第一章采购需求”中的商务要求逐条作明确的竞标响应，并作出偏离说明。</w:t>
      </w:r>
    </w:p>
    <w:p w14:paraId="75E16D59">
      <w:pPr>
        <w:pStyle w:val="4"/>
        <w:spacing w:line="300" w:lineRule="auto"/>
        <w:rPr>
          <w:rFonts w:hint="eastAsia" w:ascii="宋体" w:hAnsi="宋体"/>
          <w:color w:val="000000"/>
          <w:sz w:val="21"/>
          <w:szCs w:val="21"/>
        </w:rPr>
      </w:pPr>
      <w:r>
        <w:rPr>
          <w:rFonts w:hint="eastAsia" w:ascii="宋体" w:hAnsi="宋体"/>
          <w:color w:val="000000"/>
          <w:sz w:val="21"/>
          <w:szCs w:val="21"/>
        </w:rPr>
        <w:t>2.竞标供应商应根据自身的承诺，对照采购文件要求在“偏离说明”中注明“正偏离”、“负偏离”</w:t>
      </w:r>
    </w:p>
    <w:p w14:paraId="2DB59C03">
      <w:pPr>
        <w:pStyle w:val="4"/>
        <w:spacing w:line="300" w:lineRule="auto"/>
        <w:rPr>
          <w:rFonts w:hint="eastAsia" w:ascii="宋体" w:hAnsi="宋体"/>
          <w:color w:val="000000"/>
          <w:sz w:val="21"/>
          <w:szCs w:val="21"/>
        </w:rPr>
      </w:pPr>
      <w:r>
        <w:rPr>
          <w:rFonts w:hint="eastAsia" w:ascii="宋体" w:hAnsi="宋体"/>
          <w:color w:val="000000"/>
          <w:sz w:val="21"/>
          <w:szCs w:val="21"/>
        </w:rPr>
        <w:t>或者“无偏离”。既不属于“正偏离”也不属于“负偏离”即为“无偏离”。</w:t>
      </w:r>
    </w:p>
    <w:p w14:paraId="6D6A63C0">
      <w:pPr>
        <w:spacing w:line="360" w:lineRule="auto"/>
        <w:rPr>
          <w:rFonts w:ascii="Calibri" w:hAnsi="Calibri" w:eastAsia="宋体" w:cs="Times New Roman"/>
          <w:color w:val="000000"/>
          <w:szCs w:val="21"/>
        </w:rPr>
      </w:pPr>
    </w:p>
    <w:p w14:paraId="781959CF">
      <w:pPr>
        <w:spacing w:line="360" w:lineRule="auto"/>
        <w:rPr>
          <w:rFonts w:ascii="Calibri" w:hAnsi="Calibri" w:eastAsia="宋体" w:cs="Times New Roman"/>
          <w:color w:val="000000"/>
          <w:szCs w:val="21"/>
        </w:rPr>
      </w:pPr>
      <w:r>
        <w:rPr>
          <w:rFonts w:ascii="Calibri" w:hAnsi="Calibri" w:eastAsia="宋体" w:cs="Times New Roman"/>
          <w:color w:val="000000"/>
          <w:szCs w:val="21"/>
        </w:rPr>
        <w:t>供应商名称（公章）：</w:t>
      </w:r>
      <w:r>
        <w:rPr>
          <w:rFonts w:ascii="Calibri" w:hAnsi="Calibri" w:eastAsia="宋体" w:cs="Times New Roman"/>
          <w:color w:val="000000"/>
          <w:szCs w:val="21"/>
          <w:u w:val="single"/>
        </w:rPr>
        <w:t xml:space="preserve">                          </w:t>
      </w:r>
    </w:p>
    <w:p w14:paraId="4339F3B9">
      <w:pPr>
        <w:pStyle w:val="2"/>
      </w:pPr>
      <w:r>
        <w:rPr>
          <w:rFonts w:ascii="Calibri" w:hAnsi="Calibri" w:eastAsia="宋体" w:cs="Times New Roman"/>
          <w:color w:val="000000"/>
          <w:szCs w:val="21"/>
        </w:rPr>
        <w:t>日  期：：</w:t>
      </w:r>
      <w:r>
        <w:rPr>
          <w:rFonts w:ascii="Calibri" w:hAnsi="Calibri" w:eastAsia="宋体" w:cs="Times New Roman"/>
          <w:color w:val="000000"/>
          <w:szCs w:val="21"/>
          <w:u w:val="single"/>
        </w:rPr>
        <w:t xml:space="preserve">         </w:t>
      </w:r>
      <w:r>
        <w:rPr>
          <w:rFonts w:ascii="Calibri" w:hAnsi="Calibri" w:eastAsia="宋体" w:cs="Times New Roman"/>
          <w:color w:val="000000"/>
          <w:szCs w:val="21"/>
        </w:rPr>
        <w:t>年</w:t>
      </w:r>
      <w:r>
        <w:rPr>
          <w:rFonts w:ascii="Calibri" w:hAnsi="Calibri" w:eastAsia="宋体" w:cs="Times New Roman"/>
          <w:color w:val="000000"/>
          <w:szCs w:val="21"/>
          <w:u w:val="single"/>
        </w:rPr>
        <w:t xml:space="preserve">   </w:t>
      </w:r>
      <w:r>
        <w:rPr>
          <w:rFonts w:ascii="Calibri" w:hAnsi="Calibri" w:eastAsia="宋体" w:cs="Times New Roman"/>
          <w:color w:val="000000"/>
          <w:szCs w:val="21"/>
        </w:rPr>
        <w:t>月</w:t>
      </w:r>
      <w:r>
        <w:rPr>
          <w:rFonts w:ascii="Calibri" w:hAnsi="Calibri" w:eastAsia="宋体" w:cs="Times New Roman"/>
          <w:color w:val="000000"/>
          <w:szCs w:val="21"/>
          <w:u w:val="single"/>
        </w:rPr>
        <w:t xml:space="preserve">   </w:t>
      </w:r>
      <w:r>
        <w:rPr>
          <w:rFonts w:ascii="Calibri" w:hAnsi="Calibri" w:eastAsia="宋体" w:cs="Times New Roman"/>
          <w:color w:val="000000"/>
          <w:szCs w:val="21"/>
        </w:rPr>
        <w:t xml:space="preserve">日 </w:t>
      </w:r>
    </w:p>
    <w:p w14:paraId="743BBAAF">
      <w:pPr>
        <w:pStyle w:val="2"/>
      </w:pPr>
    </w:p>
    <w:p w14:paraId="4738F785">
      <w:pPr>
        <w:pStyle w:val="2"/>
      </w:pPr>
    </w:p>
    <w:p w14:paraId="2632445F">
      <w:pPr>
        <w:pStyle w:val="2"/>
      </w:pPr>
    </w:p>
    <w:p w14:paraId="5A82535A">
      <w:pPr>
        <w:pStyle w:val="2"/>
      </w:pPr>
    </w:p>
    <w:p w14:paraId="1C9A848B">
      <w:pPr>
        <w:pStyle w:val="2"/>
      </w:pPr>
    </w:p>
    <w:p w14:paraId="3EF94ADA"/>
    <w:p w14:paraId="03F00C03"/>
    <w:p w14:paraId="39E599AE"/>
    <w:p w14:paraId="38B6E3DA"/>
    <w:p w14:paraId="4FE35C96"/>
    <w:p w14:paraId="6D19DB2A"/>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09DE7"/>
    <w:multiLevelType w:val="singleLevel"/>
    <w:tmpl w:val="39909DE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MTY1N2VlNDdjMjMxODhjYzVmZTkyYzgyNjdhZjkifQ=="/>
  </w:docVars>
  <w:rsids>
    <w:rsidRoot w:val="00000000"/>
    <w:rsid w:val="025559BF"/>
    <w:rsid w:val="143A26C7"/>
    <w:rsid w:val="2171283E"/>
    <w:rsid w:val="338A3A41"/>
    <w:rsid w:val="4612154B"/>
    <w:rsid w:val="473A4323"/>
    <w:rsid w:val="48D22AF6"/>
    <w:rsid w:val="4A3D4455"/>
    <w:rsid w:val="59E229E0"/>
    <w:rsid w:val="5A205F8B"/>
    <w:rsid w:val="61317600"/>
    <w:rsid w:val="66B0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Plain Text"/>
    <w:qFormat/>
    <w:uiPriority w:val="0"/>
    <w:pPr>
      <w:widowControl w:val="0"/>
      <w:jc w:val="both"/>
    </w:pPr>
    <w:rPr>
      <w:rFonts w:ascii="宋体" w:hAnsi="Courier New" w:eastAsia="宋体" w:cs="Times New Roman"/>
      <w:kern w:val="0"/>
      <w:sz w:val="20"/>
      <w:szCs w:val="21"/>
      <w:lang w:val="en-US" w:eastAsia="zh-CN" w:bidi="ar-SA"/>
    </w:rPr>
  </w:style>
  <w:style w:type="character" w:customStyle="1" w:styleId="7">
    <w:name w:val="font31"/>
    <w:basedOn w:val="6"/>
    <w:qFormat/>
    <w:uiPriority w:val="0"/>
    <w:rPr>
      <w:rFonts w:hint="eastAsia" w:ascii="微软雅黑" w:hAnsi="微软雅黑" w:eastAsia="微软雅黑" w:cs="微软雅黑"/>
      <w:color w:val="000000"/>
      <w:sz w:val="20"/>
      <w:szCs w:val="20"/>
      <w:u w:val="none"/>
    </w:rPr>
  </w:style>
  <w:style w:type="character" w:customStyle="1" w:styleId="8">
    <w:name w:val="font51"/>
    <w:basedOn w:val="6"/>
    <w:qFormat/>
    <w:uiPriority w:val="0"/>
    <w:rPr>
      <w:rFonts w:hint="eastAsia" w:ascii="宋体" w:hAnsi="宋体" w:eastAsia="宋体" w:cs="宋体"/>
      <w:color w:val="000000"/>
      <w:sz w:val="20"/>
      <w:szCs w:val="20"/>
      <w:u w:val="none"/>
    </w:rPr>
  </w:style>
  <w:style w:type="paragraph" w:customStyle="1" w:styleId="9">
    <w:name w:val="正文1"/>
    <w:qFormat/>
    <w:uiPriority w:val="0"/>
    <w:pPr>
      <w:widowControl w:val="0"/>
      <w:spacing w:line="360" w:lineRule="auto"/>
      <w:ind w:firstLine="480" w:firstLineChars="20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14247</Words>
  <Characters>16214</Characters>
  <Lines>0</Lines>
  <Paragraphs>0</Paragraphs>
  <TotalTime>0</TotalTime>
  <ScaleCrop>false</ScaleCrop>
  <LinksUpToDate>false</LinksUpToDate>
  <CharactersWithSpaces>16751</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2024-09-27T09:21:00Z</dcterms:created>
  <dc:creator>Administrator</dc:creator>
  <cp:lastModifiedBy>user</cp:lastModifiedBy>
  <dcterms:modified xsi:type="dcterms:W3CDTF">2024-11-15T03:34:46Z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BFE5FCF03A8D46F49863AA2ADDC5349E_13</vt:lpwstr>
  </property>
</Properties>
</file>