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62EA6">
      <w:pPr>
        <w:widowControl/>
        <w:spacing w:line="500" w:lineRule="exact"/>
        <w:jc w:val="center"/>
        <w:rPr>
          <w:rFonts w:ascii="黑体" w:hAnsi="黑体" w:eastAsia="黑体"/>
          <w:b/>
          <w:bCs/>
          <w:sz w:val="44"/>
          <w:szCs w:val="44"/>
        </w:rPr>
      </w:pPr>
      <w:r>
        <w:rPr>
          <w:rFonts w:hint="eastAsia" w:ascii="黑体" w:hAnsi="黑体" w:eastAsia="黑体"/>
          <w:b/>
          <w:bCs/>
          <w:sz w:val="44"/>
          <w:szCs w:val="44"/>
        </w:rPr>
        <w:t>广西制造工程职业技术学院</w:t>
      </w:r>
    </w:p>
    <w:p w14:paraId="19E88CC5">
      <w:pPr>
        <w:widowControl/>
        <w:spacing w:line="500" w:lineRule="exact"/>
        <w:jc w:val="center"/>
        <w:rPr>
          <w:rFonts w:hint="eastAsia" w:ascii="黑体" w:hAnsi="黑体" w:eastAsia="黑体"/>
          <w:b/>
          <w:bCs/>
          <w:sz w:val="44"/>
          <w:szCs w:val="44"/>
        </w:rPr>
      </w:pPr>
      <w:r>
        <w:rPr>
          <w:rFonts w:hint="eastAsia" w:ascii="黑体" w:hAnsi="黑体" w:eastAsia="黑体"/>
          <w:b/>
          <w:bCs/>
          <w:sz w:val="44"/>
          <w:szCs w:val="44"/>
        </w:rPr>
        <w:t>正版</w:t>
      </w:r>
      <w:r>
        <w:rPr>
          <w:rFonts w:hint="eastAsia" w:ascii="黑体" w:hAnsi="黑体" w:eastAsia="黑体"/>
          <w:b/>
          <w:bCs/>
          <w:sz w:val="44"/>
          <w:szCs w:val="44"/>
          <w:lang w:val="en-US" w:eastAsia="zh-CN"/>
        </w:rPr>
        <w:t>办公</w:t>
      </w:r>
      <w:r>
        <w:rPr>
          <w:rFonts w:hint="eastAsia" w:ascii="黑体" w:hAnsi="黑体" w:eastAsia="黑体"/>
          <w:b/>
          <w:bCs/>
          <w:sz w:val="44"/>
          <w:szCs w:val="44"/>
        </w:rPr>
        <w:t>软件采购需求表</w:t>
      </w:r>
    </w:p>
    <w:tbl>
      <w:tblPr>
        <w:tblStyle w:val="2"/>
        <w:tblW w:w="9849" w:type="dxa"/>
        <w:jc w:val="center"/>
        <w:tblLayout w:type="fixed"/>
        <w:tblCellMar>
          <w:top w:w="0" w:type="dxa"/>
          <w:left w:w="0" w:type="dxa"/>
          <w:bottom w:w="0" w:type="dxa"/>
          <w:right w:w="0" w:type="dxa"/>
        </w:tblCellMar>
      </w:tblPr>
      <w:tblGrid>
        <w:gridCol w:w="500"/>
        <w:gridCol w:w="1075"/>
        <w:gridCol w:w="4008"/>
        <w:gridCol w:w="3033"/>
        <w:gridCol w:w="600"/>
        <w:gridCol w:w="633"/>
      </w:tblGrid>
      <w:tr w14:paraId="1982A41C">
        <w:tblPrEx>
          <w:tblCellMar>
            <w:top w:w="0" w:type="dxa"/>
            <w:left w:w="0" w:type="dxa"/>
            <w:bottom w:w="0" w:type="dxa"/>
            <w:right w:w="0" w:type="dxa"/>
          </w:tblCellMar>
        </w:tblPrEx>
        <w:trPr>
          <w:trHeight w:val="550" w:hRule="atLeast"/>
          <w:jc w:val="center"/>
        </w:trPr>
        <w:tc>
          <w:tcPr>
            <w:tcW w:w="9849" w:type="dxa"/>
            <w:gridSpan w:val="6"/>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BF9E906">
            <w:pPr>
              <w:widowControl/>
              <w:spacing w:line="240" w:lineRule="auto"/>
              <w:ind w:firstLine="0" w:firstLineChars="0"/>
              <w:jc w:val="left"/>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一、技术需求</w:t>
            </w:r>
          </w:p>
        </w:tc>
      </w:tr>
      <w:tr w14:paraId="3BD45198">
        <w:tblPrEx>
          <w:tblCellMar>
            <w:top w:w="0" w:type="dxa"/>
            <w:left w:w="0" w:type="dxa"/>
            <w:bottom w:w="0" w:type="dxa"/>
            <w:right w:w="0" w:type="dxa"/>
          </w:tblCellMar>
        </w:tblPrEx>
        <w:trPr>
          <w:trHeight w:val="636" w:hRule="atLeast"/>
          <w:jc w:val="center"/>
        </w:trPr>
        <w:tc>
          <w:tcPr>
            <w:tcW w:w="50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369A9BE">
            <w:pPr>
              <w:spacing w:line="380" w:lineRule="exact"/>
              <w:ind w:firstLine="0" w:firstLineChars="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序号</w:t>
            </w:r>
          </w:p>
        </w:tc>
        <w:tc>
          <w:tcPr>
            <w:tcW w:w="107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22CFE28">
            <w:pPr>
              <w:snapToGrid w:val="0"/>
              <w:spacing w:line="380" w:lineRule="exact"/>
              <w:ind w:firstLine="0" w:firstLineChars="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采购内容</w:t>
            </w:r>
          </w:p>
        </w:tc>
        <w:tc>
          <w:tcPr>
            <w:tcW w:w="7041"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9056D06">
            <w:pPr>
              <w:spacing w:line="380" w:lineRule="exact"/>
              <w:ind w:firstLine="0" w:firstLineChars="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技术要求</w:t>
            </w:r>
          </w:p>
        </w:tc>
        <w:tc>
          <w:tcPr>
            <w:tcW w:w="600" w:type="dxa"/>
            <w:tcBorders>
              <w:top w:val="single" w:color="auto" w:sz="4" w:space="0"/>
              <w:left w:val="nil"/>
              <w:bottom w:val="single" w:color="auto" w:sz="4" w:space="0"/>
              <w:right w:val="single" w:color="auto" w:sz="4" w:space="0"/>
            </w:tcBorders>
            <w:vAlign w:val="center"/>
          </w:tcPr>
          <w:p w14:paraId="6445156B">
            <w:pPr>
              <w:spacing w:line="380" w:lineRule="exact"/>
              <w:ind w:firstLine="0" w:firstLineChars="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单位</w:t>
            </w:r>
          </w:p>
        </w:tc>
        <w:tc>
          <w:tcPr>
            <w:tcW w:w="633" w:type="dxa"/>
            <w:tcBorders>
              <w:top w:val="single" w:color="auto" w:sz="4" w:space="0"/>
              <w:left w:val="nil"/>
              <w:bottom w:val="single" w:color="auto" w:sz="4" w:space="0"/>
              <w:right w:val="single" w:color="auto" w:sz="4" w:space="0"/>
            </w:tcBorders>
            <w:vAlign w:val="center"/>
          </w:tcPr>
          <w:p w14:paraId="0214815D">
            <w:pPr>
              <w:spacing w:line="380" w:lineRule="exact"/>
              <w:ind w:firstLine="0" w:firstLineChars="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数量</w:t>
            </w:r>
          </w:p>
        </w:tc>
      </w:tr>
      <w:tr w14:paraId="5E5C5A4F">
        <w:tblPrEx>
          <w:tblCellMar>
            <w:top w:w="0" w:type="dxa"/>
            <w:left w:w="0" w:type="dxa"/>
            <w:bottom w:w="0" w:type="dxa"/>
            <w:right w:w="0" w:type="dxa"/>
          </w:tblCellMar>
        </w:tblPrEx>
        <w:trPr>
          <w:trHeight w:val="567" w:hRule="atLeast"/>
          <w:jc w:val="center"/>
        </w:trPr>
        <w:tc>
          <w:tcPr>
            <w:tcW w:w="50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E44F377">
            <w:pPr>
              <w:tabs>
                <w:tab w:val="left" w:pos="-728"/>
              </w:tabs>
              <w:spacing w:line="360" w:lineRule="exact"/>
              <w:ind w:firstLine="0" w:firstLineChars="0"/>
              <w:jc w:val="center"/>
              <w:rPr>
                <w:rFonts w:ascii="Times New Roman" w:hAnsi="Times New Roman" w:eastAsia="宋体" w:cs="Times New Roman"/>
                <w:color w:val="000000"/>
                <w:sz w:val="21"/>
                <w:szCs w:val="21"/>
              </w:rPr>
            </w:pPr>
            <w:r>
              <w:rPr>
                <w:rFonts w:hint="eastAsia" w:ascii="宋体"/>
                <w:szCs w:val="21"/>
              </w:rPr>
              <w:t>1</w:t>
            </w:r>
          </w:p>
        </w:tc>
        <w:tc>
          <w:tcPr>
            <w:tcW w:w="107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8CAD61F">
            <w:pPr>
              <w:widowControl/>
              <w:spacing w:line="360" w:lineRule="exact"/>
              <w:ind w:firstLine="0" w:firstLineChars="0"/>
              <w:jc w:val="center"/>
              <w:textAlignment w:val="center"/>
              <w:rPr>
                <w:rFonts w:ascii="仿宋_GB2312" w:hAnsi="Times New Roman" w:eastAsia="仿宋_GB2312" w:cs="Times New Roman"/>
                <w:color w:val="000000"/>
                <w:sz w:val="21"/>
                <w:szCs w:val="21"/>
              </w:rPr>
            </w:pPr>
            <w:r>
              <w:rPr>
                <w:rFonts w:hint="eastAsia" w:ascii="Times New Roman" w:hAnsi="Times New Roman" w:eastAsia="宋体" w:cs="Times New Roman"/>
                <w:color w:val="000000"/>
                <w:sz w:val="21"/>
                <w:szCs w:val="21"/>
              </w:rPr>
              <w:t>正版化场地授权服务</w:t>
            </w:r>
          </w:p>
        </w:tc>
        <w:tc>
          <w:tcPr>
            <w:tcW w:w="7041"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C158E49">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一、总体要求：</w:t>
            </w:r>
          </w:p>
          <w:p w14:paraId="45D777EE">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1、提供Windows操作系统系列产品、Office pro plus办公软件系列产品、Windows Server服务器操作系统系列产品、SQL Server系列产品的正版化授权服务。</w:t>
            </w:r>
          </w:p>
          <w:p w14:paraId="6BAD3545">
            <w:pPr>
              <w:widowControl/>
              <w:spacing w:line="360" w:lineRule="exact"/>
              <w:ind w:firstLine="0" w:firstLineChars="0"/>
              <w:jc w:val="left"/>
              <w:textAlignment w:val="center"/>
              <w:rPr>
                <w:rFonts w:ascii="Times New Roman" w:hAnsi="Times New Roman" w:eastAsia="宋体" w:cs="Times New Roman"/>
                <w:color w:val="auto"/>
                <w:sz w:val="21"/>
                <w:szCs w:val="21"/>
              </w:rPr>
            </w:pPr>
            <w:r>
              <w:rPr>
                <w:rFonts w:ascii="Times New Roman" w:hAnsi="Times New Roman" w:eastAsia="宋体" w:cs="Times New Roman"/>
                <w:color w:val="000000"/>
                <w:sz w:val="21"/>
                <w:szCs w:val="21"/>
              </w:rPr>
              <w:t>2、</w:t>
            </w:r>
            <w:r>
              <w:rPr>
                <w:rFonts w:hint="eastAsia" w:cs="Times New Roman"/>
                <w:b/>
                <w:bCs/>
                <w:color w:val="000000"/>
                <w:sz w:val="21"/>
                <w:szCs w:val="21"/>
                <w:highlight w:val="none"/>
                <w:lang w:val="en-US" w:eastAsia="zh-CN"/>
              </w:rPr>
              <w:t>竞价时</w:t>
            </w:r>
            <w:r>
              <w:rPr>
                <w:rFonts w:hint="eastAsia" w:ascii="Times New Roman" w:hAnsi="Times New Roman" w:eastAsia="宋体" w:cs="Times New Roman"/>
                <w:b/>
                <w:bCs/>
                <w:color w:val="auto"/>
                <w:sz w:val="21"/>
                <w:szCs w:val="21"/>
                <w:highlight w:val="none"/>
              </w:rPr>
              <w:t>供应商</w:t>
            </w:r>
            <w:r>
              <w:rPr>
                <w:rFonts w:hint="eastAsia" w:cs="Times New Roman"/>
                <w:b/>
                <w:bCs/>
                <w:color w:val="auto"/>
                <w:sz w:val="21"/>
                <w:szCs w:val="21"/>
                <w:highlight w:val="none"/>
                <w:lang w:val="en-US" w:eastAsia="zh-CN"/>
              </w:rPr>
              <w:t>须</w:t>
            </w:r>
            <w:r>
              <w:rPr>
                <w:rFonts w:hint="eastAsia" w:ascii="Times New Roman" w:hAnsi="Times New Roman" w:eastAsia="宋体" w:cs="Times New Roman"/>
                <w:b/>
                <w:bCs/>
                <w:color w:val="auto"/>
                <w:sz w:val="21"/>
                <w:szCs w:val="21"/>
                <w:highlight w:val="none"/>
              </w:rPr>
              <w:t>提供正版授权服务承诺函，并加盖公章。</w:t>
            </w:r>
          </w:p>
          <w:p w14:paraId="78DED0C0">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二、产品授权服务版本要求：</w:t>
            </w:r>
          </w:p>
          <w:p w14:paraId="56C8CE96">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1.Windows pro正版授权服务：</w:t>
            </w:r>
          </w:p>
          <w:p w14:paraId="421FF1A9">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Windows11 pro；</w:t>
            </w:r>
          </w:p>
          <w:p w14:paraId="658CE035">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Windows10 pro；</w:t>
            </w:r>
          </w:p>
          <w:p w14:paraId="59071AE1">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Windows8 pro；</w:t>
            </w:r>
          </w:p>
          <w:p w14:paraId="5269C1F1">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2.Office pro plus正版授权服务：</w:t>
            </w:r>
          </w:p>
          <w:p w14:paraId="25015BC3">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Office2021 pro plus；</w:t>
            </w:r>
          </w:p>
          <w:p w14:paraId="55871C35">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Office2019 pro plus；</w:t>
            </w:r>
          </w:p>
          <w:p w14:paraId="179D8487">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Office2016 pro plus。</w:t>
            </w:r>
          </w:p>
          <w:p w14:paraId="0C7ECD9F">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3.Windows Server正版授权服务：</w:t>
            </w:r>
          </w:p>
          <w:p w14:paraId="189CFB03">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Windows Server 2022；</w:t>
            </w:r>
          </w:p>
          <w:p w14:paraId="48EC0E8D">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Windows Server 2019；</w:t>
            </w:r>
          </w:p>
          <w:p w14:paraId="413EE487">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Windows Server 2016。</w:t>
            </w:r>
          </w:p>
          <w:p w14:paraId="000FE33D">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4、SQL Server正版授权服务：</w:t>
            </w:r>
          </w:p>
          <w:p w14:paraId="222350B8">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SQL Server 2022；</w:t>
            </w:r>
          </w:p>
          <w:p w14:paraId="0B1862CE">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SQL Server 2019；</w:t>
            </w:r>
          </w:p>
          <w:p w14:paraId="6CDC2CF4">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SQL Server 2016；</w:t>
            </w:r>
          </w:p>
          <w:p w14:paraId="689CE51C">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三、授权及运维服务内容要求：</w:t>
            </w:r>
          </w:p>
          <w:p w14:paraId="5A99796F">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1、涵盖范围：全校注册教工数及学校资产所属电脑</w:t>
            </w:r>
            <w:r>
              <w:rPr>
                <w:rFonts w:hint="eastAsia" w:ascii="Times New Roman" w:hAnsi="Times New Roman" w:eastAsia="宋体" w:cs="Times New Roman"/>
                <w:color w:val="000000"/>
                <w:sz w:val="21"/>
                <w:szCs w:val="21"/>
              </w:rPr>
              <w:t>≥</w:t>
            </w:r>
            <w:r>
              <w:rPr>
                <w:rFonts w:ascii="Times New Roman" w:hAnsi="Times New Roman" w:eastAsia="宋体" w:cs="Times New Roman"/>
                <w:color w:val="000000"/>
                <w:sz w:val="21"/>
                <w:szCs w:val="21"/>
              </w:rPr>
              <w:t>8000</w:t>
            </w:r>
            <w:r>
              <w:rPr>
                <w:rFonts w:hint="eastAsia" w:ascii="Times New Roman" w:hAnsi="Times New Roman" w:eastAsia="宋体" w:cs="Times New Roman"/>
                <w:color w:val="000000"/>
                <w:sz w:val="21"/>
                <w:szCs w:val="21"/>
              </w:rPr>
              <w:t>套</w:t>
            </w:r>
            <w:r>
              <w:rPr>
                <w:rFonts w:ascii="Times New Roman" w:hAnsi="Times New Roman" w:eastAsia="宋体" w:cs="Times New Roman"/>
                <w:color w:val="000000"/>
                <w:sz w:val="21"/>
                <w:szCs w:val="21"/>
              </w:rPr>
              <w:t>（满足校内师生员工电脑及办公室、多媒体教室、实验室和图书馆，学校数据中心机房等场所的固定资产计算机，包括笔记本电脑）；</w:t>
            </w:r>
          </w:p>
          <w:p w14:paraId="09ABB763">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2、软件系列包含：Windows/Office/Windows Server/SQL Server；</w:t>
            </w:r>
          </w:p>
          <w:p w14:paraId="1E54F580">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3、项目中所提供产品必须为原厂正版授权；</w:t>
            </w:r>
          </w:p>
          <w:p w14:paraId="76AC3E4A">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4、项目所提供产品需匹配原厂对应产品标准功能，实现自由灵活的升降级；</w:t>
            </w:r>
          </w:p>
          <w:p w14:paraId="6DAEB7FC">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5、本次项目中的服务包括根节点服务器安装调试、正版化授权技术指导、产品激活技术支持、问题处理、电话远程支持；</w:t>
            </w:r>
          </w:p>
          <w:p w14:paraId="25D3CE12">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6、合约有效期间，采购方所有新增计算机不再加收任何费用。</w:t>
            </w:r>
          </w:p>
          <w:p w14:paraId="5BC17A4A">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四、管理及服务工作要求：</w:t>
            </w:r>
          </w:p>
          <w:p w14:paraId="5CAB994D">
            <w:pPr>
              <w:widowControl/>
              <w:spacing w:line="360" w:lineRule="exact"/>
              <w:ind w:firstLine="0" w:firstLineChars="0"/>
              <w:jc w:val="left"/>
              <w:textAlignment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rPr>
              <w:t>1、</w:t>
            </w:r>
            <w:r>
              <w:rPr>
                <w:rFonts w:ascii="Times New Roman" w:hAnsi="Times New Roman" w:eastAsia="宋体" w:cs="Times New Roman"/>
                <w:color w:val="000000"/>
                <w:sz w:val="21"/>
                <w:szCs w:val="21"/>
                <w:highlight w:val="none"/>
              </w:rPr>
              <w:t>在服务期间为</w:t>
            </w:r>
            <w:r>
              <w:rPr>
                <w:rFonts w:hint="eastAsia" w:cs="Times New Roman"/>
                <w:color w:val="000000"/>
                <w:sz w:val="21"/>
                <w:szCs w:val="21"/>
                <w:highlight w:val="none"/>
                <w:lang w:val="en-US" w:eastAsia="zh-CN"/>
              </w:rPr>
              <w:t>采购人</w:t>
            </w:r>
            <w:r>
              <w:rPr>
                <w:rFonts w:ascii="Times New Roman" w:hAnsi="Times New Roman" w:eastAsia="宋体" w:cs="Times New Roman"/>
                <w:color w:val="000000"/>
                <w:sz w:val="21"/>
                <w:szCs w:val="21"/>
                <w:highlight w:val="none"/>
              </w:rPr>
              <w:t>根据《正版软件管理工作指南》(国版办发</w:t>
            </w:r>
            <w:r>
              <w:rPr>
                <w:rFonts w:hint="eastAsia" w:ascii="仿宋" w:hAnsi="仿宋" w:eastAsia="仿宋" w:cs="Times New Roman"/>
                <w:color w:val="000000"/>
                <w:sz w:val="21"/>
                <w:szCs w:val="21"/>
                <w:highlight w:val="none"/>
              </w:rPr>
              <w:t>﹝</w:t>
            </w:r>
            <w:r>
              <w:rPr>
                <w:rFonts w:ascii="Times New Roman" w:hAnsi="Times New Roman" w:eastAsia="宋体" w:cs="Times New Roman"/>
                <w:color w:val="000000"/>
                <w:sz w:val="21"/>
                <w:szCs w:val="21"/>
                <w:highlight w:val="none"/>
              </w:rPr>
              <w:t>2016</w:t>
            </w:r>
            <w:r>
              <w:rPr>
                <w:rFonts w:hint="eastAsia" w:ascii="仿宋" w:hAnsi="仿宋" w:eastAsia="仿宋" w:cs="Times New Roman"/>
                <w:color w:val="000000"/>
                <w:sz w:val="21"/>
                <w:szCs w:val="21"/>
                <w:highlight w:val="none"/>
              </w:rPr>
              <w:t>﹞</w:t>
            </w:r>
            <w:r>
              <w:rPr>
                <w:rFonts w:ascii="Times New Roman" w:hAnsi="Times New Roman" w:eastAsia="宋体" w:cs="Times New Roman"/>
                <w:color w:val="000000"/>
                <w:sz w:val="21"/>
                <w:szCs w:val="21"/>
                <w:highlight w:val="none"/>
              </w:rPr>
              <w:t>13号)做好软件授权使用管理，包含网络正版化巡检等工作。协助</w:t>
            </w:r>
            <w:r>
              <w:rPr>
                <w:rFonts w:hint="eastAsia" w:cs="Times New Roman"/>
                <w:color w:val="000000"/>
                <w:sz w:val="21"/>
                <w:szCs w:val="21"/>
                <w:highlight w:val="none"/>
                <w:lang w:val="en-US" w:eastAsia="zh-CN"/>
              </w:rPr>
              <w:t>采购人</w:t>
            </w:r>
            <w:r>
              <w:rPr>
                <w:rFonts w:ascii="Times New Roman" w:hAnsi="Times New Roman" w:eastAsia="宋体" w:cs="Times New Roman"/>
                <w:color w:val="000000"/>
                <w:sz w:val="21"/>
                <w:szCs w:val="21"/>
                <w:highlight w:val="none"/>
              </w:rPr>
              <w:t>做好日常管理、软件升级、正版化服务维护等工作。</w:t>
            </w:r>
          </w:p>
          <w:p w14:paraId="3E46B494">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2、协助用户做好日常正版化软件的安装指导工作、提供技术咨询和管理、培训服务。</w:t>
            </w:r>
          </w:p>
          <w:p w14:paraId="478F60EE">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3、由采购方提供一台接入根节点的服务器（服务器建议硬件配置：CPU：≥8核，2.2GHZ，16G以上内存，1T以上硬盘）。服务器专门用于校园正版化激活平台，不做其他用，安装操作系统Windows Server 2016/2019标准版。</w:t>
            </w:r>
          </w:p>
        </w:tc>
        <w:tc>
          <w:tcPr>
            <w:tcW w:w="600" w:type="dxa"/>
            <w:tcBorders>
              <w:top w:val="single" w:color="auto" w:sz="4" w:space="0"/>
              <w:left w:val="nil"/>
              <w:bottom w:val="single" w:color="auto" w:sz="4" w:space="0"/>
              <w:right w:val="single" w:color="auto" w:sz="4" w:space="0"/>
            </w:tcBorders>
            <w:vAlign w:val="center"/>
          </w:tcPr>
          <w:p w14:paraId="7D0AEBB4">
            <w:pPr>
              <w:widowControl/>
              <w:spacing w:line="360" w:lineRule="exact"/>
              <w:ind w:firstLine="0" w:firstLineChars="0"/>
              <w:jc w:val="center"/>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633" w:type="dxa"/>
            <w:tcBorders>
              <w:top w:val="single" w:color="auto" w:sz="4" w:space="0"/>
              <w:left w:val="nil"/>
              <w:bottom w:val="single" w:color="auto" w:sz="4" w:space="0"/>
              <w:right w:val="single" w:color="auto" w:sz="4" w:space="0"/>
            </w:tcBorders>
            <w:vAlign w:val="center"/>
          </w:tcPr>
          <w:p w14:paraId="5AB86F36">
            <w:pPr>
              <w:widowControl/>
              <w:spacing w:line="360" w:lineRule="exact"/>
              <w:ind w:firstLine="0" w:firstLineChars="0"/>
              <w:jc w:val="center"/>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年</w:t>
            </w:r>
          </w:p>
        </w:tc>
      </w:tr>
      <w:tr w14:paraId="42A6EB68">
        <w:tblPrEx>
          <w:tblCellMar>
            <w:top w:w="0" w:type="dxa"/>
            <w:left w:w="0" w:type="dxa"/>
            <w:bottom w:w="0" w:type="dxa"/>
            <w:right w:w="0" w:type="dxa"/>
          </w:tblCellMar>
        </w:tblPrEx>
        <w:trPr>
          <w:trHeight w:val="567" w:hRule="atLeast"/>
          <w:jc w:val="center"/>
        </w:trPr>
        <w:tc>
          <w:tcPr>
            <w:tcW w:w="50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C3D190">
            <w:pPr>
              <w:tabs>
                <w:tab w:val="left" w:pos="-728"/>
              </w:tabs>
              <w:spacing w:line="360" w:lineRule="exact"/>
              <w:ind w:firstLine="0" w:firstLineChars="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2</w:t>
            </w:r>
          </w:p>
        </w:tc>
        <w:tc>
          <w:tcPr>
            <w:tcW w:w="107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F7C1F41">
            <w:pPr>
              <w:widowControl/>
              <w:spacing w:line="360" w:lineRule="exact"/>
              <w:ind w:firstLine="0" w:firstLineChars="0"/>
              <w:jc w:val="center"/>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正版软件管理平台</w:t>
            </w:r>
          </w:p>
        </w:tc>
        <w:tc>
          <w:tcPr>
            <w:tcW w:w="7041"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A95609E">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一、总体要求：</w:t>
            </w:r>
          </w:p>
          <w:p w14:paraId="11E79A79">
            <w:pPr>
              <w:widowControl/>
              <w:spacing w:line="360" w:lineRule="exact"/>
              <w:ind w:firstLine="0" w:firstLineChars="0"/>
              <w:jc w:val="left"/>
              <w:textAlignment w:val="center"/>
              <w:rPr>
                <w:rFonts w:ascii="Times New Roman" w:hAnsi="Times New Roman" w:eastAsia="宋体" w:cs="Times New Roman"/>
                <w:color w:val="auto"/>
                <w:sz w:val="21"/>
                <w:szCs w:val="21"/>
              </w:rPr>
            </w:pPr>
            <w:r>
              <w:rPr>
                <w:rFonts w:hint="eastAsia" w:ascii="宋体" w:hAnsi="宋体" w:cs="宋体"/>
                <w:bCs/>
                <w:color w:val="000000" w:themeColor="text1"/>
                <w:szCs w:val="21"/>
                <w14:textFill>
                  <w14:solidFill>
                    <w14:schemeClr w14:val="tx1"/>
                  </w14:solidFill>
                </w14:textFill>
              </w:rPr>
              <w:t>▲</w:t>
            </w:r>
            <w:r>
              <w:rPr>
                <w:rFonts w:ascii="Times New Roman" w:hAnsi="Times New Roman" w:eastAsia="宋体" w:cs="Times New Roman"/>
                <w:color w:val="000000"/>
                <w:sz w:val="21"/>
                <w:szCs w:val="21"/>
              </w:rPr>
              <w:t>1、正版化授权服务期间，为学校提供1套应用软件管理平台的服务，服务期限1年。</w:t>
            </w:r>
            <w:r>
              <w:rPr>
                <w:rFonts w:ascii="Times New Roman" w:hAnsi="Times New Roman" w:eastAsia="宋体" w:cs="Times New Roman"/>
                <w:color w:val="auto"/>
                <w:sz w:val="21"/>
                <w:szCs w:val="21"/>
              </w:rPr>
              <w:t>（</w:t>
            </w:r>
            <w:r>
              <w:rPr>
                <w:rFonts w:hint="eastAsia" w:cs="Times New Roman"/>
                <w:b/>
                <w:bCs/>
                <w:color w:val="auto"/>
                <w:sz w:val="21"/>
                <w:szCs w:val="21"/>
                <w:lang w:val="en-US" w:eastAsia="zh-CN"/>
              </w:rPr>
              <w:t>竞价时</w:t>
            </w:r>
            <w:r>
              <w:rPr>
                <w:rFonts w:hint="eastAsia"/>
                <w:b/>
                <w:bCs/>
                <w:color w:val="auto"/>
                <w:lang w:val="en-US" w:eastAsia="zh-CN"/>
              </w:rPr>
              <w:t>供应商需提供正版授权服务承诺函，并加盖公</w:t>
            </w:r>
            <w:r>
              <w:rPr>
                <w:rFonts w:hint="eastAsia"/>
                <w:b/>
                <w:bCs/>
                <w:color w:val="auto"/>
                <w:highlight w:val="none"/>
                <w:lang w:val="en-US" w:eastAsia="zh-CN"/>
              </w:rPr>
              <w:t>章</w:t>
            </w:r>
            <w:r>
              <w:rPr>
                <w:rFonts w:hint="eastAsia"/>
                <w:color w:val="auto"/>
                <w:highlight w:val="none"/>
                <w:lang w:val="en-US" w:eastAsia="zh-CN"/>
              </w:rPr>
              <w:t>）</w:t>
            </w:r>
          </w:p>
          <w:p w14:paraId="68CC0CDB">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二、功能要求：供应商需提供原厂授权服务承诺函，并加盖公章。</w:t>
            </w:r>
          </w:p>
          <w:p w14:paraId="7873A99A">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1.登录：学校教职工用户通过浏览器访问，输入分配的用户名，密码，进行服务平台登陆。</w:t>
            </w:r>
          </w:p>
          <w:p w14:paraId="74812EB0">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系统门户：提供系统办公门户，通过门户实现审批待办、消息提醒、核心数据展示需求，用户通过门户首页，可以进行流程办理、按类别查看后台发布的正版软件安装包，查看已上架的正版化软件产品介绍、配置要求说明、安装步骤说明等，支持在线下载。</w:t>
            </w:r>
          </w:p>
          <w:p w14:paraId="5251FEE4">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激活管理：教职工激活正版软件授权申请业务模块，包含激活申请、待办审批、经办数据、数据监控4个核心业务模块。（1）激活申请教职工可以通过激活申请模块，实现线上激活正版软件的事项申请，在线进行申请事项填报，选择正版软件类别，需求数量，填报完成后流程自动提交至相关职能部门进行审批。提交的申请，自动生成当前账号提交的申请数据台账库，包含审批中、已完成、不同意状态。激活申请通过之后，系统自动向用户发送激活指南与正版化授权（可以是KEY或license或激活工具）（2）待办审批教职工提交的激活申请流程，自动流转到审</w:t>
            </w:r>
            <w:r>
              <w:rPr>
                <w:rFonts w:hint="eastAsia" w:ascii="Times New Roman" w:hAnsi="Times New Roman" w:eastAsia="宋体" w:cs="Times New Roman"/>
                <w:color w:val="000000"/>
                <w:sz w:val="21"/>
                <w:szCs w:val="21"/>
              </w:rPr>
              <w:t>批者的待办审批模块，支持线上进行流程审批，支持同意、操作，审批人员授权数量许可审批确认，完成审批操作后，系统自动根据许可数量自动发放</w:t>
            </w:r>
            <w:r>
              <w:rPr>
                <w:rFonts w:ascii="Times New Roman" w:hAnsi="Times New Roman" w:eastAsia="宋体" w:cs="Times New Roman"/>
                <w:color w:val="000000"/>
                <w:sz w:val="21"/>
                <w:szCs w:val="21"/>
              </w:rPr>
              <w:t>KEY或license。（3）经办查询当前审批者在待办审批模块完成的审批数据，自动流转至经办查询，作为审批记录查询，审批者只能查看自己审批过的业务流程。（4）激活监控所有业务申请的数据，审批中、已完成、不同意，都会自动归集到监控查询中，作为历史数据查询和数据监控。</w:t>
            </w:r>
          </w:p>
          <w:p w14:paraId="1A39E9E9">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软件管理:（1）类别维护支持软件类别自定义维护，发布软件时可引用。（2）软件发布者通过软件发布模块完成正版软件上传、定义发布类别、定义软件介绍、定义配置说明、定义安装步骤，实现在线软件发布。发布完成后自动生成发布台账，支持发布撤回，撤回重发，发布删除操作。（3）统计分析系统提供丰富的数据查询分析，解决正版软件统计需求；1）软件数量统计：可查看平台内所包含的所有软件总数及软件名称，软件信息、软件类型、上传时间等；2）软件分类统计：可查看平台内所包含的所有软件分类，比如Windows、Office软件等；</w:t>
            </w:r>
          </w:p>
          <w:p w14:paraId="2A35F3A9">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个人中心:（1）申请用户通过申请可查看当前已经申请的流程，查看申请激活的软件名称，激活数量，以及申请状态，确认流程是否通过。激活申请通过之后，系统自动向用户发送激活指南与正版化授权（可以是KEY或license或激活工具）（</w:t>
            </w:r>
            <w:r>
              <w:rPr>
                <w:rFonts w:ascii="Times New Roman" w:hAnsi="Times New Roman" w:eastAsia="宋体" w:cs="Times New Roman"/>
                <w:color w:val="000000"/>
                <w:sz w:val="21"/>
                <w:szCs w:val="21"/>
                <w:highlight w:val="none"/>
              </w:rPr>
              <w:t>2）</w:t>
            </w:r>
            <w:r>
              <w:rPr>
                <w:rFonts w:hint="eastAsia" w:cs="Times New Roman"/>
                <w:color w:val="000000"/>
                <w:sz w:val="21"/>
                <w:szCs w:val="21"/>
                <w:highlight w:val="none"/>
                <w:lang w:val="en-US" w:eastAsia="zh-CN"/>
              </w:rPr>
              <w:t>用户</w:t>
            </w:r>
            <w:r>
              <w:rPr>
                <w:rFonts w:ascii="Times New Roman" w:hAnsi="Times New Roman" w:eastAsia="宋体" w:cs="Times New Roman"/>
                <w:color w:val="000000"/>
                <w:sz w:val="21"/>
                <w:szCs w:val="21"/>
                <w:highlight w:val="none"/>
              </w:rPr>
              <w:t>信息包含</w:t>
            </w:r>
            <w:r>
              <w:rPr>
                <w:rFonts w:ascii="Times New Roman" w:hAnsi="Times New Roman" w:eastAsia="宋体" w:cs="Times New Roman"/>
                <w:color w:val="000000"/>
                <w:sz w:val="21"/>
                <w:szCs w:val="21"/>
              </w:rPr>
              <w:t>审批待办信息、咨询回复信息、审批通过信息。（3）个人设置用户可进行个人信息修改、密码修改。</w:t>
            </w:r>
          </w:p>
          <w:p w14:paraId="4B6D36ED">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系统管理:（1）组织架构管理支持定义部门、岗位，支持新增、删除、修改、查询等操作。（2）角色管理系统管理员对系统的角色的维护，可以对角色信息进行创建、查询、修改、删除操作，系统管理员对角色进行菜单权限分配，数据权限分配，用户必须拥有菜单权限才可以对功能进行使用。（3）菜单管理系统支持自定义菜单管理功能，支持菜单名称重命名、支持新增、删除、修改操作，支持菜单绑定URL进行嵌套页面访问。（4）日志管理系统管理员可通过本模块查看用户在系统中操作的日志信息，用户的日志信息包括模块名、操作类型、用户名、IP、日期</w:t>
            </w:r>
            <w:r>
              <w:rPr>
                <w:rFonts w:hint="eastAsia" w:ascii="Times New Roman" w:hAnsi="Times New Roman" w:eastAsia="宋体" w:cs="Times New Roman"/>
                <w:color w:val="000000"/>
                <w:sz w:val="21"/>
                <w:szCs w:val="21"/>
              </w:rPr>
              <w:t>等信息。（</w:t>
            </w:r>
            <w:r>
              <w:rPr>
                <w:rFonts w:ascii="Times New Roman" w:hAnsi="Times New Roman" w:eastAsia="宋体" w:cs="Times New Roman"/>
                <w:color w:val="000000"/>
                <w:sz w:val="21"/>
                <w:szCs w:val="21"/>
              </w:rPr>
              <w:t>5）数据字典管理支持管理员进行自定义类别维护，支持类别新增、删除、修改。</w:t>
            </w:r>
          </w:p>
          <w:p w14:paraId="5B16C783">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三、平台技术服务：提供所有已购买正版化软件安装包更新服务，完成更新软件不得晚于厂家正式发布的</w:t>
            </w:r>
            <w:r>
              <w:rPr>
                <w:rFonts w:ascii="Times New Roman" w:hAnsi="Times New Roman" w:eastAsia="宋体" w:cs="Times New Roman"/>
                <w:color w:val="000000"/>
                <w:sz w:val="21"/>
                <w:szCs w:val="21"/>
              </w:rPr>
              <w:t>5个工作日内。</w:t>
            </w:r>
          </w:p>
          <w:p w14:paraId="73E2E5C1">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hint="eastAsia" w:ascii="宋体" w:hAnsi="宋体" w:cs="宋体"/>
                <w:bCs/>
                <w:color w:val="000000" w:themeColor="text1"/>
                <w:szCs w:val="21"/>
                <w14:textFill>
                  <w14:solidFill>
                    <w14:schemeClr w14:val="tx1"/>
                  </w14:solidFill>
                </w14:textFill>
              </w:rPr>
              <w:t>▲</w:t>
            </w:r>
            <w:r>
              <w:rPr>
                <w:rFonts w:hint="eastAsia" w:ascii="Times New Roman" w:hAnsi="Times New Roman" w:eastAsia="宋体" w:cs="Times New Roman"/>
                <w:color w:val="000000"/>
                <w:sz w:val="21"/>
                <w:szCs w:val="21"/>
              </w:rPr>
              <w:t>四、技术实施要求：要求服务期内提供正版软件管理平台产品现场安装实施调试服务。</w:t>
            </w:r>
          </w:p>
          <w:p w14:paraId="019A8B9D">
            <w:pPr>
              <w:widowControl/>
              <w:spacing w:line="360" w:lineRule="exact"/>
              <w:ind w:firstLine="0" w:firstLineChars="0"/>
              <w:jc w:val="left"/>
              <w:textAlignment w:val="center"/>
              <w:rPr>
                <w:rFonts w:ascii="Times New Roman" w:hAnsi="Times New Roman" w:eastAsia="宋体" w:cs="Times New Roman"/>
                <w:color w:val="000000"/>
                <w:sz w:val="21"/>
                <w:szCs w:val="21"/>
                <w:highlight w:val="none"/>
              </w:rPr>
            </w:pPr>
            <w:r>
              <w:rPr>
                <w:rFonts w:ascii="Times New Roman" w:hAnsi="Times New Roman" w:eastAsia="宋体" w:cs="Times New Roman"/>
                <w:color w:val="000000"/>
                <w:sz w:val="21"/>
                <w:szCs w:val="21"/>
              </w:rPr>
              <w:t>1.在服务期间根据《正版软件管理工作指南》(国版办发</w:t>
            </w:r>
            <w:r>
              <w:rPr>
                <w:rFonts w:hint="eastAsia" w:ascii="仿宋" w:hAnsi="仿宋" w:eastAsia="仿宋" w:cs="Times New Roman"/>
                <w:color w:val="000000"/>
                <w:sz w:val="21"/>
                <w:szCs w:val="21"/>
              </w:rPr>
              <w:t>﹝</w:t>
            </w:r>
            <w:r>
              <w:rPr>
                <w:rFonts w:ascii="Times New Roman" w:hAnsi="Times New Roman" w:eastAsia="宋体" w:cs="Times New Roman"/>
                <w:color w:val="000000"/>
                <w:sz w:val="21"/>
                <w:szCs w:val="21"/>
                <w:highlight w:val="none"/>
              </w:rPr>
              <w:t>2016</w:t>
            </w:r>
            <w:r>
              <w:rPr>
                <w:rFonts w:hint="eastAsia" w:ascii="仿宋" w:hAnsi="仿宋" w:eastAsia="仿宋" w:cs="Times New Roman"/>
                <w:color w:val="000000"/>
                <w:sz w:val="21"/>
                <w:szCs w:val="21"/>
                <w:highlight w:val="none"/>
              </w:rPr>
              <w:t>﹞</w:t>
            </w:r>
            <w:r>
              <w:rPr>
                <w:rFonts w:ascii="Times New Roman" w:hAnsi="Times New Roman" w:eastAsia="宋体" w:cs="Times New Roman"/>
                <w:color w:val="000000"/>
                <w:sz w:val="21"/>
                <w:szCs w:val="21"/>
                <w:highlight w:val="none"/>
              </w:rPr>
              <w:t>13号)为学院做好软件授权使用管理，包含网络正版化巡检等工作。协助</w:t>
            </w:r>
            <w:r>
              <w:rPr>
                <w:rFonts w:hint="eastAsia" w:cs="Times New Roman"/>
                <w:color w:val="000000"/>
                <w:sz w:val="21"/>
                <w:szCs w:val="21"/>
                <w:highlight w:val="none"/>
                <w:lang w:val="en-US" w:eastAsia="zh-CN"/>
              </w:rPr>
              <w:t>采购人</w:t>
            </w:r>
            <w:r>
              <w:rPr>
                <w:rFonts w:ascii="Times New Roman" w:hAnsi="Times New Roman" w:eastAsia="宋体" w:cs="Times New Roman"/>
                <w:color w:val="000000"/>
                <w:sz w:val="21"/>
                <w:szCs w:val="21"/>
                <w:highlight w:val="none"/>
              </w:rPr>
              <w:t>做好日常管理、软件升级、正版化服务维护等工作。</w:t>
            </w:r>
          </w:p>
          <w:p w14:paraId="6C3B53C9">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highlight w:val="none"/>
              </w:rPr>
              <w:t>2.提供技术咨询和管理、培训服务。提供正版化台账目管理服务，协助</w:t>
            </w:r>
            <w:r>
              <w:rPr>
                <w:rFonts w:hint="eastAsia" w:cs="Times New Roman"/>
                <w:color w:val="000000"/>
                <w:sz w:val="21"/>
                <w:szCs w:val="21"/>
                <w:highlight w:val="none"/>
                <w:lang w:val="en-US" w:eastAsia="zh-CN"/>
              </w:rPr>
              <w:t>采购人</w:t>
            </w:r>
            <w:r>
              <w:rPr>
                <w:rFonts w:ascii="Times New Roman" w:hAnsi="Times New Roman" w:eastAsia="宋体" w:cs="Times New Roman"/>
                <w:color w:val="000000"/>
                <w:sz w:val="21"/>
                <w:szCs w:val="21"/>
                <w:highlight w:val="none"/>
              </w:rPr>
              <w:t>做好相关的检查工作，以及提供正版软件的安装指导服务。</w:t>
            </w:r>
          </w:p>
        </w:tc>
        <w:tc>
          <w:tcPr>
            <w:tcW w:w="600" w:type="dxa"/>
            <w:tcBorders>
              <w:top w:val="single" w:color="auto" w:sz="4" w:space="0"/>
              <w:left w:val="nil"/>
              <w:bottom w:val="single" w:color="auto" w:sz="4" w:space="0"/>
              <w:right w:val="single" w:color="auto" w:sz="4" w:space="0"/>
            </w:tcBorders>
            <w:vAlign w:val="center"/>
          </w:tcPr>
          <w:p w14:paraId="7300585D">
            <w:pPr>
              <w:widowControl/>
              <w:spacing w:line="360" w:lineRule="exact"/>
              <w:ind w:firstLine="0" w:firstLineChars="0"/>
              <w:jc w:val="center"/>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633" w:type="dxa"/>
            <w:tcBorders>
              <w:top w:val="single" w:color="auto" w:sz="4" w:space="0"/>
              <w:left w:val="nil"/>
              <w:bottom w:val="single" w:color="auto" w:sz="4" w:space="0"/>
              <w:right w:val="single" w:color="auto" w:sz="4" w:space="0"/>
            </w:tcBorders>
            <w:vAlign w:val="center"/>
          </w:tcPr>
          <w:p w14:paraId="400E2ED0">
            <w:pPr>
              <w:widowControl/>
              <w:spacing w:line="360" w:lineRule="exact"/>
              <w:ind w:firstLine="0" w:firstLineChars="0"/>
              <w:jc w:val="center"/>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年</w:t>
            </w:r>
          </w:p>
        </w:tc>
      </w:tr>
      <w:tr w14:paraId="6FADBEFC">
        <w:tblPrEx>
          <w:tblCellMar>
            <w:top w:w="0" w:type="dxa"/>
            <w:left w:w="0" w:type="dxa"/>
            <w:bottom w:w="0" w:type="dxa"/>
            <w:right w:w="0" w:type="dxa"/>
          </w:tblCellMar>
        </w:tblPrEx>
        <w:trPr>
          <w:trHeight w:val="567" w:hRule="atLeast"/>
          <w:jc w:val="center"/>
        </w:trPr>
        <w:tc>
          <w:tcPr>
            <w:tcW w:w="50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2B8A197">
            <w:pPr>
              <w:tabs>
                <w:tab w:val="left" w:pos="-728"/>
              </w:tabs>
              <w:spacing w:line="360" w:lineRule="exact"/>
              <w:ind w:firstLine="0" w:firstLineChars="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3</w:t>
            </w:r>
          </w:p>
        </w:tc>
        <w:tc>
          <w:tcPr>
            <w:tcW w:w="1075"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78C7528">
            <w:pPr>
              <w:ind w:firstLine="0" w:firstLineChars="0"/>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WPS365 教育高级版许可授权服务</w:t>
            </w:r>
          </w:p>
        </w:tc>
        <w:tc>
          <w:tcPr>
            <w:tcW w:w="7041"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21FAE05">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总体要求：</w:t>
            </w:r>
            <w:r>
              <w:rPr>
                <w:rFonts w:ascii="Times New Roman" w:hAnsi="Times New Roman" w:eastAsia="宋体" w:cs="Times New Roman"/>
                <w:color w:val="000000"/>
                <w:sz w:val="21"/>
                <w:szCs w:val="21"/>
              </w:rPr>
              <w:t>WPS365教育高级版的正版化授权服务，所投产品需提供教师账号</w:t>
            </w:r>
            <w:r>
              <w:rPr>
                <w:rFonts w:hint="eastAsia" w:ascii="宋体" w:hAnsi="宋体" w:eastAsia="宋体" w:cs="Times New Roman"/>
                <w:color w:val="000000"/>
                <w:sz w:val="21"/>
                <w:szCs w:val="21"/>
              </w:rPr>
              <w:t>≥</w:t>
            </w:r>
            <w:r>
              <w:rPr>
                <w:rFonts w:hint="eastAsia" w:ascii="Times New Roman" w:hAnsi="Times New Roman" w:eastAsia="宋体" w:cs="Times New Roman"/>
                <w:color w:val="000000"/>
                <w:sz w:val="21"/>
                <w:szCs w:val="21"/>
                <w:lang w:val="en-US" w:eastAsia="zh-CN"/>
              </w:rPr>
              <w:t>25</w:t>
            </w:r>
            <w:r>
              <w:rPr>
                <w:rFonts w:ascii="Times New Roman" w:hAnsi="Times New Roman" w:eastAsia="宋体" w:cs="Times New Roman"/>
                <w:color w:val="000000"/>
                <w:sz w:val="21"/>
                <w:szCs w:val="21"/>
              </w:rPr>
              <w:t>个。</w:t>
            </w:r>
          </w:p>
          <w:p w14:paraId="1F5D0440">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整体基础性能</w:t>
            </w:r>
          </w:p>
          <w:p w14:paraId="57CC34C0">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投标产品提供运行在Windows操作系统上运行的office办公软件产品，包含文字处理、表格计算、幻灯片演示三个组件。</w:t>
            </w:r>
          </w:p>
          <w:p w14:paraId="2AEBE24D">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r>
              <w:rPr>
                <w:rFonts w:ascii="Times New Roman" w:hAnsi="Times New Roman" w:eastAsia="宋体" w:cs="Times New Roman"/>
                <w:color w:val="000000"/>
                <w:sz w:val="21"/>
                <w:szCs w:val="21"/>
              </w:rPr>
              <w:tab/>
            </w:r>
            <w:r>
              <w:rPr>
                <w:rFonts w:hint="eastAsia" w:ascii="宋体" w:hAnsi="宋体" w:cs="宋体"/>
                <w:bCs/>
                <w:color w:val="000000" w:themeColor="text1"/>
                <w:szCs w:val="21"/>
                <w14:textFill>
                  <w14:solidFill>
                    <w14:schemeClr w14:val="tx1"/>
                  </w14:solidFill>
                </w14:textFill>
              </w:rPr>
              <w:t>▲</w:t>
            </w:r>
            <w:r>
              <w:rPr>
                <w:rFonts w:ascii="Times New Roman" w:hAnsi="Times New Roman" w:eastAsia="宋体" w:cs="Times New Roman"/>
                <w:color w:val="000000"/>
                <w:sz w:val="21"/>
                <w:szCs w:val="21"/>
              </w:rPr>
              <w:t>文件格式要求：所投办公软件能生成.doc/.docx/.dot/.wps/.xls/.xlxs/.xlt/.et/.ppt/.pptx/.pps/.dps等文件格式。</w:t>
            </w:r>
          </w:p>
          <w:p w14:paraId="75BC21E4">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文字模块指标</w:t>
            </w:r>
          </w:p>
          <w:p w14:paraId="6471A8AD">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文字模块提供段落布局工具，通过拖动方式直观调整悬挂缩进、段落间距等格式。</w:t>
            </w:r>
          </w:p>
          <w:p w14:paraId="087FE2E8">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文字模块智能目录导航，自动识别文档结构，实时调整文档目录；标题格式不用调整样式，也可智能自动生成目录。</w:t>
            </w:r>
          </w:p>
          <w:p w14:paraId="2BCFDC9C">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表格模块指标</w:t>
            </w:r>
          </w:p>
          <w:p w14:paraId="525A43F1">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表格模块支持在表格中一键插入求和、计数、平均值等常用公式。支持多列数据合并操作。支持单元格数据的循环引用。</w:t>
            </w:r>
          </w:p>
          <w:p w14:paraId="63EAA161">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表格模块支持表格的快速合并选择，支持教师用户一键选择合并居中、合并单元格、合并相同单元格、合并内容、取消合并单元格、拆分并填充内容。演示模块指标</w:t>
            </w:r>
          </w:p>
          <w:p w14:paraId="2D87A49E">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演示模块支持双击幻灯片页启动播放的功能。</w:t>
            </w:r>
          </w:p>
          <w:p w14:paraId="5B932E28">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演示模块，可支持手机移动OFFICE客户端进行控制PC端OFFICE放映的演示文档，实现把手机变成遥控器，便于演讲人能随时切换演示文档。</w:t>
            </w:r>
          </w:p>
          <w:p w14:paraId="2D20387B">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云端存储指标</w:t>
            </w:r>
          </w:p>
          <w:p w14:paraId="26AAE46F">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r>
              <w:rPr>
                <w:rFonts w:ascii="Times New Roman" w:hAnsi="Times New Roman" w:eastAsia="宋体" w:cs="Times New Roman"/>
                <w:color w:val="000000"/>
                <w:sz w:val="21"/>
                <w:szCs w:val="21"/>
              </w:rPr>
              <w:tab/>
            </w:r>
            <w:r>
              <w:rPr>
                <w:rFonts w:hint="eastAsia" w:ascii="宋体" w:hAnsi="宋体" w:cs="宋体"/>
                <w:bCs/>
                <w:color w:val="000000" w:themeColor="text1"/>
                <w:szCs w:val="21"/>
                <w14:textFill>
                  <w14:solidFill>
                    <w14:schemeClr w14:val="tx1"/>
                  </w14:solidFill>
                </w14:textFill>
              </w:rPr>
              <w:t>▲</w:t>
            </w:r>
            <w:r>
              <w:rPr>
                <w:rFonts w:ascii="Times New Roman" w:hAnsi="Times New Roman" w:eastAsia="宋体" w:cs="Times New Roman"/>
                <w:color w:val="000000"/>
                <w:sz w:val="21"/>
                <w:szCs w:val="21"/>
              </w:rPr>
              <w:t>教师云文档空间具备100GB/人的存储容量，还可以根据教师使用情况进行分配。</w:t>
            </w:r>
          </w:p>
          <w:p w14:paraId="5FF24E80">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支持提供公网云存储，可通过账号登录；支持外链分享、支持文档漫游，支持历史版本、全文检索等功能；支持文档实时跟踪与备份恢复；支持提供后台管理功能，文档统一把控。</w:t>
            </w:r>
          </w:p>
          <w:p w14:paraId="3E96D1B1">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支持云文档调用本地office客户端打开，支持office客户端编辑文档内容同步上云。</w:t>
            </w:r>
          </w:p>
          <w:p w14:paraId="15CB333F">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功能应用指标</w:t>
            </w:r>
          </w:p>
          <w:p w14:paraId="686B69D6">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支持PDF版式文件格式互转功能，可与Word、Excel、PPT格式文档相互转换。</w:t>
            </w:r>
          </w:p>
          <w:p w14:paraId="46F6D71B">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支持实时通讯能力，支持编辑在线智能文档格式时基于文档开启组织内成员的会话聊天，支持传统IM工具界面的一对一单聊会话和创建群聊会话；会话支持设置消息免打扰、聊天列表置顶等功能。</w:t>
            </w:r>
          </w:p>
          <w:p w14:paraId="3DB9F374">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提供可以共享协作的日历服务，可以将日历分享给其他人，其他人可以根据分享者配置的编辑、查看、仅查看忙闲权限，对于分享者的日历进行管理和查看。日程可以分享到聊天，选择参与人。</w:t>
            </w:r>
          </w:p>
          <w:p w14:paraId="47B5C218">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支持会议功能，可基于文档发起会议功能，并邀请其他成员参与；支持单独创建会议，通过会议ID或者链接可进行在线会议，可提供云文档共享、屏幕共享多种内容共享方式。</w:t>
            </w:r>
          </w:p>
          <w:p w14:paraId="457049A9">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支持表单功能，可创建基础表单、考试、打卡、接龙等多种常用信息采集表，提供多种常用模板，并且支持链接、二维码、海报、微信、QQ等方式进行邀请填写，后台自动生成Excel表格和填报情况汇总。</w:t>
            </w:r>
          </w:p>
          <w:p w14:paraId="469BC367">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(7)</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功能服务指标</w:t>
            </w:r>
          </w:p>
          <w:p w14:paraId="2F41F5DB">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支持PPT演示文档统一字体功能、智能配色功能、单页美化、智能动画等功能服务。</w:t>
            </w:r>
          </w:p>
          <w:p w14:paraId="4D24D45B">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支持流程图模板、脑图模板，方便教师用户变换样式。</w:t>
            </w:r>
          </w:p>
          <w:p w14:paraId="27E41D18">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后台管理指标</w:t>
            </w:r>
          </w:p>
          <w:p w14:paraId="6A1B2EC2">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提供文档安全管理能力，支持团队文档水印、团队文档加密保护、团队文档分享范围管控的能力。</w:t>
            </w:r>
          </w:p>
          <w:p w14:paraId="58AD55F5">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r>
              <w:rPr>
                <w:rFonts w:ascii="Times New Roman" w:hAnsi="Times New Roman" w:eastAsia="宋体" w:cs="Times New Roman"/>
                <w:color w:val="000000"/>
                <w:sz w:val="21"/>
                <w:szCs w:val="21"/>
              </w:rPr>
              <w:tab/>
            </w:r>
            <w:r>
              <w:rPr>
                <w:rFonts w:ascii="Times New Roman" w:hAnsi="Times New Roman" w:eastAsia="宋体" w:cs="Times New Roman"/>
                <w:color w:val="000000"/>
                <w:sz w:val="21"/>
                <w:szCs w:val="21"/>
              </w:rPr>
              <w:t>支持从AD域同步/钉钉同步/API同步的通讯录同步方式，同步账号信息源调整后可自动同步。</w:t>
            </w:r>
          </w:p>
          <w:p w14:paraId="18A276B0">
            <w:pPr>
              <w:widowControl/>
              <w:spacing w:line="360" w:lineRule="exact"/>
              <w:ind w:firstLine="0" w:firstLineChars="0"/>
              <w:jc w:val="left"/>
              <w:textAlignment w:val="center"/>
              <w:rPr>
                <w:rFonts w:ascii="Times New Roman" w:hAnsi="Times New Roman" w:eastAsia="宋体" w:cs="Times New Roman"/>
                <w:color w:val="000000"/>
                <w:sz w:val="21"/>
                <w:szCs w:val="21"/>
              </w:rPr>
            </w:pPr>
            <w:r>
              <w:rPr>
                <w:rFonts w:hint="eastAsia" w:ascii="宋体" w:hAnsi="宋体" w:cs="宋体"/>
                <w:bCs/>
                <w:color w:val="000000" w:themeColor="text1"/>
                <w:szCs w:val="21"/>
                <w14:textFill>
                  <w14:solidFill>
                    <w14:schemeClr w14:val="tx1"/>
                  </w14:solidFill>
                </w14:textFill>
              </w:rPr>
              <w:t>▲</w:t>
            </w:r>
            <w:r>
              <w:rPr>
                <w:rFonts w:hint="eastAsia" w:ascii="Times New Roman" w:hAnsi="Times New Roman" w:eastAsia="宋体" w:cs="Times New Roman"/>
                <w:color w:val="000000"/>
                <w:sz w:val="21"/>
                <w:szCs w:val="21"/>
              </w:rPr>
              <w:t>角色管理：根据不同的管理能力，创建不同角色，如日志管理员、组织架构管理员等情况，完成分权管理。</w:t>
            </w:r>
          </w:p>
        </w:tc>
        <w:tc>
          <w:tcPr>
            <w:tcW w:w="600" w:type="dxa"/>
            <w:tcBorders>
              <w:top w:val="single" w:color="auto" w:sz="4" w:space="0"/>
              <w:left w:val="nil"/>
              <w:bottom w:val="single" w:color="auto" w:sz="4" w:space="0"/>
              <w:right w:val="single" w:color="auto" w:sz="4" w:space="0"/>
            </w:tcBorders>
            <w:vAlign w:val="center"/>
          </w:tcPr>
          <w:p w14:paraId="7AD88DF2">
            <w:pPr>
              <w:widowControl/>
              <w:spacing w:line="360" w:lineRule="exact"/>
              <w:ind w:firstLine="0" w:firstLineChars="0"/>
              <w:jc w:val="center"/>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1</w:t>
            </w:r>
          </w:p>
        </w:tc>
        <w:tc>
          <w:tcPr>
            <w:tcW w:w="633" w:type="dxa"/>
            <w:tcBorders>
              <w:top w:val="single" w:color="auto" w:sz="4" w:space="0"/>
              <w:left w:val="nil"/>
              <w:bottom w:val="single" w:color="auto" w:sz="4" w:space="0"/>
              <w:right w:val="single" w:color="auto" w:sz="4" w:space="0"/>
            </w:tcBorders>
            <w:vAlign w:val="center"/>
          </w:tcPr>
          <w:p w14:paraId="033DE4E2">
            <w:pPr>
              <w:widowControl/>
              <w:spacing w:line="360" w:lineRule="exact"/>
              <w:ind w:firstLine="0" w:firstLineChars="0"/>
              <w:jc w:val="center"/>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年</w:t>
            </w:r>
          </w:p>
        </w:tc>
      </w:tr>
      <w:tr w14:paraId="24CE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583" w:type="dxa"/>
            <w:gridSpan w:val="3"/>
            <w:tcBorders>
              <w:top w:val="single" w:color="auto" w:sz="4" w:space="0"/>
              <w:left w:val="single" w:color="auto" w:sz="4" w:space="0"/>
              <w:bottom w:val="single" w:color="auto" w:sz="4" w:space="0"/>
              <w:right w:val="single" w:color="auto" w:sz="4" w:space="0"/>
            </w:tcBorders>
          </w:tcPr>
          <w:p w14:paraId="0A64A571">
            <w:pPr>
              <w:ind w:firstLine="0" w:firstLineChars="0"/>
              <w:jc w:val="center"/>
              <w:rPr>
                <w:rFonts w:ascii="Times New Roman" w:hAnsi="Times New Roman" w:cs="Times New Roman"/>
                <w:b/>
                <w:color w:val="000000"/>
                <w:szCs w:val="21"/>
              </w:rPr>
            </w:pPr>
            <w:r>
              <w:rPr>
                <w:rFonts w:ascii="Times New Roman" w:hAnsi="Times New Roman" w:cs="Times New Roman"/>
                <w:b/>
                <w:bCs/>
                <w:sz w:val="24"/>
              </w:rPr>
              <w:t>合  计</w:t>
            </w:r>
          </w:p>
        </w:tc>
        <w:tc>
          <w:tcPr>
            <w:tcW w:w="4266" w:type="dxa"/>
            <w:gridSpan w:val="3"/>
            <w:tcBorders>
              <w:top w:val="single" w:color="auto" w:sz="4" w:space="0"/>
              <w:left w:val="single" w:color="auto" w:sz="4" w:space="0"/>
              <w:bottom w:val="single" w:color="auto" w:sz="4" w:space="0"/>
              <w:right w:val="single" w:color="auto" w:sz="4" w:space="0"/>
            </w:tcBorders>
          </w:tcPr>
          <w:p w14:paraId="5524164E">
            <w:pPr>
              <w:ind w:firstLine="0" w:firstLineChars="0"/>
              <w:jc w:val="center"/>
              <w:rPr>
                <w:rFonts w:ascii="Times New Roman" w:hAnsi="Times New Roman" w:cs="Times New Roman"/>
                <w:b/>
                <w:color w:val="000000"/>
                <w:szCs w:val="21"/>
              </w:rPr>
            </w:pPr>
            <w:r>
              <w:rPr>
                <w:rFonts w:ascii="Times New Roman" w:hAnsi="Times New Roman" w:cs="Times New Roman"/>
                <w:b/>
                <w:bCs/>
                <w:sz w:val="24"/>
                <w:u w:val="single"/>
              </w:rPr>
              <w:t>25</w:t>
            </w:r>
            <w:r>
              <w:rPr>
                <w:rFonts w:hint="eastAsia" w:ascii="Times New Roman" w:hAnsi="Times New Roman" w:cs="Times New Roman"/>
                <w:b/>
                <w:bCs/>
                <w:sz w:val="24"/>
                <w:u w:val="single"/>
                <w:lang w:val="en-US" w:eastAsia="zh-CN"/>
              </w:rPr>
              <w:t>5000</w:t>
            </w:r>
            <w:r>
              <w:rPr>
                <w:rFonts w:hint="eastAsia" w:ascii="Times New Roman" w:hAnsi="Times New Roman" w:cs="Times New Roman"/>
                <w:b/>
                <w:bCs/>
                <w:sz w:val="24"/>
                <w:u w:val="single"/>
              </w:rPr>
              <w:t>.00</w:t>
            </w:r>
            <w:r>
              <w:rPr>
                <w:rFonts w:ascii="Times New Roman" w:hAnsi="Times New Roman" w:cs="Times New Roman"/>
                <w:b/>
                <w:bCs/>
                <w:sz w:val="24"/>
                <w:u w:val="single"/>
              </w:rPr>
              <w:t xml:space="preserve"> </w:t>
            </w:r>
            <w:r>
              <w:rPr>
                <w:rFonts w:ascii="Times New Roman" w:hAnsi="Times New Roman" w:cs="Times New Roman"/>
                <w:b/>
                <w:bCs/>
                <w:sz w:val="24"/>
              </w:rPr>
              <w:t>元</w:t>
            </w:r>
          </w:p>
        </w:tc>
      </w:tr>
      <w:tr w14:paraId="7F74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49" w:type="dxa"/>
            <w:gridSpan w:val="6"/>
            <w:tcBorders>
              <w:top w:val="single" w:color="auto" w:sz="4" w:space="0"/>
              <w:left w:val="single" w:color="auto" w:sz="4" w:space="0"/>
              <w:bottom w:val="single" w:color="auto" w:sz="4" w:space="0"/>
              <w:right w:val="single" w:color="auto" w:sz="4" w:space="0"/>
            </w:tcBorders>
            <w:vAlign w:val="center"/>
          </w:tcPr>
          <w:p w14:paraId="25765B35">
            <w:pPr>
              <w:spacing w:line="360" w:lineRule="exact"/>
              <w:ind w:firstLine="0" w:firstLineChars="0"/>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二、商务</w:t>
            </w:r>
            <w:r>
              <w:rPr>
                <w:rFonts w:ascii="Times New Roman" w:hAnsi="Times New Roman" w:eastAsia="新宋体" w:cs="Times New Roman"/>
                <w:b/>
                <w:color w:val="000000"/>
                <w:sz w:val="21"/>
                <w:szCs w:val="21"/>
              </w:rPr>
              <w:t>要求</w:t>
            </w:r>
          </w:p>
        </w:tc>
      </w:tr>
      <w:tr w14:paraId="7AC0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gridSpan w:val="2"/>
            <w:tcBorders>
              <w:top w:val="single" w:color="auto" w:sz="4" w:space="0"/>
              <w:left w:val="single" w:color="auto" w:sz="4" w:space="0"/>
              <w:bottom w:val="single" w:color="auto" w:sz="4" w:space="0"/>
              <w:right w:val="single" w:color="auto" w:sz="4" w:space="0"/>
            </w:tcBorders>
            <w:vAlign w:val="center"/>
          </w:tcPr>
          <w:p w14:paraId="4887CF15">
            <w:pPr>
              <w:spacing w:line="360" w:lineRule="exact"/>
              <w:ind w:firstLine="0" w:firstLineChars="0"/>
              <w:jc w:val="center"/>
              <w:rPr>
                <w:rFonts w:ascii="Times New Roman" w:hAnsi="Times New Roman" w:eastAsia="新宋体" w:cs="Times New Roman"/>
                <w:color w:val="000000"/>
                <w:sz w:val="21"/>
                <w:szCs w:val="21"/>
              </w:rPr>
            </w:pPr>
            <w:r>
              <w:rPr>
                <w:rFonts w:ascii="Times New Roman" w:hAnsi="Times New Roman" w:eastAsia="新宋体" w:cs="Times New Roman"/>
                <w:color w:val="000000"/>
                <w:sz w:val="21"/>
                <w:szCs w:val="21"/>
              </w:rPr>
              <w:t>交付使用时间及地点</w:t>
            </w:r>
          </w:p>
        </w:tc>
        <w:tc>
          <w:tcPr>
            <w:tcW w:w="8274" w:type="dxa"/>
            <w:gridSpan w:val="4"/>
            <w:tcBorders>
              <w:top w:val="single" w:color="auto" w:sz="4" w:space="0"/>
              <w:left w:val="single" w:color="auto" w:sz="4" w:space="0"/>
              <w:bottom w:val="single" w:color="auto" w:sz="4" w:space="0"/>
              <w:right w:val="single" w:color="auto" w:sz="4" w:space="0"/>
            </w:tcBorders>
            <w:vAlign w:val="center"/>
          </w:tcPr>
          <w:p w14:paraId="1E2DCD5D">
            <w:pPr>
              <w:spacing w:line="360" w:lineRule="exact"/>
              <w:ind w:firstLine="0" w:firstLineChars="0"/>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1.</w:t>
            </w:r>
            <w:r>
              <w:rPr>
                <w:rFonts w:ascii="Times New Roman" w:hAnsi="Times New Roman" w:eastAsia="宋体" w:cs="Times New Roman"/>
                <w:color w:val="000000"/>
                <w:kern w:val="0"/>
                <w:sz w:val="21"/>
                <w:szCs w:val="21"/>
              </w:rPr>
              <w:t xml:space="preserve">交付使用时间：自签订合同之日起 </w:t>
            </w:r>
            <w:r>
              <w:rPr>
                <w:rFonts w:hint="eastAsia" w:ascii="Times New Roman" w:hAnsi="Times New Roman" w:eastAsia="宋体" w:cs="Times New Roman"/>
                <w:color w:val="000000"/>
                <w:kern w:val="0"/>
                <w:sz w:val="21"/>
                <w:szCs w:val="21"/>
              </w:rPr>
              <w:t>30</w:t>
            </w:r>
            <w:r>
              <w:rPr>
                <w:rFonts w:ascii="Times New Roman" w:hAnsi="Times New Roman" w:eastAsia="宋体" w:cs="Times New Roman"/>
                <w:color w:val="000000"/>
                <w:kern w:val="0"/>
                <w:sz w:val="21"/>
                <w:szCs w:val="21"/>
              </w:rPr>
              <w:t xml:space="preserve"> 个日历日内</w:t>
            </w:r>
            <w:r>
              <w:rPr>
                <w:rFonts w:hint="eastAsia" w:ascii="Times New Roman" w:hAnsi="Times New Roman" w:eastAsia="宋体" w:cs="Times New Roman"/>
                <w:color w:val="000000"/>
                <w:kern w:val="0"/>
                <w:sz w:val="21"/>
                <w:szCs w:val="21"/>
              </w:rPr>
              <w:t>，</w:t>
            </w:r>
            <w:r>
              <w:rPr>
                <w:rFonts w:ascii="Times New Roman" w:hAnsi="Times New Roman" w:eastAsia="宋体" w:cs="Times New Roman"/>
                <w:color w:val="000000"/>
                <w:kern w:val="0"/>
                <w:sz w:val="21"/>
                <w:szCs w:val="21"/>
              </w:rPr>
              <w:t>验收合格且交付使用。</w:t>
            </w:r>
          </w:p>
          <w:p w14:paraId="2E3CDF11">
            <w:pPr>
              <w:spacing w:line="360" w:lineRule="exact"/>
              <w:ind w:firstLine="0" w:firstLineChars="0"/>
              <w:rPr>
                <w:rFonts w:ascii="Times New Roman" w:hAnsi="Times New Roman" w:eastAsia="宋体" w:cs="Times New Roman"/>
                <w:color w:val="000000"/>
                <w:kern w:val="0"/>
                <w:sz w:val="21"/>
                <w:szCs w:val="21"/>
              </w:rPr>
            </w:pPr>
            <w:r>
              <w:rPr>
                <w:rFonts w:hint="eastAsia" w:ascii="Times New Roman" w:hAnsi="Times New Roman" w:eastAsia="新宋体" w:cs="Times New Roman"/>
                <w:color w:val="000000"/>
                <w:sz w:val="21"/>
                <w:szCs w:val="21"/>
              </w:rPr>
              <w:t>2.</w:t>
            </w:r>
            <w:r>
              <w:rPr>
                <w:rFonts w:ascii="Times New Roman" w:hAnsi="Times New Roman" w:eastAsia="新宋体" w:cs="Times New Roman"/>
                <w:color w:val="000000"/>
                <w:sz w:val="21"/>
                <w:szCs w:val="21"/>
              </w:rPr>
              <w:t>交货地点：</w:t>
            </w:r>
            <w:r>
              <w:rPr>
                <w:rFonts w:ascii="Times New Roman" w:hAnsi="Times New Roman" w:eastAsia="宋体" w:cs="Times New Roman"/>
                <w:color w:val="000000"/>
                <w:kern w:val="0"/>
                <w:sz w:val="21"/>
                <w:szCs w:val="21"/>
              </w:rPr>
              <w:t>南宁市武鸣区广西东盟经济技术开发区宝源南路29号广西制造工程职业技术学院农业信息工程学院。</w:t>
            </w:r>
          </w:p>
          <w:p w14:paraId="5CB2E48B">
            <w:pPr>
              <w:spacing w:line="360" w:lineRule="exact"/>
              <w:ind w:firstLine="0" w:firstLineChars="0"/>
              <w:rPr>
                <w:rFonts w:ascii="Times New Roman" w:hAnsi="Times New Roman" w:eastAsia="新宋体" w:cs="Times New Roman"/>
                <w:color w:val="000000"/>
                <w:sz w:val="21"/>
                <w:szCs w:val="21"/>
              </w:rPr>
            </w:pPr>
            <w:r>
              <w:rPr>
                <w:rFonts w:hint="eastAsia" w:ascii="Times New Roman" w:hAnsi="Times New Roman" w:eastAsia="新宋体" w:cs="Times New Roman"/>
                <w:color w:val="000000"/>
                <w:sz w:val="21"/>
                <w:szCs w:val="21"/>
              </w:rPr>
              <w:t>3.</w:t>
            </w:r>
            <w:r>
              <w:rPr>
                <w:rFonts w:ascii="Times New Roman" w:hAnsi="Times New Roman" w:eastAsia="新宋体" w:cs="Times New Roman"/>
                <w:color w:val="000000"/>
                <w:sz w:val="21"/>
                <w:szCs w:val="21"/>
              </w:rPr>
              <w:t>交货方式：现场交货。</w:t>
            </w:r>
          </w:p>
        </w:tc>
      </w:tr>
      <w:tr w14:paraId="2FC7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gridSpan w:val="2"/>
            <w:tcBorders>
              <w:top w:val="single" w:color="auto" w:sz="4" w:space="0"/>
              <w:left w:val="single" w:color="auto" w:sz="4" w:space="0"/>
              <w:bottom w:val="single" w:color="auto" w:sz="4" w:space="0"/>
              <w:right w:val="single" w:color="auto" w:sz="4" w:space="0"/>
            </w:tcBorders>
            <w:vAlign w:val="center"/>
          </w:tcPr>
          <w:p w14:paraId="25272132">
            <w:pPr>
              <w:spacing w:line="360" w:lineRule="exact"/>
              <w:ind w:firstLine="0" w:firstLineChars="0"/>
              <w:jc w:val="center"/>
              <w:rPr>
                <w:rFonts w:ascii="Times New Roman" w:hAnsi="Times New Roman" w:eastAsia="新宋体" w:cs="Times New Roman"/>
                <w:sz w:val="21"/>
                <w:szCs w:val="21"/>
              </w:rPr>
            </w:pPr>
            <w:r>
              <w:rPr>
                <w:rFonts w:ascii="Times New Roman" w:hAnsi="Times New Roman" w:eastAsia="新宋体" w:cs="Times New Roman"/>
                <w:sz w:val="21"/>
                <w:szCs w:val="21"/>
              </w:rPr>
              <w:t>质量保证期</w:t>
            </w:r>
          </w:p>
        </w:tc>
        <w:tc>
          <w:tcPr>
            <w:tcW w:w="8274" w:type="dxa"/>
            <w:gridSpan w:val="4"/>
            <w:tcBorders>
              <w:top w:val="single" w:color="auto" w:sz="4" w:space="0"/>
              <w:left w:val="single" w:color="auto" w:sz="4" w:space="0"/>
              <w:bottom w:val="single" w:color="auto" w:sz="4" w:space="0"/>
              <w:right w:val="single" w:color="auto" w:sz="4" w:space="0"/>
            </w:tcBorders>
            <w:vAlign w:val="center"/>
          </w:tcPr>
          <w:p w14:paraId="40026601">
            <w:pPr>
              <w:spacing w:line="360" w:lineRule="exact"/>
              <w:ind w:firstLine="0" w:firstLineChars="0"/>
              <w:rPr>
                <w:rFonts w:ascii="Times New Roman" w:hAnsi="Times New Roman" w:eastAsia="宋体" w:cs="Times New Roman"/>
                <w:sz w:val="21"/>
                <w:szCs w:val="21"/>
                <w:highlight w:val="none"/>
              </w:rPr>
            </w:pPr>
            <w:r>
              <w:rPr>
                <w:rFonts w:ascii="Times New Roman" w:hAnsi="Times New Roman" w:eastAsia="宋体" w:cs="Times New Roman"/>
                <w:sz w:val="21"/>
                <w:szCs w:val="21"/>
              </w:rPr>
              <w:t>1.列表中“技术要求”另有要求的按要求执行；未有要求的，按国家有关产品“三包”规定执行“三包”，自货物验收合格之日起计算，</w:t>
            </w:r>
            <w:r>
              <w:rPr>
                <w:rFonts w:ascii="Times New Roman" w:hAnsi="Times New Roman" w:eastAsia="宋体" w:cs="Times New Roman"/>
                <w:color w:val="000000"/>
                <w:sz w:val="21"/>
                <w:szCs w:val="21"/>
              </w:rPr>
              <w:t>原厂</w:t>
            </w:r>
            <w:r>
              <w:rPr>
                <w:rFonts w:ascii="Times New Roman" w:hAnsi="Times New Roman" w:eastAsia="宋体" w:cs="Times New Roman"/>
                <w:sz w:val="21"/>
                <w:szCs w:val="21"/>
              </w:rPr>
              <w:t>产品质保期最短不少于</w:t>
            </w:r>
            <w:r>
              <w:rPr>
                <w:rFonts w:ascii="Times New Roman" w:hAnsi="Times New Roman" w:eastAsia="宋体" w:cs="Times New Roman"/>
                <w:sz w:val="21"/>
                <w:szCs w:val="21"/>
                <w:u w:val="single"/>
              </w:rPr>
              <w:t xml:space="preserve"> 1 </w:t>
            </w:r>
            <w:r>
              <w:rPr>
                <w:rFonts w:ascii="Times New Roman" w:hAnsi="Times New Roman" w:eastAsia="宋体" w:cs="Times New Roman"/>
                <w:sz w:val="21"/>
                <w:szCs w:val="21"/>
              </w:rPr>
              <w:t>年</w:t>
            </w:r>
            <w:r>
              <w:rPr>
                <w:rFonts w:hint="eastAsia" w:ascii="Times New Roman" w:hAnsi="Times New Roman" w:eastAsia="宋体" w:cs="Times New Roman"/>
                <w:sz w:val="21"/>
                <w:szCs w:val="21"/>
              </w:rPr>
              <w:t>（自验收合格并交付之日算起）</w:t>
            </w:r>
            <w:r>
              <w:rPr>
                <w:rFonts w:ascii="Times New Roman" w:hAnsi="Times New Roman" w:eastAsia="宋体" w:cs="Times New Roman"/>
                <w:sz w:val="21"/>
                <w:szCs w:val="21"/>
              </w:rPr>
              <w:t>。</w:t>
            </w:r>
          </w:p>
          <w:p w14:paraId="193A6679">
            <w:pPr>
              <w:spacing w:line="360" w:lineRule="exact"/>
              <w:ind w:firstLine="0" w:firstLineChars="0"/>
              <w:rPr>
                <w:rFonts w:ascii="Times New Roman" w:hAnsi="Times New Roman" w:eastAsia="宋体" w:cs="Times New Roman"/>
                <w:sz w:val="21"/>
                <w:szCs w:val="21"/>
                <w:highlight w:val="none"/>
              </w:rPr>
            </w:pPr>
            <w:r>
              <w:rPr>
                <w:rFonts w:ascii="Times New Roman" w:hAnsi="Times New Roman" w:eastAsia="宋体" w:cs="Times New Roman"/>
                <w:sz w:val="21"/>
                <w:szCs w:val="21"/>
                <w:highlight w:val="none"/>
              </w:rPr>
              <w:t>2.若产品出产的质保期或产品生产厂家承诺的质保期超过本项目规定质保期限的，合同执行过程中按产品出产质保期限或厂家承诺期限执行；若</w:t>
            </w:r>
            <w:r>
              <w:rPr>
                <w:rFonts w:hint="eastAsia" w:cs="Times New Roman"/>
                <w:sz w:val="21"/>
                <w:szCs w:val="21"/>
                <w:highlight w:val="none"/>
                <w:lang w:val="en-US" w:eastAsia="zh-CN"/>
              </w:rPr>
              <w:t>成交供应商</w:t>
            </w:r>
            <w:r>
              <w:rPr>
                <w:rFonts w:ascii="Times New Roman" w:hAnsi="Times New Roman" w:eastAsia="宋体" w:cs="Times New Roman"/>
                <w:sz w:val="21"/>
                <w:szCs w:val="21"/>
                <w:highlight w:val="none"/>
              </w:rPr>
              <w:t>承诺的质保期限优于产品出产的质保期或产品生产厂家承诺的，以</w:t>
            </w:r>
            <w:r>
              <w:rPr>
                <w:rFonts w:hint="eastAsia" w:cs="Times New Roman"/>
                <w:sz w:val="21"/>
                <w:szCs w:val="21"/>
                <w:highlight w:val="none"/>
                <w:lang w:val="en-US" w:eastAsia="zh-CN"/>
              </w:rPr>
              <w:t>成交供应商</w:t>
            </w:r>
            <w:r>
              <w:rPr>
                <w:rFonts w:ascii="Times New Roman" w:hAnsi="Times New Roman" w:eastAsia="宋体" w:cs="Times New Roman"/>
                <w:sz w:val="21"/>
                <w:szCs w:val="21"/>
                <w:highlight w:val="none"/>
              </w:rPr>
              <w:t>承诺执行。</w:t>
            </w:r>
          </w:p>
          <w:p w14:paraId="589B877E">
            <w:pPr>
              <w:spacing w:line="360" w:lineRule="exact"/>
              <w:ind w:firstLine="0" w:firstLineChars="0"/>
              <w:rPr>
                <w:rFonts w:ascii="Times New Roman" w:hAnsi="Times New Roman" w:eastAsia="宋体" w:cs="Times New Roman"/>
                <w:sz w:val="21"/>
                <w:szCs w:val="21"/>
              </w:rPr>
            </w:pPr>
            <w:r>
              <w:rPr>
                <w:rFonts w:ascii="Times New Roman" w:hAnsi="Times New Roman" w:eastAsia="新宋体" w:cs="Times New Roman"/>
                <w:sz w:val="21"/>
                <w:szCs w:val="21"/>
                <w:highlight w:val="none"/>
              </w:rPr>
              <w:t>3.质保期内负责上门服务、维修、更换配件、升级，不得收取任何费用。</w:t>
            </w:r>
            <w:r>
              <w:rPr>
                <w:rFonts w:ascii="Times New Roman" w:hAnsi="Times New Roman" w:eastAsia="新宋体" w:cs="Times New Roman"/>
                <w:sz w:val="21"/>
                <w:szCs w:val="21"/>
              </w:rPr>
              <w:t>质保期满后，终身维护。</w:t>
            </w:r>
          </w:p>
        </w:tc>
      </w:tr>
      <w:tr w14:paraId="15A5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297698">
            <w:pPr>
              <w:spacing w:line="360" w:lineRule="exact"/>
              <w:ind w:firstLine="0" w:firstLineChars="0"/>
              <w:jc w:val="center"/>
              <w:rPr>
                <w:rFonts w:ascii="Times New Roman" w:hAnsi="Times New Roman" w:eastAsia="新宋体" w:cs="Times New Roman"/>
                <w:kern w:val="2"/>
                <w:sz w:val="21"/>
                <w:szCs w:val="21"/>
                <w:lang w:val="en-US" w:eastAsia="zh-CN" w:bidi="ar-SA"/>
              </w:rPr>
            </w:pPr>
            <w:r>
              <w:rPr>
                <w:rFonts w:ascii="Times New Roman" w:hAnsi="Times New Roman" w:eastAsia="新宋体" w:cs="Times New Roman"/>
                <w:sz w:val="21"/>
                <w:szCs w:val="21"/>
              </w:rPr>
              <w:t>付款条件</w:t>
            </w:r>
          </w:p>
        </w:tc>
        <w:tc>
          <w:tcPr>
            <w:tcW w:w="82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213F22">
            <w:pPr>
              <w:spacing w:line="360" w:lineRule="exact"/>
              <w:ind w:firstLine="0" w:firstLineChars="0"/>
              <w:rPr>
                <w:rFonts w:hint="eastAsia" w:ascii="Times New Roman" w:hAnsi="Times New Roman" w:eastAsia="新宋体" w:cs="Times New Roman"/>
                <w:sz w:val="21"/>
                <w:szCs w:val="21"/>
              </w:rPr>
            </w:pPr>
            <w:r>
              <w:rPr>
                <w:rFonts w:ascii="Times New Roman" w:hAnsi="Times New Roman" w:eastAsia="新宋体" w:cs="Times New Roman"/>
                <w:sz w:val="21"/>
                <w:szCs w:val="21"/>
              </w:rPr>
              <w:t>1. 全部货物安装</w:t>
            </w:r>
            <w:r>
              <w:rPr>
                <w:rFonts w:hint="eastAsia" w:ascii="Times New Roman" w:hAnsi="Times New Roman" w:eastAsia="新宋体" w:cs="Times New Roman"/>
                <w:sz w:val="21"/>
                <w:szCs w:val="21"/>
                <w:lang w:val="en-US" w:eastAsia="zh-CN"/>
              </w:rPr>
              <w:t>调试</w:t>
            </w:r>
            <w:r>
              <w:rPr>
                <w:rFonts w:ascii="Times New Roman" w:hAnsi="Times New Roman" w:eastAsia="新宋体" w:cs="Times New Roman"/>
                <w:sz w:val="21"/>
                <w:szCs w:val="21"/>
              </w:rPr>
              <w:t>且验收合格后10个工作日内，采购人向</w:t>
            </w:r>
            <w:r>
              <w:rPr>
                <w:rFonts w:hint="eastAsia" w:eastAsia="新宋体" w:cs="Times New Roman"/>
                <w:sz w:val="21"/>
                <w:szCs w:val="21"/>
                <w:lang w:eastAsia="zh-CN"/>
              </w:rPr>
              <w:t>供应商</w:t>
            </w:r>
            <w:r>
              <w:rPr>
                <w:rFonts w:ascii="Times New Roman" w:hAnsi="Times New Roman" w:eastAsia="新宋体" w:cs="Times New Roman"/>
                <w:sz w:val="21"/>
                <w:szCs w:val="21"/>
              </w:rPr>
              <w:t>一次性支付合同金额。 若货物中包含软件产品，则需采购人自软件安装调试完成之日起，先行试用合格后方可进行验收。</w:t>
            </w:r>
          </w:p>
          <w:p w14:paraId="4988CCCA">
            <w:pPr>
              <w:spacing w:line="360" w:lineRule="exact"/>
              <w:ind w:firstLine="0" w:firstLineChars="0"/>
              <w:rPr>
                <w:rFonts w:ascii="Times New Roman" w:hAnsi="Times New Roman" w:eastAsia="新宋体" w:cs="Times New Roman"/>
                <w:kern w:val="2"/>
                <w:sz w:val="21"/>
                <w:szCs w:val="21"/>
                <w:lang w:val="en-US" w:eastAsia="zh-CN" w:bidi="ar-SA"/>
              </w:rPr>
            </w:pPr>
            <w:r>
              <w:rPr>
                <w:rFonts w:ascii="Times New Roman" w:hAnsi="Times New Roman" w:eastAsia="新宋体" w:cs="Times New Roman"/>
                <w:sz w:val="21"/>
                <w:szCs w:val="21"/>
              </w:rPr>
              <w:t xml:space="preserve">2. </w:t>
            </w:r>
            <w:r>
              <w:rPr>
                <w:rFonts w:hint="eastAsia" w:ascii="Times New Roman" w:hAnsi="Times New Roman" w:eastAsia="新宋体" w:cs="Times New Roman"/>
                <w:sz w:val="21"/>
                <w:szCs w:val="21"/>
              </w:rPr>
              <w:t>采购人付款前，</w:t>
            </w:r>
            <w:r>
              <w:rPr>
                <w:rFonts w:hint="eastAsia" w:eastAsia="新宋体" w:cs="Times New Roman"/>
                <w:sz w:val="21"/>
                <w:szCs w:val="21"/>
                <w:lang w:eastAsia="zh-CN"/>
              </w:rPr>
              <w:t>供应商</w:t>
            </w:r>
            <w:r>
              <w:rPr>
                <w:rFonts w:hint="eastAsia" w:ascii="Times New Roman" w:hAnsi="Times New Roman" w:eastAsia="新宋体" w:cs="Times New Roman"/>
                <w:sz w:val="21"/>
                <w:szCs w:val="21"/>
              </w:rPr>
              <w:t>应向采购人开具等额有效的增值税普通发票，采购人未收到发票的，有权不予支付相应款项直至</w:t>
            </w:r>
            <w:r>
              <w:rPr>
                <w:rFonts w:hint="eastAsia" w:eastAsia="新宋体" w:cs="Times New Roman"/>
                <w:sz w:val="21"/>
                <w:szCs w:val="21"/>
                <w:lang w:eastAsia="zh-CN"/>
              </w:rPr>
              <w:t>供应商</w:t>
            </w:r>
            <w:r>
              <w:rPr>
                <w:rFonts w:hint="eastAsia" w:ascii="Times New Roman" w:hAnsi="Times New Roman" w:eastAsia="新宋体" w:cs="Times New Roman"/>
                <w:sz w:val="21"/>
                <w:szCs w:val="21"/>
              </w:rPr>
              <w:t>提供合格发票，并不承担延迟付款责任。发票认证通过是付款的必要前提之一。</w:t>
            </w:r>
          </w:p>
        </w:tc>
      </w:tr>
      <w:tr w14:paraId="71B8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886574">
            <w:pPr>
              <w:spacing w:line="360" w:lineRule="exact"/>
              <w:ind w:firstLine="0" w:firstLineChars="0"/>
              <w:jc w:val="center"/>
              <w:rPr>
                <w:rFonts w:ascii="Times New Roman" w:hAnsi="Times New Roman" w:eastAsia="新宋体" w:cs="Times New Roman"/>
                <w:kern w:val="2"/>
                <w:sz w:val="21"/>
                <w:szCs w:val="21"/>
                <w:lang w:val="en-US" w:eastAsia="zh-CN" w:bidi="ar-SA"/>
              </w:rPr>
            </w:pPr>
            <w:r>
              <w:rPr>
                <w:rFonts w:hint="eastAsia" w:ascii="Times New Roman" w:hAnsi="Times New Roman" w:eastAsia="新宋体" w:cs="Times New Roman"/>
                <w:sz w:val="21"/>
                <w:szCs w:val="21"/>
              </w:rPr>
              <w:t>售后</w:t>
            </w:r>
            <w:r>
              <w:rPr>
                <w:rFonts w:ascii="Times New Roman" w:hAnsi="Times New Roman" w:eastAsia="新宋体" w:cs="Times New Roman"/>
                <w:sz w:val="21"/>
                <w:szCs w:val="21"/>
              </w:rPr>
              <w:t>要求</w:t>
            </w:r>
          </w:p>
        </w:tc>
        <w:tc>
          <w:tcPr>
            <w:tcW w:w="82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410BCCD">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一、总体要求</w:t>
            </w:r>
          </w:p>
          <w:p w14:paraId="500AF6FE">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1.投标报价包括但不限于货款、备品备件、专用工具、保险、运抵指定交货地点、送货上门服务、现场</w:t>
            </w:r>
            <w:r>
              <w:rPr>
                <w:rFonts w:ascii="Times New Roman" w:hAnsi="Times New Roman" w:eastAsia="新宋体" w:cs="Times New Roman"/>
                <w:bCs/>
                <w:sz w:val="21"/>
                <w:szCs w:val="21"/>
                <w:highlight w:val="none"/>
              </w:rPr>
              <w:t>安装调试、保修等各种费用和售后服务、培训、履约验收、税金及其他所有成本费用的总和，</w:t>
            </w:r>
            <w:r>
              <w:rPr>
                <w:rFonts w:hint="eastAsia" w:eastAsia="新宋体" w:cs="Times New Roman"/>
                <w:bCs/>
                <w:sz w:val="21"/>
                <w:szCs w:val="21"/>
                <w:highlight w:val="none"/>
                <w:lang w:val="en-US" w:eastAsia="zh-CN"/>
              </w:rPr>
              <w:t>成交</w:t>
            </w:r>
            <w:r>
              <w:rPr>
                <w:rFonts w:ascii="Times New Roman" w:hAnsi="Times New Roman" w:eastAsia="新宋体" w:cs="Times New Roman"/>
                <w:bCs/>
                <w:sz w:val="21"/>
                <w:szCs w:val="21"/>
                <w:highlight w:val="none"/>
              </w:rPr>
              <w:t>后</w:t>
            </w:r>
            <w:r>
              <w:rPr>
                <w:rFonts w:ascii="Times New Roman" w:hAnsi="Times New Roman" w:eastAsia="新宋体" w:cs="Times New Roman"/>
                <w:bCs/>
                <w:sz w:val="21"/>
                <w:szCs w:val="21"/>
              </w:rPr>
              <w:t>采购人不再另行支付额外费用。</w:t>
            </w:r>
          </w:p>
          <w:p w14:paraId="5D206503">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2.</w:t>
            </w:r>
            <w:r>
              <w:rPr>
                <w:rFonts w:hint="eastAsia" w:eastAsia="新宋体" w:cs="Times New Roman"/>
                <w:bCs/>
                <w:sz w:val="21"/>
                <w:szCs w:val="21"/>
                <w:lang w:eastAsia="zh-CN"/>
              </w:rPr>
              <w:t>供应商</w:t>
            </w:r>
            <w:r>
              <w:rPr>
                <w:rFonts w:ascii="Times New Roman" w:hAnsi="Times New Roman" w:eastAsia="新宋体" w:cs="Times New Roman"/>
                <w:bCs/>
                <w:sz w:val="21"/>
                <w:szCs w:val="21"/>
              </w:rPr>
              <w:t>向采购人提供的货物必须是全新的原装产品。</w:t>
            </w:r>
          </w:p>
          <w:p w14:paraId="60A8B822">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3.知识产权：采购人在中华人民共和国境内使用</w:t>
            </w:r>
            <w:r>
              <w:rPr>
                <w:rFonts w:hint="eastAsia" w:eastAsia="新宋体" w:cs="Times New Roman"/>
                <w:bCs/>
                <w:sz w:val="21"/>
                <w:szCs w:val="21"/>
                <w:lang w:eastAsia="zh-CN"/>
              </w:rPr>
              <w:t>供应商</w:t>
            </w:r>
            <w:r>
              <w:rPr>
                <w:rFonts w:ascii="Times New Roman" w:hAnsi="Times New Roman" w:eastAsia="新宋体" w:cs="Times New Roman"/>
                <w:bCs/>
                <w:sz w:val="21"/>
                <w:szCs w:val="21"/>
              </w:rPr>
              <w:t>提供的产品及服务时免受第三方提出的侵犯其专利权或其它知识产权的起诉。如果第三方提出侵权指控，</w:t>
            </w:r>
            <w:r>
              <w:rPr>
                <w:rFonts w:hint="eastAsia" w:eastAsia="新宋体" w:cs="Times New Roman"/>
                <w:bCs/>
                <w:sz w:val="21"/>
                <w:szCs w:val="21"/>
                <w:lang w:eastAsia="zh-CN"/>
              </w:rPr>
              <w:t>供应商</w:t>
            </w:r>
            <w:r>
              <w:rPr>
                <w:rFonts w:ascii="Times New Roman" w:hAnsi="Times New Roman" w:eastAsia="新宋体" w:cs="Times New Roman"/>
                <w:bCs/>
                <w:sz w:val="21"/>
                <w:szCs w:val="21"/>
              </w:rPr>
              <w:t>应承担由此而引起的一切法律责任和费用。</w:t>
            </w:r>
          </w:p>
          <w:p w14:paraId="2B25CDED">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二、其它</w:t>
            </w:r>
          </w:p>
          <w:p w14:paraId="76332275">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1.免费送货上门，免费安装调试合格，按国家有关规定实行“三包”，免费定期回访及维护。</w:t>
            </w:r>
          </w:p>
          <w:p w14:paraId="6CAD16A0">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2.保修期内维修响应及故障解决时间：在保修期内，一旦发生质量问题，</w:t>
            </w:r>
            <w:r>
              <w:rPr>
                <w:rFonts w:hint="eastAsia" w:eastAsia="新宋体" w:cs="Times New Roman"/>
                <w:bCs/>
                <w:sz w:val="21"/>
                <w:szCs w:val="21"/>
                <w:lang w:eastAsia="zh-CN"/>
              </w:rPr>
              <w:t>竞价人</w:t>
            </w:r>
            <w:r>
              <w:rPr>
                <w:rFonts w:ascii="Times New Roman" w:hAnsi="Times New Roman" w:eastAsia="新宋体" w:cs="Times New Roman"/>
                <w:bCs/>
                <w:sz w:val="21"/>
                <w:szCs w:val="21"/>
              </w:rPr>
              <w:t>保证在接到通知24小时内赶到现场进行修理或更换。保证采购人正常使用，产生的一切费用由</w:t>
            </w:r>
            <w:r>
              <w:rPr>
                <w:rFonts w:hint="eastAsia" w:eastAsia="新宋体" w:cs="Times New Roman"/>
                <w:bCs/>
                <w:sz w:val="21"/>
                <w:szCs w:val="21"/>
                <w:lang w:eastAsia="zh-CN"/>
              </w:rPr>
              <w:t>供应商</w:t>
            </w:r>
            <w:r>
              <w:rPr>
                <w:rFonts w:ascii="Times New Roman" w:hAnsi="Times New Roman" w:eastAsia="新宋体" w:cs="Times New Roman"/>
                <w:bCs/>
                <w:sz w:val="21"/>
                <w:szCs w:val="21"/>
              </w:rPr>
              <w:t>承担。</w:t>
            </w:r>
          </w:p>
          <w:p w14:paraId="38D8FBE5">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3.安装调试及技术培训：供应商协助进行安装前的准备工作。到货后，</w:t>
            </w:r>
            <w:r>
              <w:rPr>
                <w:rFonts w:hint="eastAsia" w:eastAsia="新宋体" w:cs="Times New Roman"/>
                <w:bCs/>
                <w:sz w:val="21"/>
                <w:szCs w:val="21"/>
                <w:lang w:eastAsia="zh-CN"/>
              </w:rPr>
              <w:t>竞价人</w:t>
            </w:r>
            <w:r>
              <w:rPr>
                <w:rFonts w:ascii="Times New Roman" w:hAnsi="Times New Roman" w:eastAsia="新宋体" w:cs="Times New Roman"/>
                <w:bCs/>
                <w:sz w:val="21"/>
                <w:szCs w:val="21"/>
              </w:rPr>
              <w:t>安排工程师免费安装。仪器安装后，供应商安装工程师为用户提供为期3天现场培训，培训内容包括：基本原理、结构、操作、软件使用、数据处理、维护保养及简单故障排除，保证采购人的使用人员能正确操作仪器，熟练使用各种功能。</w:t>
            </w:r>
          </w:p>
          <w:p w14:paraId="654484CC">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4.在正常安装、使用过程中，凡是因产品质量问题所造成采购人损失的，</w:t>
            </w:r>
            <w:r>
              <w:rPr>
                <w:rFonts w:hint="eastAsia" w:eastAsia="新宋体" w:cs="Times New Roman"/>
                <w:bCs/>
                <w:sz w:val="21"/>
                <w:szCs w:val="21"/>
                <w:lang w:eastAsia="zh-CN"/>
              </w:rPr>
              <w:t>供应商</w:t>
            </w:r>
            <w:r>
              <w:rPr>
                <w:rFonts w:ascii="Times New Roman" w:hAnsi="Times New Roman" w:eastAsia="新宋体" w:cs="Times New Roman"/>
                <w:bCs/>
                <w:sz w:val="21"/>
                <w:szCs w:val="21"/>
              </w:rPr>
              <w:t>负责赔偿采购人的一切经济损失。</w:t>
            </w:r>
          </w:p>
          <w:p w14:paraId="23D9EFE5">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5.在</w:t>
            </w:r>
            <w:r>
              <w:rPr>
                <w:rFonts w:hint="eastAsia" w:eastAsia="新宋体" w:cs="Times New Roman"/>
                <w:bCs/>
                <w:sz w:val="21"/>
                <w:szCs w:val="21"/>
                <w:lang w:eastAsia="zh-CN"/>
              </w:rPr>
              <w:t>供应商</w:t>
            </w:r>
            <w:r>
              <w:rPr>
                <w:rFonts w:ascii="Times New Roman" w:hAnsi="Times New Roman" w:eastAsia="新宋体" w:cs="Times New Roman"/>
                <w:bCs/>
                <w:sz w:val="21"/>
                <w:szCs w:val="21"/>
              </w:rPr>
              <w:t>承诺的质保期内，设备保修包换所需要的配件均是原厂原装，不得使用兼容货物。</w:t>
            </w:r>
          </w:p>
          <w:p w14:paraId="63AFA622">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6.</w:t>
            </w:r>
            <w:r>
              <w:rPr>
                <w:rFonts w:hint="eastAsia" w:eastAsia="新宋体" w:cs="Times New Roman"/>
                <w:bCs/>
                <w:sz w:val="21"/>
                <w:szCs w:val="21"/>
                <w:lang w:eastAsia="zh-CN"/>
              </w:rPr>
              <w:t>供应商</w:t>
            </w:r>
            <w:r>
              <w:rPr>
                <w:rFonts w:ascii="Times New Roman" w:hAnsi="Times New Roman" w:eastAsia="新宋体" w:cs="Times New Roman"/>
                <w:bCs/>
                <w:sz w:val="21"/>
                <w:szCs w:val="21"/>
              </w:rPr>
              <w:t>在质量保证期内应当为采购人提供以下技术支持和服务：</w:t>
            </w:r>
          </w:p>
          <w:p w14:paraId="2C06B271">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（1）电话咨询</w:t>
            </w:r>
          </w:p>
          <w:p w14:paraId="16DAC4EB">
            <w:pPr>
              <w:spacing w:line="360" w:lineRule="exact"/>
              <w:ind w:firstLine="0" w:firstLineChars="0"/>
              <w:rPr>
                <w:rFonts w:ascii="Times New Roman" w:hAnsi="Times New Roman" w:eastAsia="新宋体" w:cs="Times New Roman"/>
                <w:bCs/>
                <w:sz w:val="21"/>
                <w:szCs w:val="21"/>
              </w:rPr>
            </w:pPr>
            <w:r>
              <w:rPr>
                <w:rFonts w:hint="eastAsia" w:eastAsia="新宋体" w:cs="Times New Roman"/>
                <w:bCs/>
                <w:sz w:val="21"/>
                <w:szCs w:val="21"/>
                <w:lang w:eastAsia="zh-CN"/>
              </w:rPr>
              <w:t>供应商</w:t>
            </w:r>
            <w:r>
              <w:rPr>
                <w:rFonts w:ascii="Times New Roman" w:hAnsi="Times New Roman" w:eastAsia="新宋体" w:cs="Times New Roman"/>
                <w:bCs/>
                <w:sz w:val="21"/>
                <w:szCs w:val="21"/>
              </w:rPr>
              <w:t>应当为采购人提供技术援助电话，解答采购人在使用中遇到的问题，及时为采购人提出解决问题的建议。</w:t>
            </w:r>
          </w:p>
          <w:p w14:paraId="21F3533E">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（2）技术升级</w:t>
            </w:r>
          </w:p>
          <w:p w14:paraId="6CB57AD2">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在质保期内，如果</w:t>
            </w:r>
            <w:r>
              <w:rPr>
                <w:rFonts w:hint="eastAsia" w:eastAsia="新宋体" w:cs="Times New Roman"/>
                <w:bCs/>
                <w:sz w:val="21"/>
                <w:szCs w:val="21"/>
                <w:lang w:eastAsia="zh-CN"/>
              </w:rPr>
              <w:t>供应商</w:t>
            </w:r>
            <w:r>
              <w:rPr>
                <w:rFonts w:ascii="Times New Roman" w:hAnsi="Times New Roman" w:eastAsia="新宋体" w:cs="Times New Roman"/>
                <w:bCs/>
                <w:sz w:val="21"/>
                <w:szCs w:val="21"/>
              </w:rPr>
              <w:t>的产品或服务升级，</w:t>
            </w:r>
            <w:r>
              <w:rPr>
                <w:rFonts w:hint="eastAsia" w:eastAsia="新宋体" w:cs="Times New Roman"/>
                <w:bCs/>
                <w:sz w:val="21"/>
                <w:szCs w:val="21"/>
                <w:lang w:eastAsia="zh-CN"/>
              </w:rPr>
              <w:t>供应商</w:t>
            </w:r>
            <w:r>
              <w:rPr>
                <w:rFonts w:ascii="Times New Roman" w:hAnsi="Times New Roman" w:eastAsia="新宋体" w:cs="Times New Roman"/>
                <w:bCs/>
                <w:sz w:val="21"/>
                <w:szCs w:val="21"/>
              </w:rPr>
              <w:t>应及时通知采购人，如采购人有相应要求，</w:t>
            </w:r>
            <w:r>
              <w:rPr>
                <w:rFonts w:hint="eastAsia" w:eastAsia="新宋体" w:cs="Times New Roman"/>
                <w:bCs/>
                <w:sz w:val="21"/>
                <w:szCs w:val="21"/>
                <w:lang w:eastAsia="zh-CN"/>
              </w:rPr>
              <w:t>供应商</w:t>
            </w:r>
            <w:r>
              <w:rPr>
                <w:rFonts w:ascii="Times New Roman" w:hAnsi="Times New Roman" w:eastAsia="新宋体" w:cs="Times New Roman"/>
                <w:bCs/>
                <w:sz w:val="21"/>
                <w:szCs w:val="21"/>
              </w:rPr>
              <w:t>应对采购人购买的产品或服务进行升级。</w:t>
            </w:r>
          </w:p>
          <w:p w14:paraId="70C80847">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7.质保期外服务要求</w:t>
            </w:r>
          </w:p>
          <w:p w14:paraId="01BBD458">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质量保证期过后，采购人需要继续由原</w:t>
            </w:r>
            <w:r>
              <w:rPr>
                <w:rFonts w:hint="eastAsia" w:eastAsia="新宋体" w:cs="Times New Roman"/>
                <w:bCs/>
                <w:sz w:val="21"/>
                <w:szCs w:val="21"/>
                <w:lang w:eastAsia="zh-CN"/>
              </w:rPr>
              <w:t>供应商</w:t>
            </w:r>
            <w:r>
              <w:rPr>
                <w:rFonts w:ascii="Times New Roman" w:hAnsi="Times New Roman" w:eastAsia="新宋体" w:cs="Times New Roman"/>
                <w:bCs/>
                <w:sz w:val="21"/>
                <w:szCs w:val="21"/>
              </w:rPr>
              <w:t>提供售后服务的，</w:t>
            </w:r>
            <w:r>
              <w:rPr>
                <w:rFonts w:hint="eastAsia" w:eastAsia="新宋体" w:cs="Times New Roman"/>
                <w:bCs/>
                <w:sz w:val="21"/>
                <w:szCs w:val="21"/>
                <w:lang w:eastAsia="zh-CN"/>
              </w:rPr>
              <w:t>供应商</w:t>
            </w:r>
            <w:r>
              <w:rPr>
                <w:rFonts w:ascii="Times New Roman" w:hAnsi="Times New Roman" w:eastAsia="新宋体" w:cs="Times New Roman"/>
                <w:bCs/>
                <w:sz w:val="21"/>
                <w:szCs w:val="21"/>
              </w:rPr>
              <w:t>应提供电话咨询服务，并应承诺提供产品或服务上门维护，</w:t>
            </w:r>
            <w:r>
              <w:rPr>
                <w:rFonts w:hint="eastAsia" w:eastAsia="新宋体" w:cs="Times New Roman"/>
                <w:bCs/>
                <w:sz w:val="21"/>
                <w:szCs w:val="21"/>
                <w:lang w:eastAsia="zh-CN"/>
              </w:rPr>
              <w:t>供应商</w:t>
            </w:r>
            <w:r>
              <w:rPr>
                <w:rFonts w:ascii="Times New Roman" w:hAnsi="Times New Roman" w:eastAsia="新宋体" w:cs="Times New Roman"/>
                <w:bCs/>
                <w:sz w:val="21"/>
                <w:szCs w:val="21"/>
              </w:rPr>
              <w:t>和制造商应以优惠价格提供售后服务。</w:t>
            </w:r>
          </w:p>
          <w:p w14:paraId="741FF542">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8.备品备件及易损件</w:t>
            </w:r>
          </w:p>
          <w:p w14:paraId="6174EDF9">
            <w:pPr>
              <w:spacing w:line="360" w:lineRule="exact"/>
              <w:ind w:firstLine="0" w:firstLineChars="0"/>
              <w:rPr>
                <w:rFonts w:ascii="Times New Roman" w:hAnsi="Times New Roman" w:eastAsia="新宋体" w:cs="Times New Roman"/>
                <w:bCs/>
                <w:sz w:val="21"/>
                <w:szCs w:val="21"/>
              </w:rPr>
            </w:pPr>
            <w:r>
              <w:rPr>
                <w:rFonts w:hint="eastAsia" w:eastAsia="新宋体" w:cs="Times New Roman"/>
                <w:bCs/>
                <w:sz w:val="21"/>
                <w:szCs w:val="21"/>
                <w:lang w:eastAsia="zh-CN"/>
              </w:rPr>
              <w:t>供应商</w:t>
            </w:r>
            <w:r>
              <w:rPr>
                <w:rFonts w:ascii="Times New Roman" w:hAnsi="Times New Roman" w:eastAsia="新宋体" w:cs="Times New Roman"/>
                <w:bCs/>
                <w:sz w:val="21"/>
                <w:szCs w:val="21"/>
              </w:rPr>
              <w:t>售后服务中，维修使用的备品备件及易损件应为原厂配件，未经采购人同意不得使用非原厂配件。</w:t>
            </w:r>
          </w:p>
          <w:p w14:paraId="18CCF002">
            <w:pPr>
              <w:spacing w:line="360" w:lineRule="exact"/>
              <w:ind w:firstLine="0" w:firstLineChars="0"/>
              <w:rPr>
                <w:rFonts w:ascii="Times New Roman" w:hAnsi="Times New Roman" w:eastAsia="新宋体" w:cs="Times New Roman"/>
                <w:bCs/>
                <w:sz w:val="21"/>
                <w:szCs w:val="21"/>
              </w:rPr>
            </w:pPr>
            <w:r>
              <w:rPr>
                <w:rFonts w:ascii="Times New Roman" w:hAnsi="Times New Roman" w:eastAsia="新宋体" w:cs="Times New Roman"/>
                <w:bCs/>
                <w:sz w:val="21"/>
                <w:szCs w:val="21"/>
              </w:rPr>
              <w:t>9.培训要求：</w:t>
            </w:r>
            <w:r>
              <w:rPr>
                <w:rFonts w:hint="eastAsia" w:eastAsia="新宋体" w:cs="Times New Roman"/>
                <w:bCs/>
                <w:sz w:val="21"/>
                <w:szCs w:val="21"/>
                <w:lang w:eastAsia="zh-CN"/>
              </w:rPr>
              <w:t>供应商</w:t>
            </w:r>
            <w:r>
              <w:rPr>
                <w:rFonts w:ascii="Times New Roman" w:hAnsi="Times New Roman" w:eastAsia="新宋体" w:cs="Times New Roman"/>
                <w:bCs/>
                <w:sz w:val="21"/>
                <w:szCs w:val="21"/>
              </w:rPr>
              <w:t>对其提供产品或服务的使用和操作应尽培训义务。</w:t>
            </w:r>
            <w:r>
              <w:rPr>
                <w:rFonts w:hint="eastAsia" w:eastAsia="新宋体" w:cs="Times New Roman"/>
                <w:bCs/>
                <w:sz w:val="21"/>
                <w:szCs w:val="21"/>
                <w:lang w:eastAsia="zh-CN"/>
              </w:rPr>
              <w:t>供应商</w:t>
            </w:r>
            <w:r>
              <w:rPr>
                <w:rFonts w:ascii="Times New Roman" w:hAnsi="Times New Roman" w:eastAsia="新宋体" w:cs="Times New Roman"/>
                <w:bCs/>
                <w:sz w:val="21"/>
                <w:szCs w:val="21"/>
              </w:rPr>
              <w:t xml:space="preserve">应提供对本项目的使用单位进行培训服务，涉及的相关费用应计算在项目报价内，并使使用人员能独立、熟练操作系统。 </w:t>
            </w:r>
          </w:p>
          <w:p w14:paraId="41DB5AE5">
            <w:pPr>
              <w:spacing w:line="360" w:lineRule="exact"/>
              <w:ind w:firstLine="0" w:firstLineChars="0"/>
              <w:rPr>
                <w:rFonts w:ascii="Times New Roman" w:hAnsi="Times New Roman" w:eastAsia="新宋体" w:cs="Times New Roman"/>
                <w:bCs/>
                <w:kern w:val="2"/>
                <w:sz w:val="21"/>
                <w:szCs w:val="21"/>
                <w:lang w:val="en-US" w:eastAsia="zh-CN" w:bidi="ar-SA"/>
              </w:rPr>
            </w:pPr>
            <w:r>
              <w:rPr>
                <w:rFonts w:ascii="Times New Roman" w:hAnsi="Times New Roman" w:eastAsia="新宋体" w:cs="Times New Roman"/>
                <w:bCs/>
                <w:sz w:val="21"/>
                <w:szCs w:val="21"/>
              </w:rPr>
              <w:t>10.备品备件及耗材等要求：有稳定的备件供应渠道，并从设备厂商的中国公司及其分销商购置整机和备件补充，可以满足客户的设备在升级、扩充和保修服务配件及消耗品等多方面的需求，</w:t>
            </w:r>
            <w:r>
              <w:rPr>
                <w:rFonts w:hint="eastAsia" w:eastAsia="新宋体" w:cs="Times New Roman"/>
                <w:bCs/>
                <w:sz w:val="21"/>
                <w:szCs w:val="21"/>
                <w:lang w:eastAsia="zh-CN"/>
              </w:rPr>
              <w:t>供应商</w:t>
            </w:r>
            <w:r>
              <w:rPr>
                <w:rFonts w:ascii="Times New Roman" w:hAnsi="Times New Roman" w:eastAsia="新宋体" w:cs="Times New Roman"/>
                <w:bCs/>
                <w:sz w:val="21"/>
                <w:szCs w:val="21"/>
              </w:rPr>
              <w:t>就相关备品备件及耗材价格与采购人友好协商，应以优惠价格提供相关服务。</w:t>
            </w:r>
          </w:p>
        </w:tc>
      </w:tr>
      <w:tr w14:paraId="5391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4AB2A5">
            <w:pPr>
              <w:spacing w:line="360" w:lineRule="exact"/>
              <w:ind w:firstLine="0" w:firstLineChars="0"/>
              <w:jc w:val="center"/>
              <w:rPr>
                <w:rFonts w:hint="eastAsia" w:ascii="Times New Roman" w:hAnsi="Times New Roman" w:eastAsia="新宋体" w:cs="Times New Roman"/>
                <w:sz w:val="21"/>
                <w:szCs w:val="21"/>
              </w:rPr>
            </w:pPr>
            <w:r>
              <w:rPr>
                <w:rFonts w:ascii="Times New Roman" w:hAnsi="Times New Roman" w:eastAsia="宋体" w:cs="Times New Roman"/>
                <w:sz w:val="21"/>
                <w:szCs w:val="21"/>
              </w:rPr>
              <w:t>规范标准</w:t>
            </w:r>
          </w:p>
        </w:tc>
        <w:tc>
          <w:tcPr>
            <w:tcW w:w="82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E2AB70A">
            <w:pPr>
              <w:spacing w:line="360" w:lineRule="exact"/>
              <w:ind w:firstLine="0" w:firstLineChars="0"/>
              <w:jc w:val="left"/>
              <w:rPr>
                <w:rFonts w:ascii="Times New Roman" w:hAnsi="Times New Roman" w:eastAsia="宋体" w:cs="Times New Roman"/>
                <w:sz w:val="21"/>
              </w:rPr>
            </w:pPr>
            <w:r>
              <w:rPr>
                <w:rFonts w:ascii="Times New Roman" w:hAnsi="Times New Roman" w:eastAsia="宋体" w:cs="Times New Roman"/>
                <w:sz w:val="21"/>
              </w:rPr>
              <w:t>采购标的需执行的国家标准、行业标准、地方标准或者其他标准、规范。多项标准</w:t>
            </w:r>
          </w:p>
          <w:p w14:paraId="56C5CC03">
            <w:pPr>
              <w:spacing w:line="360" w:lineRule="exact"/>
              <w:ind w:firstLine="0" w:firstLineChars="0"/>
              <w:jc w:val="left"/>
              <w:rPr>
                <w:rFonts w:ascii="Times New Roman" w:hAnsi="Times New Roman" w:eastAsia="新宋体" w:cs="Times New Roman"/>
                <w:bCs/>
                <w:sz w:val="21"/>
                <w:szCs w:val="21"/>
              </w:rPr>
            </w:pPr>
            <w:r>
              <w:rPr>
                <w:rFonts w:ascii="Times New Roman" w:hAnsi="Times New Roman" w:eastAsia="宋体" w:cs="Times New Roman"/>
                <w:sz w:val="21"/>
              </w:rPr>
              <w:t>的，按最新标准或较高标准执行。</w:t>
            </w:r>
          </w:p>
        </w:tc>
      </w:tr>
      <w:tr w14:paraId="0E3C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08FA4C">
            <w:pPr>
              <w:spacing w:line="360" w:lineRule="exact"/>
              <w:ind w:firstLine="0" w:firstLineChars="0"/>
              <w:jc w:val="center"/>
              <w:rPr>
                <w:rFonts w:hint="eastAsia" w:ascii="Times New Roman" w:hAnsi="Times New Roman" w:eastAsia="新宋体" w:cs="Times New Roman"/>
                <w:sz w:val="21"/>
                <w:szCs w:val="21"/>
              </w:rPr>
            </w:pPr>
            <w:r>
              <w:rPr>
                <w:rFonts w:ascii="Times New Roman" w:hAnsi="Times New Roman" w:eastAsia="宋体" w:cs="Times New Roman"/>
                <w:sz w:val="21"/>
                <w:szCs w:val="21"/>
              </w:rPr>
              <w:t>采购标的验收标准</w:t>
            </w:r>
          </w:p>
        </w:tc>
        <w:tc>
          <w:tcPr>
            <w:tcW w:w="82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DF909D">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1.采购人可以根据采购项目具体情况自行组织验收，或者委托</w:t>
            </w:r>
            <w:r>
              <w:rPr>
                <w:rFonts w:ascii="Times New Roman" w:hAnsi="Times New Roman" w:eastAsia="宋体" w:cs="Times New Roman"/>
                <w:kern w:val="0"/>
                <w:sz w:val="21"/>
                <w:szCs w:val="21"/>
                <w:highlight w:val="none"/>
              </w:rPr>
              <w:t>第三方机构或部门开展采购项目履约验收工作，验收过程中所产生的一切费用均由</w:t>
            </w:r>
            <w:r>
              <w:rPr>
                <w:rFonts w:hint="eastAsia" w:cs="Times New Roman"/>
                <w:kern w:val="0"/>
                <w:sz w:val="21"/>
                <w:szCs w:val="21"/>
                <w:highlight w:val="none"/>
                <w:lang w:eastAsia="zh-CN"/>
              </w:rPr>
              <w:t>供应商</w:t>
            </w:r>
            <w:r>
              <w:rPr>
                <w:rFonts w:ascii="Times New Roman" w:hAnsi="Times New Roman" w:eastAsia="宋体" w:cs="Times New Roman"/>
                <w:kern w:val="0"/>
                <w:sz w:val="21"/>
                <w:szCs w:val="21"/>
                <w:highlight w:val="none"/>
              </w:rPr>
              <w:t>承担，</w:t>
            </w:r>
            <w:r>
              <w:rPr>
                <w:rFonts w:hint="eastAsia" w:cs="Times New Roman"/>
                <w:kern w:val="0"/>
                <w:sz w:val="21"/>
                <w:szCs w:val="21"/>
                <w:highlight w:val="none"/>
                <w:lang w:eastAsia="zh-CN"/>
              </w:rPr>
              <w:t>竞价人</w:t>
            </w:r>
            <w:r>
              <w:rPr>
                <w:rFonts w:ascii="Times New Roman" w:hAnsi="Times New Roman" w:eastAsia="宋体" w:cs="Times New Roman"/>
                <w:kern w:val="0"/>
                <w:sz w:val="21"/>
                <w:szCs w:val="21"/>
                <w:highlight w:val="none"/>
              </w:rPr>
              <w:t>在</w:t>
            </w:r>
            <w:r>
              <w:rPr>
                <w:rFonts w:hint="eastAsia" w:cs="Times New Roman"/>
                <w:kern w:val="0"/>
                <w:sz w:val="21"/>
                <w:szCs w:val="21"/>
                <w:highlight w:val="none"/>
                <w:lang w:val="en-US" w:eastAsia="zh-CN"/>
              </w:rPr>
              <w:t>竞价</w:t>
            </w:r>
            <w:r>
              <w:rPr>
                <w:rFonts w:ascii="Times New Roman" w:hAnsi="Times New Roman" w:eastAsia="宋体" w:cs="Times New Roman"/>
                <w:kern w:val="0"/>
                <w:sz w:val="21"/>
                <w:szCs w:val="21"/>
                <w:highlight w:val="none"/>
              </w:rPr>
              <w:t>报</w:t>
            </w:r>
            <w:r>
              <w:rPr>
                <w:rFonts w:ascii="Times New Roman" w:hAnsi="Times New Roman" w:eastAsia="宋体" w:cs="Times New Roman"/>
                <w:kern w:val="0"/>
                <w:sz w:val="21"/>
                <w:szCs w:val="21"/>
              </w:rPr>
              <w:t>价时应考虑相关费用。</w:t>
            </w:r>
          </w:p>
          <w:p w14:paraId="268995BA">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2.在验收过程中发现</w:t>
            </w:r>
            <w:r>
              <w:rPr>
                <w:rFonts w:hint="eastAsia" w:cs="Times New Roman"/>
                <w:kern w:val="0"/>
                <w:sz w:val="21"/>
                <w:szCs w:val="21"/>
                <w:lang w:eastAsia="zh-CN"/>
              </w:rPr>
              <w:t>供应商</w:t>
            </w:r>
            <w:r>
              <w:rPr>
                <w:rFonts w:ascii="Times New Roman" w:hAnsi="Times New Roman" w:eastAsia="宋体" w:cs="Times New Roman"/>
                <w:kern w:val="0"/>
                <w:sz w:val="21"/>
                <w:szCs w:val="21"/>
              </w:rPr>
              <w:t>有违约问题，可暂缓资金结算，待违约问题解决后，方可办理资金结算事宜。</w:t>
            </w:r>
          </w:p>
          <w:p w14:paraId="472A3A1A">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3.验收依据：按合同要求及国家标准进行验收。</w:t>
            </w:r>
          </w:p>
          <w:p w14:paraId="6C07DB5B">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4.验收标准</w:t>
            </w:r>
          </w:p>
          <w:p w14:paraId="2C5BFF21">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（1）所供产品的规格、数量、功能、材质、颜色等符合</w:t>
            </w:r>
            <w:r>
              <w:rPr>
                <w:rFonts w:hint="eastAsia" w:cs="Times New Roman"/>
                <w:kern w:val="0"/>
                <w:sz w:val="21"/>
                <w:szCs w:val="21"/>
                <w:lang w:eastAsia="zh-CN"/>
              </w:rPr>
              <w:t>竞价文件</w:t>
            </w:r>
            <w:r>
              <w:rPr>
                <w:rFonts w:ascii="Times New Roman" w:hAnsi="Times New Roman" w:eastAsia="宋体" w:cs="Times New Roman"/>
                <w:kern w:val="0"/>
                <w:sz w:val="21"/>
                <w:szCs w:val="21"/>
              </w:rPr>
              <w:t>采购需求及采购合同约定的要求。</w:t>
            </w:r>
          </w:p>
          <w:p w14:paraId="36351F2C">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（2）所供产品的外观完好，无严重碰撞、表皮脱落、五金件生锈等明显瑕疵。</w:t>
            </w:r>
          </w:p>
          <w:p w14:paraId="2BB04C47">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（3）所供产品结构牢固，无安全隐患。</w:t>
            </w:r>
          </w:p>
          <w:p w14:paraId="76078674">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（4）如有抽检要求的，检测结果符合</w:t>
            </w:r>
            <w:r>
              <w:rPr>
                <w:rFonts w:hint="eastAsia" w:cs="Times New Roman"/>
                <w:kern w:val="0"/>
                <w:sz w:val="21"/>
                <w:szCs w:val="21"/>
                <w:lang w:eastAsia="zh-CN"/>
              </w:rPr>
              <w:t>竞价文件</w:t>
            </w:r>
            <w:r>
              <w:rPr>
                <w:rFonts w:ascii="Times New Roman" w:hAnsi="Times New Roman" w:eastAsia="宋体" w:cs="Times New Roman"/>
                <w:kern w:val="0"/>
                <w:sz w:val="21"/>
                <w:szCs w:val="21"/>
              </w:rPr>
              <w:t>采购需求及采购合同约定的要求。</w:t>
            </w:r>
          </w:p>
          <w:p w14:paraId="095A0645">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（5）所有产品均已运输至指定地点，并安装调试完毕。</w:t>
            </w:r>
          </w:p>
          <w:p w14:paraId="62ECFB35">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r>
              <w:rPr>
                <w:rFonts w:hint="eastAsia" w:cs="Times New Roman"/>
                <w:kern w:val="0"/>
                <w:sz w:val="21"/>
                <w:szCs w:val="21"/>
                <w:lang w:eastAsia="zh-CN"/>
              </w:rPr>
              <w:t>竞价文件</w:t>
            </w:r>
            <w:r>
              <w:rPr>
                <w:rFonts w:ascii="Times New Roman" w:hAnsi="Times New Roman" w:eastAsia="宋体" w:cs="Times New Roman"/>
                <w:kern w:val="0"/>
                <w:sz w:val="21"/>
                <w:szCs w:val="21"/>
              </w:rPr>
              <w:t>采购需求及采购合同约定的附件、工具、技术资料等齐全；提供产品使用说明书、合格证。</w:t>
            </w:r>
          </w:p>
          <w:p w14:paraId="76D5FD9A">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（7）货物技术参数应与</w:t>
            </w:r>
            <w:r>
              <w:rPr>
                <w:rFonts w:hint="eastAsia" w:cs="Times New Roman"/>
                <w:kern w:val="0"/>
                <w:sz w:val="21"/>
                <w:szCs w:val="21"/>
                <w:lang w:eastAsia="zh-CN"/>
              </w:rPr>
              <w:t>竞价文件</w:t>
            </w:r>
            <w:r>
              <w:rPr>
                <w:rFonts w:ascii="Times New Roman" w:hAnsi="Times New Roman" w:eastAsia="宋体" w:cs="Times New Roman"/>
                <w:kern w:val="0"/>
                <w:sz w:val="21"/>
                <w:szCs w:val="21"/>
              </w:rPr>
              <w:t>中响应表或证明材料一致，性能或指标达到规定的标准。否则，以实际货物或服务技术参数与响应文件响应表参数或证明材料比较，按如下情况处理：</w:t>
            </w:r>
          </w:p>
          <w:p w14:paraId="4B47E1E8">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①供应商</w:t>
            </w:r>
            <w:r>
              <w:rPr>
                <w:rFonts w:hint="eastAsia" w:cs="Times New Roman"/>
                <w:kern w:val="0"/>
                <w:sz w:val="21"/>
                <w:szCs w:val="21"/>
                <w:lang w:eastAsia="zh-CN"/>
              </w:rPr>
              <w:t>竞价文件</w:t>
            </w:r>
            <w:r>
              <w:rPr>
                <w:rFonts w:ascii="Times New Roman" w:hAnsi="Times New Roman" w:eastAsia="宋体" w:cs="Times New Roman"/>
                <w:kern w:val="0"/>
                <w:sz w:val="21"/>
                <w:szCs w:val="21"/>
              </w:rPr>
              <w:t>响应表或证明材料中满足或优于的技术参数，在验收时实际不满足技术参数要求的，视为供货商违约，按相关规定做退货处理及违约处理，采购人将上报政府采购监督管理部门同时追究</w:t>
            </w:r>
            <w:r>
              <w:rPr>
                <w:rFonts w:hint="eastAsia" w:cs="Times New Roman"/>
                <w:kern w:val="0"/>
                <w:sz w:val="21"/>
                <w:szCs w:val="21"/>
                <w:lang w:eastAsia="zh-CN"/>
              </w:rPr>
              <w:t>供应商</w:t>
            </w:r>
            <w:r>
              <w:rPr>
                <w:rFonts w:ascii="Times New Roman" w:hAnsi="Times New Roman" w:eastAsia="宋体" w:cs="Times New Roman"/>
                <w:kern w:val="0"/>
                <w:sz w:val="21"/>
                <w:szCs w:val="21"/>
              </w:rPr>
              <w:t>相应责任。</w:t>
            </w:r>
          </w:p>
          <w:p w14:paraId="63E291B3">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②供应商</w:t>
            </w:r>
            <w:r>
              <w:rPr>
                <w:rFonts w:hint="eastAsia" w:cs="Times New Roman"/>
                <w:kern w:val="0"/>
                <w:sz w:val="21"/>
                <w:szCs w:val="21"/>
                <w:lang w:eastAsia="zh-CN"/>
              </w:rPr>
              <w:t>竞价文件</w:t>
            </w:r>
            <w:r>
              <w:rPr>
                <w:rFonts w:ascii="Times New Roman" w:hAnsi="Times New Roman" w:eastAsia="宋体" w:cs="Times New Roman"/>
                <w:kern w:val="0"/>
                <w:sz w:val="21"/>
                <w:szCs w:val="21"/>
              </w:rPr>
              <w:t>响应表或证明材料中优于的技术参数，在验收时实际仅满足并未优于技术参数要求的，视为供货商违约，按相关规定做退货处理及违约处理，采购人将上报政府采购监督管理部门同时追究</w:t>
            </w:r>
            <w:r>
              <w:rPr>
                <w:rFonts w:hint="eastAsia" w:cs="Times New Roman"/>
                <w:kern w:val="0"/>
                <w:sz w:val="21"/>
                <w:szCs w:val="21"/>
                <w:lang w:eastAsia="zh-CN"/>
              </w:rPr>
              <w:t>供应商</w:t>
            </w:r>
            <w:r>
              <w:rPr>
                <w:rFonts w:ascii="Times New Roman" w:hAnsi="Times New Roman" w:eastAsia="宋体" w:cs="Times New Roman"/>
                <w:kern w:val="0"/>
                <w:sz w:val="21"/>
                <w:szCs w:val="21"/>
              </w:rPr>
              <w:t>相应责任。</w:t>
            </w:r>
          </w:p>
          <w:p w14:paraId="0D410365">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③供应商</w:t>
            </w:r>
            <w:r>
              <w:rPr>
                <w:rFonts w:hint="eastAsia" w:cs="Times New Roman"/>
                <w:kern w:val="0"/>
                <w:sz w:val="21"/>
                <w:szCs w:val="21"/>
                <w:lang w:eastAsia="zh-CN"/>
              </w:rPr>
              <w:t>竞价文件</w:t>
            </w:r>
            <w:r>
              <w:rPr>
                <w:rFonts w:ascii="Times New Roman" w:hAnsi="Times New Roman" w:eastAsia="宋体" w:cs="Times New Roman"/>
                <w:kern w:val="0"/>
                <w:sz w:val="21"/>
                <w:szCs w:val="21"/>
              </w:rPr>
              <w:t xml:space="preserve">响应表或证明材料中不满足的技术参数，在验收时实际满足技术参数的要求，以满足技术参数的要求验收。 </w:t>
            </w:r>
          </w:p>
          <w:p w14:paraId="0B228B8A">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④供应商</w:t>
            </w:r>
            <w:r>
              <w:rPr>
                <w:rFonts w:hint="eastAsia" w:cs="Times New Roman"/>
                <w:kern w:val="0"/>
                <w:sz w:val="21"/>
                <w:szCs w:val="21"/>
                <w:lang w:eastAsia="zh-CN"/>
              </w:rPr>
              <w:t>竞价文件</w:t>
            </w:r>
            <w:r>
              <w:rPr>
                <w:rFonts w:ascii="Times New Roman" w:hAnsi="Times New Roman" w:eastAsia="宋体" w:cs="Times New Roman"/>
                <w:kern w:val="0"/>
                <w:sz w:val="21"/>
                <w:szCs w:val="21"/>
              </w:rPr>
              <w:t>响应表或证明材料中满足的技术参数，在验收时实际优于技术参数的要求，以满足技术参数的要求验收。</w:t>
            </w:r>
          </w:p>
          <w:p w14:paraId="764ED5FE">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⑤供应商</w:t>
            </w:r>
            <w:r>
              <w:rPr>
                <w:rFonts w:hint="eastAsia" w:cs="Times New Roman"/>
                <w:kern w:val="0"/>
                <w:sz w:val="21"/>
                <w:szCs w:val="21"/>
                <w:lang w:eastAsia="zh-CN"/>
              </w:rPr>
              <w:t>竞价文件</w:t>
            </w:r>
            <w:r>
              <w:rPr>
                <w:rFonts w:ascii="Times New Roman" w:hAnsi="Times New Roman" w:eastAsia="宋体" w:cs="Times New Roman"/>
                <w:kern w:val="0"/>
                <w:sz w:val="21"/>
                <w:szCs w:val="21"/>
              </w:rPr>
              <w:t>响应表或证明材料中优于的技术参数，在验收时实际也优于技术参数的要求，但没有达到响应表或证明材料中优于的程度，由采购人与供应商协商按是否满足要求验收。</w:t>
            </w:r>
          </w:p>
          <w:p w14:paraId="425FC7E6">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⑥实际货物与响应货物型号不一致的，验收时不论实际是优于还是满足技术参数的要求，采购人将上报政府采购监督管理部门同时追究</w:t>
            </w:r>
            <w:r>
              <w:rPr>
                <w:rFonts w:hint="eastAsia" w:cs="Times New Roman"/>
                <w:kern w:val="0"/>
                <w:sz w:val="21"/>
                <w:szCs w:val="21"/>
                <w:lang w:eastAsia="zh-CN"/>
              </w:rPr>
              <w:t>供应商</w:t>
            </w:r>
            <w:r>
              <w:rPr>
                <w:rFonts w:ascii="Times New Roman" w:hAnsi="Times New Roman" w:eastAsia="宋体" w:cs="Times New Roman"/>
                <w:kern w:val="0"/>
                <w:sz w:val="21"/>
                <w:szCs w:val="21"/>
              </w:rPr>
              <w:t>相应责任，并追究供应商责任。</w:t>
            </w:r>
          </w:p>
          <w:p w14:paraId="35159F85">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5.验收要求</w:t>
            </w:r>
          </w:p>
          <w:p w14:paraId="71A66EE4">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验收小组以项目</w:t>
            </w:r>
            <w:r>
              <w:rPr>
                <w:rFonts w:hint="eastAsia" w:cs="Times New Roman"/>
                <w:kern w:val="0"/>
                <w:sz w:val="21"/>
                <w:szCs w:val="21"/>
                <w:lang w:eastAsia="zh-CN"/>
              </w:rPr>
              <w:t>竞价文件</w:t>
            </w:r>
            <w:r>
              <w:rPr>
                <w:rFonts w:ascii="Times New Roman" w:hAnsi="Times New Roman" w:eastAsia="宋体" w:cs="Times New Roman"/>
                <w:kern w:val="0"/>
                <w:sz w:val="21"/>
                <w:szCs w:val="21"/>
              </w:rPr>
              <w:t>及采购合同为验收依据，对供货产品技术参数核对检验，如不符合技术参数要求的，</w:t>
            </w:r>
            <w:r>
              <w:rPr>
                <w:rFonts w:hint="eastAsia" w:cs="Times New Roman"/>
                <w:kern w:val="0"/>
                <w:sz w:val="21"/>
                <w:szCs w:val="21"/>
                <w:lang w:eastAsia="zh-CN"/>
              </w:rPr>
              <w:t>供应商</w:t>
            </w:r>
            <w:r>
              <w:rPr>
                <w:rFonts w:ascii="Times New Roman" w:hAnsi="Times New Roman" w:eastAsia="宋体" w:cs="Times New Roman"/>
                <w:kern w:val="0"/>
                <w:sz w:val="21"/>
                <w:szCs w:val="21"/>
              </w:rPr>
              <w:t>承担所有责任和费用。采购人保留进一步追究责任的权利。</w:t>
            </w:r>
          </w:p>
          <w:p w14:paraId="3A4994AA">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r>
              <w:rPr>
                <w:rFonts w:hint="eastAsia" w:cs="Times New Roman"/>
                <w:kern w:val="0"/>
                <w:sz w:val="21"/>
                <w:szCs w:val="21"/>
                <w:lang w:eastAsia="zh-CN"/>
              </w:rPr>
              <w:t>供应商</w:t>
            </w:r>
            <w:r>
              <w:rPr>
                <w:rFonts w:ascii="Times New Roman" w:hAnsi="Times New Roman" w:eastAsia="宋体" w:cs="Times New Roman"/>
                <w:kern w:val="0"/>
                <w:sz w:val="21"/>
                <w:szCs w:val="21"/>
              </w:rPr>
              <w:t>按时间结点完成货物供货后，应及时整理技术资料并作出全面检查和整理，列出清单，作为采购人验收和使用的技术条件依据，清单应交给采购人；同时以书面形式通知采购人进行验收，采购人在收到通知后五个工作日内进行验收。</w:t>
            </w:r>
          </w:p>
          <w:p w14:paraId="49C711E6">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（2）验收时</w:t>
            </w:r>
            <w:r>
              <w:rPr>
                <w:rFonts w:hint="eastAsia" w:cs="Times New Roman"/>
                <w:kern w:val="0"/>
                <w:sz w:val="21"/>
                <w:szCs w:val="21"/>
                <w:lang w:eastAsia="zh-CN"/>
              </w:rPr>
              <w:t>供应商</w:t>
            </w:r>
            <w:r>
              <w:rPr>
                <w:rFonts w:ascii="Times New Roman" w:hAnsi="Times New Roman" w:eastAsia="宋体" w:cs="Times New Roman"/>
                <w:kern w:val="0"/>
                <w:sz w:val="21"/>
                <w:szCs w:val="21"/>
              </w:rPr>
              <w:t>提供验收文档，包括但不限于：技术方案、实施方案、售后服务方案、培训方案、系统部署文档、测试文档、使用说明书、电子文档，以及对所有需要进行核查的原件等。</w:t>
            </w:r>
          </w:p>
          <w:p w14:paraId="0242CB06">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（3）如供货产品不合格或不符合技术参数要求的，由</w:t>
            </w:r>
            <w:r>
              <w:rPr>
                <w:rFonts w:hint="eastAsia" w:cs="Times New Roman"/>
                <w:kern w:val="0"/>
                <w:sz w:val="21"/>
                <w:szCs w:val="21"/>
                <w:lang w:eastAsia="zh-CN"/>
              </w:rPr>
              <w:t>供应商</w:t>
            </w:r>
            <w:r>
              <w:rPr>
                <w:rFonts w:ascii="Times New Roman" w:hAnsi="Times New Roman" w:eastAsia="宋体" w:cs="Times New Roman"/>
                <w:kern w:val="0"/>
                <w:sz w:val="21"/>
                <w:szCs w:val="21"/>
              </w:rPr>
              <w:t>按采购人（或者采购人委托的第三方机构或部门）要求整改，</w:t>
            </w:r>
            <w:r>
              <w:rPr>
                <w:rFonts w:hint="eastAsia" w:cs="Times New Roman"/>
                <w:kern w:val="0"/>
                <w:sz w:val="21"/>
                <w:szCs w:val="21"/>
                <w:lang w:eastAsia="zh-CN"/>
              </w:rPr>
              <w:t>供应商</w:t>
            </w:r>
            <w:r>
              <w:rPr>
                <w:rFonts w:ascii="Times New Roman" w:hAnsi="Times New Roman" w:eastAsia="宋体" w:cs="Times New Roman"/>
                <w:kern w:val="0"/>
                <w:sz w:val="21"/>
                <w:szCs w:val="21"/>
              </w:rPr>
              <w:t>不按要求整改或拒不整改的，采购人将上报政府采购监督管理部门同时追究</w:t>
            </w:r>
            <w:r>
              <w:rPr>
                <w:rFonts w:hint="eastAsia" w:cs="Times New Roman"/>
                <w:kern w:val="0"/>
                <w:sz w:val="21"/>
                <w:szCs w:val="21"/>
                <w:lang w:eastAsia="zh-CN"/>
              </w:rPr>
              <w:t>供应商</w:t>
            </w:r>
            <w:r>
              <w:rPr>
                <w:rFonts w:ascii="Times New Roman" w:hAnsi="Times New Roman" w:eastAsia="宋体" w:cs="Times New Roman"/>
                <w:kern w:val="0"/>
                <w:sz w:val="21"/>
                <w:szCs w:val="21"/>
              </w:rPr>
              <w:t>相应责任，给采购人造成的损失等费用由</w:t>
            </w:r>
            <w:r>
              <w:rPr>
                <w:rFonts w:hint="eastAsia" w:cs="Times New Roman"/>
                <w:kern w:val="0"/>
                <w:sz w:val="21"/>
                <w:szCs w:val="21"/>
                <w:lang w:eastAsia="zh-CN"/>
              </w:rPr>
              <w:t>供应商</w:t>
            </w:r>
            <w:r>
              <w:rPr>
                <w:rFonts w:ascii="Times New Roman" w:hAnsi="Times New Roman" w:eastAsia="宋体" w:cs="Times New Roman"/>
                <w:kern w:val="0"/>
                <w:sz w:val="21"/>
                <w:szCs w:val="21"/>
              </w:rPr>
              <w:t>承担。</w:t>
            </w:r>
          </w:p>
          <w:p w14:paraId="0228A20D">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（4）如</w:t>
            </w:r>
            <w:r>
              <w:rPr>
                <w:rFonts w:hint="eastAsia" w:cs="Times New Roman"/>
                <w:kern w:val="0"/>
                <w:sz w:val="21"/>
                <w:szCs w:val="21"/>
                <w:lang w:eastAsia="zh-CN"/>
              </w:rPr>
              <w:t>供应商</w:t>
            </w:r>
            <w:r>
              <w:rPr>
                <w:rFonts w:ascii="Times New Roman" w:hAnsi="Times New Roman" w:eastAsia="宋体" w:cs="Times New Roman"/>
                <w:kern w:val="0"/>
                <w:sz w:val="21"/>
                <w:szCs w:val="21"/>
              </w:rPr>
              <w:t>提供虚假材料的，除按相关规定做违约处理外，采购人依据相关法律规定追究</w:t>
            </w:r>
            <w:r>
              <w:rPr>
                <w:rFonts w:hint="eastAsia" w:cs="Times New Roman"/>
                <w:kern w:val="0"/>
                <w:sz w:val="21"/>
                <w:szCs w:val="21"/>
                <w:lang w:eastAsia="zh-CN"/>
              </w:rPr>
              <w:t>供应商</w:t>
            </w:r>
            <w:r>
              <w:rPr>
                <w:rFonts w:ascii="Times New Roman" w:hAnsi="Times New Roman" w:eastAsia="宋体" w:cs="Times New Roman"/>
                <w:kern w:val="0"/>
                <w:sz w:val="21"/>
                <w:szCs w:val="21"/>
              </w:rPr>
              <w:t>的责任，由此带来的一切责任及损失由</w:t>
            </w:r>
            <w:r>
              <w:rPr>
                <w:rFonts w:hint="eastAsia" w:cs="Times New Roman"/>
                <w:kern w:val="0"/>
                <w:sz w:val="21"/>
                <w:szCs w:val="21"/>
                <w:lang w:eastAsia="zh-CN"/>
              </w:rPr>
              <w:t>供应商</w:t>
            </w:r>
            <w:r>
              <w:rPr>
                <w:rFonts w:ascii="Times New Roman" w:hAnsi="Times New Roman" w:eastAsia="宋体" w:cs="Times New Roman"/>
                <w:kern w:val="0"/>
                <w:sz w:val="21"/>
                <w:szCs w:val="21"/>
              </w:rPr>
              <w:t>自行承担。</w:t>
            </w:r>
          </w:p>
          <w:p w14:paraId="0489A7B7">
            <w:pPr>
              <w:snapToGrid w:val="0"/>
              <w:spacing w:line="360" w:lineRule="exact"/>
              <w:ind w:firstLine="0" w:firstLineChars="0"/>
              <w:outlineLvl w:val="0"/>
              <w:rPr>
                <w:rFonts w:ascii="Times New Roman" w:hAnsi="Times New Roman" w:eastAsia="宋体" w:cs="Times New Roman"/>
                <w:kern w:val="0"/>
                <w:sz w:val="21"/>
                <w:szCs w:val="21"/>
              </w:rPr>
            </w:pPr>
            <w:r>
              <w:rPr>
                <w:rFonts w:ascii="Times New Roman" w:hAnsi="Times New Roman" w:eastAsia="宋体" w:cs="Times New Roman"/>
                <w:kern w:val="0"/>
                <w:sz w:val="21"/>
                <w:szCs w:val="21"/>
              </w:rPr>
              <w:t>（5）在项目验收过程中，如项目验收不合格，有关返工、再行验收产生相关成本费用，以及给采购人造成的损失等费用由</w:t>
            </w:r>
            <w:r>
              <w:rPr>
                <w:rFonts w:hint="eastAsia" w:cs="Times New Roman"/>
                <w:kern w:val="0"/>
                <w:sz w:val="21"/>
                <w:szCs w:val="21"/>
                <w:lang w:eastAsia="zh-CN"/>
              </w:rPr>
              <w:t>供应商</w:t>
            </w:r>
            <w:r>
              <w:rPr>
                <w:rFonts w:ascii="Times New Roman" w:hAnsi="Times New Roman" w:eastAsia="宋体" w:cs="Times New Roman"/>
                <w:kern w:val="0"/>
                <w:sz w:val="21"/>
                <w:szCs w:val="21"/>
              </w:rPr>
              <w:t>承担。连续两次项目验收不合格的，或弄虚作假的行为，采购单位将不予验收，采购人有权解除合同，并追究</w:t>
            </w:r>
            <w:r>
              <w:rPr>
                <w:rFonts w:hint="eastAsia" w:cs="Times New Roman"/>
                <w:kern w:val="0"/>
                <w:sz w:val="21"/>
                <w:szCs w:val="21"/>
                <w:lang w:eastAsia="zh-CN"/>
              </w:rPr>
              <w:t>供应商</w:t>
            </w:r>
            <w:r>
              <w:rPr>
                <w:rFonts w:ascii="Times New Roman" w:hAnsi="Times New Roman" w:eastAsia="宋体" w:cs="Times New Roman"/>
                <w:kern w:val="0"/>
                <w:sz w:val="21"/>
                <w:szCs w:val="21"/>
              </w:rPr>
              <w:t>的责任，由此带来的一切责任由</w:t>
            </w:r>
            <w:r>
              <w:rPr>
                <w:rFonts w:hint="eastAsia" w:cs="Times New Roman"/>
                <w:kern w:val="0"/>
                <w:sz w:val="21"/>
                <w:szCs w:val="21"/>
                <w:lang w:eastAsia="zh-CN"/>
              </w:rPr>
              <w:t>供应商</w:t>
            </w:r>
            <w:r>
              <w:rPr>
                <w:rFonts w:ascii="Times New Roman" w:hAnsi="Times New Roman" w:eastAsia="宋体" w:cs="Times New Roman"/>
                <w:kern w:val="0"/>
                <w:sz w:val="21"/>
                <w:szCs w:val="21"/>
              </w:rPr>
              <w:t>自行承担。</w:t>
            </w:r>
          </w:p>
          <w:p w14:paraId="52E03FAB">
            <w:pPr>
              <w:snapToGrid w:val="0"/>
              <w:spacing w:line="360" w:lineRule="exact"/>
              <w:ind w:firstLine="0" w:firstLineChars="0"/>
              <w:outlineLvl w:val="0"/>
              <w:rPr>
                <w:rFonts w:ascii="Times New Roman" w:hAnsi="Times New Roman" w:eastAsia="新宋体" w:cs="Times New Roman"/>
                <w:bCs/>
                <w:sz w:val="21"/>
                <w:szCs w:val="21"/>
              </w:rPr>
            </w:pPr>
            <w:r>
              <w:rPr>
                <w:rFonts w:ascii="Times New Roman" w:hAnsi="Times New Roman" w:eastAsia="宋体" w:cs="Times New Roman"/>
                <w:kern w:val="0"/>
                <w:sz w:val="21"/>
                <w:szCs w:val="21"/>
              </w:rPr>
              <w:t>（6）项目验收过程中，采购人需委托第三方检测机构介入的，费用由</w:t>
            </w:r>
            <w:r>
              <w:rPr>
                <w:rFonts w:hint="eastAsia" w:cs="Times New Roman"/>
                <w:kern w:val="0"/>
                <w:sz w:val="21"/>
                <w:szCs w:val="21"/>
                <w:lang w:eastAsia="zh-CN"/>
              </w:rPr>
              <w:t>供应商</w:t>
            </w:r>
            <w:r>
              <w:rPr>
                <w:rFonts w:ascii="Times New Roman" w:hAnsi="Times New Roman" w:eastAsia="宋体" w:cs="Times New Roman"/>
                <w:kern w:val="0"/>
                <w:sz w:val="21"/>
                <w:szCs w:val="21"/>
              </w:rPr>
              <w:t>另行承担。</w:t>
            </w:r>
          </w:p>
        </w:tc>
      </w:tr>
      <w:tr w14:paraId="571F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1F81C4">
            <w:pPr>
              <w:tabs>
                <w:tab w:val="left" w:pos="180"/>
                <w:tab w:val="left" w:pos="1620"/>
              </w:tabs>
              <w:spacing w:line="360" w:lineRule="exact"/>
              <w:ind w:firstLine="0" w:firstLineChars="0"/>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 w:val="21"/>
              </w:rPr>
              <w:t>履约保证金</w:t>
            </w:r>
          </w:p>
        </w:tc>
        <w:tc>
          <w:tcPr>
            <w:tcW w:w="82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F5FB9B">
            <w:pPr>
              <w:spacing w:line="360" w:lineRule="auto"/>
              <w:jc w:val="left"/>
              <w:rPr>
                <w:rFonts w:hint="default" w:ascii="Times New Roman" w:hAnsi="Times New Roman" w:eastAsia="宋体"/>
                <w:b w:val="0"/>
                <w:bCs w:val="0"/>
                <w:sz w:val="21"/>
                <w:szCs w:val="21"/>
                <w:highlight w:val="none"/>
                <w:u w:val="single"/>
                <w:lang w:val="en-US" w:eastAsia="zh-CN"/>
              </w:rPr>
            </w:pPr>
            <w:r>
              <w:rPr>
                <w:rFonts w:hint="eastAsia" w:ascii="Times New Roman" w:hAnsi="Times New Roman" w:eastAsia="宋体"/>
                <w:b w:val="0"/>
                <w:bCs w:val="0"/>
                <w:sz w:val="21"/>
                <w:szCs w:val="21"/>
                <w:highlight w:val="none"/>
              </w:rPr>
              <w:t>1.履约保证金金额：</w:t>
            </w:r>
            <w:r>
              <w:rPr>
                <w:rFonts w:hint="eastAsia"/>
                <w:b w:val="0"/>
                <w:bCs w:val="0"/>
                <w:sz w:val="21"/>
                <w:szCs w:val="21"/>
                <w:highlight w:val="none"/>
                <w:lang w:val="en-US" w:eastAsia="zh-CN"/>
              </w:rPr>
              <w:t>合同金额</w:t>
            </w:r>
            <w:r>
              <w:rPr>
                <w:rFonts w:hint="eastAsia" w:ascii="Times New Roman" w:hAnsi="Times New Roman" w:eastAsia="宋体"/>
                <w:b w:val="0"/>
                <w:bCs w:val="0"/>
                <w:sz w:val="21"/>
                <w:szCs w:val="21"/>
                <w:highlight w:val="none"/>
              </w:rPr>
              <w:t>的</w:t>
            </w:r>
            <w:r>
              <w:rPr>
                <w:rFonts w:hint="eastAsia"/>
                <w:b w:val="0"/>
                <w:bCs w:val="0"/>
                <w:sz w:val="21"/>
                <w:szCs w:val="21"/>
                <w:highlight w:val="none"/>
                <w:lang w:val="en-US" w:eastAsia="zh-CN"/>
              </w:rPr>
              <w:t>5</w:t>
            </w:r>
            <w:r>
              <w:rPr>
                <w:rFonts w:hint="eastAsia" w:ascii="Times New Roman" w:hAnsi="Times New Roman" w:eastAsia="宋体"/>
                <w:b w:val="0"/>
                <w:bCs w:val="0"/>
                <w:sz w:val="21"/>
                <w:szCs w:val="21"/>
                <w:highlight w:val="none"/>
              </w:rPr>
              <w:t>%</w:t>
            </w:r>
            <w:r>
              <w:rPr>
                <w:rFonts w:hint="eastAsia"/>
                <w:b w:val="0"/>
                <w:bCs w:val="0"/>
                <w:sz w:val="21"/>
                <w:szCs w:val="21"/>
                <w:highlight w:val="none"/>
                <w:lang w:eastAsia="zh-CN"/>
              </w:rPr>
              <w:t>，</w:t>
            </w:r>
            <w:r>
              <w:rPr>
                <w:rFonts w:hint="eastAsia"/>
                <w:b w:val="0"/>
                <w:bCs w:val="0"/>
                <w:sz w:val="21"/>
                <w:szCs w:val="21"/>
                <w:highlight w:val="none"/>
                <w:lang w:val="en-US" w:eastAsia="zh-CN"/>
              </w:rPr>
              <w:t>即人民币</w:t>
            </w:r>
            <w:r>
              <w:rPr>
                <w:rFonts w:hint="eastAsia"/>
                <w:b w:val="0"/>
                <w:bCs w:val="0"/>
                <w:sz w:val="21"/>
                <w:szCs w:val="21"/>
                <w:highlight w:val="none"/>
                <w:u w:val="single"/>
                <w:lang w:val="en-US" w:eastAsia="zh-CN"/>
              </w:rPr>
              <w:t xml:space="preserve">                （</w:t>
            </w:r>
            <w:r>
              <w:rPr>
                <w:rFonts w:hint="default" w:ascii="Arial" w:hAnsi="Arial" w:cs="Arial"/>
                <w:b w:val="0"/>
                <w:bCs w:val="0"/>
                <w:sz w:val="21"/>
                <w:szCs w:val="21"/>
                <w:highlight w:val="none"/>
                <w:u w:val="single"/>
                <w:lang w:val="en-US" w:eastAsia="zh-CN"/>
              </w:rPr>
              <w:t>¥</w:t>
            </w:r>
            <w:r>
              <w:rPr>
                <w:rFonts w:hint="eastAsia"/>
                <w:b w:val="0"/>
                <w:bCs w:val="0"/>
                <w:sz w:val="21"/>
                <w:szCs w:val="21"/>
                <w:highlight w:val="none"/>
                <w:u w:val="single"/>
                <w:lang w:val="en-US" w:eastAsia="zh-CN"/>
              </w:rPr>
              <w:t xml:space="preserve">         ）。</w:t>
            </w:r>
          </w:p>
          <w:p w14:paraId="4271B8D1">
            <w:pPr>
              <w:spacing w:line="360" w:lineRule="auto"/>
              <w:jc w:val="left"/>
              <w:rPr>
                <w:rFonts w:ascii="Times New Roman" w:hAnsi="Times New Roman" w:eastAsia="宋体"/>
                <w:b w:val="0"/>
                <w:bCs w:val="0"/>
                <w:sz w:val="21"/>
                <w:szCs w:val="21"/>
                <w:highlight w:val="none"/>
              </w:rPr>
            </w:pPr>
            <w:r>
              <w:rPr>
                <w:rFonts w:hint="eastAsia" w:ascii="Times New Roman" w:hAnsi="Times New Roman" w:eastAsia="宋体"/>
                <w:b w:val="0"/>
                <w:bCs w:val="0"/>
                <w:sz w:val="21"/>
                <w:szCs w:val="21"/>
                <w:highlight w:val="none"/>
              </w:rPr>
              <w:t>2.履约保证金递交方式：转账或电汇等形式（支持支票、汇票、本票、保函等形式）</w:t>
            </w:r>
          </w:p>
          <w:p w14:paraId="53954B36">
            <w:pPr>
              <w:spacing w:line="360" w:lineRule="auto"/>
              <w:jc w:val="left"/>
              <w:rPr>
                <w:rFonts w:ascii="Times New Roman" w:hAnsi="Times New Roman" w:eastAsia="宋体"/>
                <w:b w:val="0"/>
                <w:bCs w:val="0"/>
                <w:sz w:val="21"/>
                <w:szCs w:val="21"/>
                <w:highlight w:val="none"/>
              </w:rPr>
            </w:pPr>
            <w:r>
              <w:rPr>
                <w:rFonts w:hint="eastAsia" w:ascii="Times New Roman" w:hAnsi="Times New Roman" w:eastAsia="宋体"/>
                <w:b w:val="0"/>
                <w:bCs w:val="0"/>
                <w:sz w:val="21"/>
                <w:szCs w:val="21"/>
                <w:highlight w:val="none"/>
              </w:rPr>
              <w:t>3.履约保证金递交时间：签订合同后3个工作日内由成交供应商转入采购人指定保证金账户。</w:t>
            </w:r>
          </w:p>
          <w:p w14:paraId="2ACDF6D8">
            <w:pPr>
              <w:spacing w:line="360" w:lineRule="auto"/>
              <w:jc w:val="left"/>
              <w:rPr>
                <w:rFonts w:ascii="Times New Roman" w:hAnsi="Times New Roman" w:eastAsia="宋体"/>
                <w:b w:val="0"/>
                <w:bCs w:val="0"/>
                <w:sz w:val="21"/>
                <w:szCs w:val="21"/>
                <w:highlight w:val="none"/>
              </w:rPr>
            </w:pPr>
            <w:r>
              <w:rPr>
                <w:rFonts w:hint="eastAsia" w:ascii="Times New Roman" w:hAnsi="Times New Roman" w:eastAsia="宋体"/>
                <w:b w:val="0"/>
                <w:bCs w:val="0"/>
                <w:sz w:val="21"/>
                <w:szCs w:val="21"/>
                <w:highlight w:val="none"/>
              </w:rPr>
              <w:t>4.履约保证金期限：自合同签订之日起</w:t>
            </w:r>
            <w:r>
              <w:rPr>
                <w:rFonts w:hint="eastAsia" w:ascii="Times New Roman" w:hAnsi="Times New Roman" w:eastAsia="宋体"/>
                <w:b w:val="0"/>
                <w:bCs w:val="0"/>
                <w:sz w:val="21"/>
                <w:szCs w:val="21"/>
                <w:highlight w:val="none"/>
                <w:lang w:val="en-US" w:eastAsia="zh-CN"/>
              </w:rPr>
              <w:t>1</w:t>
            </w:r>
            <w:r>
              <w:rPr>
                <w:rFonts w:hint="eastAsia" w:ascii="Times New Roman" w:hAnsi="Times New Roman" w:eastAsia="宋体"/>
                <w:b w:val="0"/>
                <w:bCs w:val="0"/>
                <w:sz w:val="21"/>
                <w:szCs w:val="21"/>
                <w:highlight w:val="none"/>
              </w:rPr>
              <w:t>年</w:t>
            </w:r>
            <w:bookmarkStart w:id="0" w:name="_GoBack"/>
            <w:bookmarkEnd w:id="0"/>
          </w:p>
          <w:p w14:paraId="3FFF2088">
            <w:pPr>
              <w:spacing w:line="360" w:lineRule="auto"/>
              <w:jc w:val="left"/>
              <w:rPr>
                <w:rFonts w:ascii="Times New Roman" w:hAnsi="Times New Roman" w:eastAsia="宋体"/>
                <w:b w:val="0"/>
                <w:bCs w:val="0"/>
                <w:sz w:val="21"/>
                <w:szCs w:val="21"/>
                <w:highlight w:val="none"/>
              </w:rPr>
            </w:pPr>
            <w:r>
              <w:rPr>
                <w:rFonts w:hint="eastAsia" w:ascii="Times New Roman" w:hAnsi="Times New Roman" w:eastAsia="宋体"/>
                <w:b w:val="0"/>
                <w:bCs w:val="0"/>
                <w:sz w:val="21"/>
                <w:szCs w:val="21"/>
                <w:highlight w:val="none"/>
              </w:rPr>
              <w:t>5.履约保证金退还：履约保证期满后成交供应商无违约行为，成交供应商提供《采购项目履约保证金退付意见书》及《采购项目合同验收报告》，向采购人提出书面申请退还，采购人在收到申请后</w:t>
            </w:r>
            <w:r>
              <w:rPr>
                <w:rFonts w:hint="eastAsia" w:ascii="Times New Roman" w:hAnsi="Times New Roman" w:eastAsia="宋体"/>
                <w:b w:val="0"/>
                <w:bCs w:val="0"/>
                <w:sz w:val="21"/>
                <w:szCs w:val="21"/>
                <w:highlight w:val="none"/>
                <w:lang w:val="en-US" w:eastAsia="zh-CN"/>
              </w:rPr>
              <w:t>5</w:t>
            </w:r>
            <w:r>
              <w:rPr>
                <w:rFonts w:hint="eastAsia" w:ascii="Times New Roman" w:hAnsi="Times New Roman" w:eastAsia="宋体"/>
                <w:b w:val="0"/>
                <w:bCs w:val="0"/>
                <w:sz w:val="21"/>
                <w:szCs w:val="21"/>
                <w:highlight w:val="none"/>
              </w:rPr>
              <w:t>个工作日内按照履约保证金缴纳的具体方式，配合供应商办理无息退还事宜。保证金指定账户：</w:t>
            </w:r>
          </w:p>
          <w:p w14:paraId="44C07E2B">
            <w:pPr>
              <w:spacing w:line="360" w:lineRule="auto"/>
              <w:jc w:val="left"/>
              <w:rPr>
                <w:rFonts w:ascii="Times New Roman" w:hAnsi="Times New Roman" w:eastAsia="宋体"/>
                <w:b w:val="0"/>
                <w:bCs w:val="0"/>
                <w:sz w:val="21"/>
                <w:szCs w:val="21"/>
                <w:highlight w:val="none"/>
              </w:rPr>
            </w:pPr>
            <w:r>
              <w:rPr>
                <w:rFonts w:hint="eastAsia" w:ascii="Times New Roman" w:hAnsi="Times New Roman" w:eastAsia="宋体"/>
                <w:b w:val="0"/>
                <w:bCs w:val="0"/>
                <w:sz w:val="21"/>
                <w:szCs w:val="21"/>
                <w:highlight w:val="none"/>
              </w:rPr>
              <w:t>开户名：广西制造工程职业技术学院</w:t>
            </w:r>
          </w:p>
          <w:p w14:paraId="019AF866">
            <w:pPr>
              <w:spacing w:line="360" w:lineRule="auto"/>
              <w:jc w:val="left"/>
              <w:rPr>
                <w:rFonts w:ascii="Times New Roman" w:hAnsi="Times New Roman" w:eastAsia="宋体"/>
                <w:b w:val="0"/>
                <w:bCs w:val="0"/>
                <w:sz w:val="21"/>
                <w:szCs w:val="21"/>
                <w:highlight w:val="none"/>
              </w:rPr>
            </w:pPr>
            <w:r>
              <w:rPr>
                <w:rFonts w:hint="eastAsia" w:ascii="Times New Roman" w:hAnsi="Times New Roman" w:eastAsia="宋体"/>
                <w:b w:val="0"/>
                <w:bCs w:val="0"/>
                <w:sz w:val="21"/>
                <w:szCs w:val="21"/>
                <w:highlight w:val="none"/>
              </w:rPr>
              <w:t>开户行：农行南宁东盟经济园区支行</w:t>
            </w:r>
          </w:p>
          <w:p w14:paraId="1442175F">
            <w:pPr>
              <w:snapToGrid w:val="0"/>
              <w:spacing w:line="360" w:lineRule="exact"/>
              <w:ind w:firstLine="0" w:firstLineChars="0"/>
              <w:outlineLvl w:val="0"/>
              <w:rPr>
                <w:rFonts w:ascii="Times New Roman" w:hAnsi="Times New Roman" w:eastAsia="宋体" w:cs="Times New Roman"/>
                <w:kern w:val="2"/>
                <w:sz w:val="21"/>
                <w:szCs w:val="22"/>
                <w:lang w:val="en-US" w:eastAsia="zh-CN" w:bidi="ar-SA"/>
              </w:rPr>
            </w:pPr>
            <w:r>
              <w:rPr>
                <w:rFonts w:hint="eastAsia" w:ascii="Times New Roman" w:hAnsi="Times New Roman" w:eastAsia="宋体"/>
                <w:b w:val="0"/>
                <w:bCs w:val="0"/>
                <w:sz w:val="21"/>
                <w:szCs w:val="21"/>
                <w:highlight w:val="none"/>
              </w:rPr>
              <w:t>账  号：20036501040014065</w:t>
            </w:r>
          </w:p>
        </w:tc>
      </w:tr>
      <w:tr w14:paraId="50C9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5914AE">
            <w:pPr>
              <w:tabs>
                <w:tab w:val="left" w:pos="180"/>
                <w:tab w:val="left" w:pos="1620"/>
              </w:tabs>
              <w:spacing w:line="360" w:lineRule="exact"/>
              <w:ind w:firstLine="0" w:firstLineChars="0"/>
              <w:jc w:val="left"/>
              <w:rPr>
                <w:rFonts w:ascii="Times New Roman" w:hAnsi="Times New Roman" w:eastAsia="宋体" w:cs="Times New Roman"/>
                <w:kern w:val="2"/>
                <w:sz w:val="21"/>
                <w:szCs w:val="22"/>
                <w:lang w:val="en-US" w:eastAsia="zh-CN" w:bidi="ar-SA"/>
              </w:rPr>
            </w:pPr>
            <w:r>
              <w:rPr>
                <w:rFonts w:hint="eastAsia" w:ascii="Times New Roman" w:hAnsi="Times New Roman" w:eastAsia="宋体" w:cs="Times New Roman"/>
                <w:sz w:val="21"/>
              </w:rPr>
              <w:t>其他要求</w:t>
            </w:r>
          </w:p>
        </w:tc>
        <w:tc>
          <w:tcPr>
            <w:tcW w:w="82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BEC28">
            <w:pPr>
              <w:tabs>
                <w:tab w:val="left" w:pos="180"/>
                <w:tab w:val="left" w:pos="1620"/>
              </w:tabs>
              <w:spacing w:line="360" w:lineRule="exact"/>
              <w:ind w:firstLine="0" w:firstLineChars="0"/>
              <w:jc w:val="left"/>
              <w:rPr>
                <w:rFonts w:ascii="Times New Roman" w:hAnsi="Times New Roman" w:eastAsia="宋体" w:cs="Times New Roman"/>
                <w:sz w:val="21"/>
              </w:rPr>
            </w:pPr>
            <w:r>
              <w:rPr>
                <w:rFonts w:hint="eastAsia" w:ascii="Times New Roman" w:hAnsi="Times New Roman" w:eastAsia="宋体" w:cs="Times New Roman"/>
                <w:sz w:val="21"/>
              </w:rPr>
              <w:t>本项目采购需求中带▲号的内容或“须”、“必须”的内容描述均为实质性要求，必须全部满足，否则，视为实质不响应文件要求，其竞标无效，采购人有权利追究</w:t>
            </w:r>
            <w:r>
              <w:rPr>
                <w:rFonts w:hint="eastAsia" w:cs="Times New Roman"/>
                <w:sz w:val="21"/>
                <w:lang w:eastAsia="zh-CN"/>
              </w:rPr>
              <w:t>供应商</w:t>
            </w:r>
            <w:r>
              <w:rPr>
                <w:rFonts w:hint="eastAsia" w:ascii="Times New Roman" w:hAnsi="Times New Roman" w:eastAsia="宋体" w:cs="Times New Roman"/>
                <w:sz w:val="21"/>
              </w:rPr>
              <w:t>的相关责任。（无效竞标，采购人可以取消成交结果）。</w:t>
            </w:r>
          </w:p>
          <w:p w14:paraId="2F0D3F6B">
            <w:pPr>
              <w:tabs>
                <w:tab w:val="left" w:pos="180"/>
                <w:tab w:val="left" w:pos="1620"/>
              </w:tabs>
              <w:spacing w:line="360" w:lineRule="exact"/>
              <w:ind w:firstLine="0" w:firstLineChars="0"/>
              <w:jc w:val="left"/>
              <w:rPr>
                <w:rFonts w:ascii="Times New Roman" w:hAnsi="Times New Roman" w:eastAsia="宋体" w:cs="Times New Roman"/>
                <w:sz w:val="21"/>
              </w:rPr>
            </w:pPr>
            <w:r>
              <w:rPr>
                <w:rFonts w:ascii="Times New Roman" w:hAnsi="Times New Roman" w:eastAsia="宋体" w:cs="Times New Roman"/>
                <w:sz w:val="21"/>
              </w:rPr>
              <w:t>1.成交供货商向采购人提供的货物必须是符合国家质量标准和本项目规定标准的全新、完整、未使用过的，本次采购货物不接受进口产品且所有产品必须有正规的合格证书。</w:t>
            </w:r>
          </w:p>
          <w:p w14:paraId="2DAA22D6">
            <w:pPr>
              <w:tabs>
                <w:tab w:val="left" w:pos="180"/>
                <w:tab w:val="left" w:pos="1620"/>
              </w:tabs>
              <w:spacing w:line="360" w:lineRule="exact"/>
              <w:ind w:firstLine="0" w:firstLineChars="0"/>
              <w:jc w:val="left"/>
              <w:rPr>
                <w:rFonts w:ascii="Times New Roman" w:hAnsi="Times New Roman" w:eastAsia="宋体" w:cs="Times New Roman"/>
                <w:sz w:val="21"/>
              </w:rPr>
            </w:pPr>
            <w:r>
              <w:rPr>
                <w:rFonts w:ascii="Times New Roman" w:hAnsi="Times New Roman" w:eastAsia="宋体" w:cs="Times New Roman"/>
                <w:sz w:val="21"/>
              </w:rPr>
              <w:t>2.本项目为竞价方式采购，本项目供应商报价仅限推荐品牌及型号，不接受推荐品牌及型号以外的产品，供应商不得以任何理由更改设备的品牌、配置，产品配置必须是原厂出厂标配，合格证、售后保障证等齐全，否则报价无效。因此造成校方无法正常使用的，采购人将向财政部门举报成交供应商不良行为并追究其相应的法律责任。</w:t>
            </w:r>
          </w:p>
          <w:p w14:paraId="0F48F8E9">
            <w:pPr>
              <w:tabs>
                <w:tab w:val="left" w:pos="180"/>
                <w:tab w:val="left" w:pos="1620"/>
              </w:tabs>
              <w:spacing w:line="360" w:lineRule="exact"/>
              <w:ind w:firstLine="0" w:firstLineChars="0"/>
              <w:jc w:val="left"/>
              <w:rPr>
                <w:rFonts w:ascii="Times New Roman" w:hAnsi="Times New Roman" w:eastAsia="宋体" w:cs="Times New Roman"/>
                <w:kern w:val="2"/>
                <w:sz w:val="21"/>
                <w:szCs w:val="22"/>
                <w:lang w:val="en-US" w:eastAsia="zh-CN" w:bidi="ar-SA"/>
              </w:rPr>
            </w:pPr>
            <w:r>
              <w:rPr>
                <w:rFonts w:ascii="Times New Roman" w:hAnsi="Times New Roman" w:eastAsia="宋体" w:cs="Times New Roman"/>
                <w:sz w:val="21"/>
              </w:rPr>
              <w:t>3.为确保售后服务质量，成交供货商必须提供不少于1人的运维服务人员名单、联系电话。</w:t>
            </w:r>
          </w:p>
        </w:tc>
      </w:tr>
    </w:tbl>
    <w:p w14:paraId="2401A77B">
      <w:pPr>
        <w:widowControl/>
        <w:spacing w:line="500" w:lineRule="exact"/>
        <w:jc w:val="center"/>
        <w:rPr>
          <w:rFonts w:hint="eastAsia" w:ascii="黑体" w:hAnsi="黑体" w:eastAsia="黑体"/>
          <w:b/>
          <w:bCs/>
          <w:sz w:val="44"/>
          <w:szCs w:val="44"/>
        </w:rPr>
      </w:pPr>
    </w:p>
    <w:p w14:paraId="515E0A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74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2025-08-25T04:02:18Z</dcterms:created>
  <dc:creator>gxy</dc:creator>
  <cp:lastModifiedBy>义嫔</cp:lastModifiedBy>
  <dcterms:modified xsi:type="dcterms:W3CDTF">2025-08-25T04:10:41Z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eyJoZGlkIjoiNTcxN2RjNWQ4NjNhNTFhMmM0Zjc4YjkzZGE4NTQzZGYiLCJ1c2VySWQiOiIyNDU0OTg2MjIifQ==</vt:lpwstr>
  </property>
  <property fmtid="{D5CDD505-2E9C-101B-9397-08002B2CF9AE}" pid="4" name="ICV">
    <vt:lpwstr>890F95D9AF71451FA60488D4F2F606C0_12</vt:lpwstr>
  </property>
</Properties>
</file>