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C65E8">
      <w:pPr>
        <w:widowControl/>
        <w:spacing w:line="500" w:lineRule="exact"/>
        <w:jc w:val="both"/>
        <w:rPr>
          <w:rFonts w:hint="default" w:ascii="黑体" w:hAnsi="黑体" w:eastAsia="黑体"/>
          <w:b w:val="0"/>
          <w:bCs w:val="0"/>
          <w:sz w:val="24"/>
          <w:szCs w:val="24"/>
          <w:lang w:val="en-US" w:eastAsia="zh-CN"/>
        </w:rPr>
      </w:pPr>
      <w:r>
        <w:rPr>
          <w:rFonts w:hint="eastAsia" w:ascii="黑体" w:hAnsi="黑体" w:eastAsia="黑体"/>
          <w:b w:val="0"/>
          <w:bCs w:val="0"/>
          <w:sz w:val="24"/>
          <w:szCs w:val="24"/>
          <w:lang w:val="en-US" w:eastAsia="zh-CN"/>
        </w:rPr>
        <w:t>附件1：</w:t>
      </w:r>
    </w:p>
    <w:p w14:paraId="1CC86318">
      <w:pPr>
        <w:widowControl/>
        <w:spacing w:line="360" w:lineRule="auto"/>
        <w:jc w:val="center"/>
        <w:rPr>
          <w:rFonts w:hint="eastAsia" w:ascii="黑体" w:hAnsi="黑体" w:eastAsia="黑体"/>
          <w:b/>
          <w:bCs/>
          <w:sz w:val="36"/>
          <w:szCs w:val="36"/>
        </w:rPr>
      </w:pPr>
      <w:r>
        <w:rPr>
          <w:rFonts w:hint="eastAsia" w:ascii="黑体" w:hAnsi="黑体" w:eastAsia="黑体"/>
          <w:b/>
          <w:bCs/>
          <w:sz w:val="36"/>
          <w:szCs w:val="36"/>
        </w:rPr>
        <w:t>广西制造工程职业技术学院互联网出口带宽2.5G光纤接入和多媒通信固话租赁服务采购需求表</w:t>
      </w:r>
    </w:p>
    <w:tbl>
      <w:tblPr>
        <w:tblStyle w:val="3"/>
        <w:tblW w:w="9501" w:type="dxa"/>
        <w:jc w:val="center"/>
        <w:tblLayout w:type="fixed"/>
        <w:tblCellMar>
          <w:top w:w="0" w:type="dxa"/>
          <w:left w:w="0" w:type="dxa"/>
          <w:bottom w:w="0" w:type="dxa"/>
          <w:right w:w="0" w:type="dxa"/>
        </w:tblCellMar>
      </w:tblPr>
      <w:tblGrid>
        <w:gridCol w:w="557"/>
        <w:gridCol w:w="1367"/>
        <w:gridCol w:w="220"/>
        <w:gridCol w:w="4500"/>
        <w:gridCol w:w="945"/>
        <w:gridCol w:w="936"/>
        <w:gridCol w:w="976"/>
      </w:tblGrid>
      <w:tr w14:paraId="3A17C455">
        <w:tblPrEx>
          <w:tblCellMar>
            <w:top w:w="0" w:type="dxa"/>
            <w:left w:w="0" w:type="dxa"/>
            <w:bottom w:w="0" w:type="dxa"/>
            <w:right w:w="0" w:type="dxa"/>
          </w:tblCellMar>
        </w:tblPrEx>
        <w:trPr>
          <w:trHeight w:val="866" w:hRule="atLeast"/>
          <w:jc w:val="center"/>
        </w:trPr>
        <w:tc>
          <w:tcPr>
            <w:tcW w:w="9501" w:type="dxa"/>
            <w:gridSpan w:val="7"/>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078F0B2">
            <w:pPr>
              <w:widowControl/>
              <w:jc w:val="left"/>
              <w:rPr>
                <w:rFonts w:ascii="宋体" w:hAnsi="宋体" w:eastAsia="宋体"/>
                <w:b/>
                <w:bCs/>
                <w:sz w:val="24"/>
              </w:rPr>
            </w:pPr>
            <w:r>
              <w:rPr>
                <w:rFonts w:hint="eastAsia" w:ascii="宋体" w:hAnsi="宋体" w:eastAsia="宋体"/>
                <w:b/>
                <w:bCs/>
                <w:sz w:val="24"/>
                <w:szCs w:val="28"/>
              </w:rPr>
              <w:t>一、技术需求</w:t>
            </w:r>
          </w:p>
        </w:tc>
      </w:tr>
      <w:tr w14:paraId="05DE0BB1">
        <w:tblPrEx>
          <w:tblCellMar>
            <w:top w:w="0" w:type="dxa"/>
            <w:left w:w="0" w:type="dxa"/>
            <w:bottom w:w="0" w:type="dxa"/>
            <w:right w:w="0" w:type="dxa"/>
          </w:tblCellMar>
        </w:tblPrEx>
        <w:trPr>
          <w:trHeight w:val="988" w:hRule="atLeast"/>
          <w:jc w:val="center"/>
        </w:trPr>
        <w:tc>
          <w:tcPr>
            <w:tcW w:w="557"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738D746">
            <w:pPr>
              <w:spacing w:line="380" w:lineRule="exact"/>
              <w:jc w:val="center"/>
              <w:rPr>
                <w:rFonts w:ascii="宋体" w:hAnsi="宋体" w:eastAsia="宋体"/>
                <w:b/>
                <w:bCs/>
                <w:szCs w:val="21"/>
              </w:rPr>
            </w:pPr>
            <w:r>
              <w:rPr>
                <w:rFonts w:hint="eastAsia" w:ascii="宋体" w:hAnsi="宋体" w:eastAsia="宋体"/>
                <w:b/>
                <w:bCs/>
              </w:rPr>
              <w:t>序号</w:t>
            </w:r>
          </w:p>
        </w:tc>
        <w:tc>
          <w:tcPr>
            <w:tcW w:w="1587"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3F4C13F4">
            <w:pPr>
              <w:snapToGrid w:val="0"/>
              <w:spacing w:line="380" w:lineRule="exact"/>
              <w:jc w:val="center"/>
              <w:rPr>
                <w:rFonts w:ascii="宋体" w:hAnsi="宋体" w:eastAsia="宋体"/>
                <w:b/>
                <w:bCs/>
                <w:szCs w:val="21"/>
              </w:rPr>
            </w:pPr>
            <w:r>
              <w:rPr>
                <w:rFonts w:hint="eastAsia" w:ascii="宋体" w:hAnsi="宋体" w:eastAsia="宋体"/>
                <w:b/>
                <w:bCs/>
                <w:szCs w:val="21"/>
              </w:rPr>
              <w:t>采购内容</w:t>
            </w:r>
          </w:p>
        </w:tc>
        <w:tc>
          <w:tcPr>
            <w:tcW w:w="5445"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1958C39A">
            <w:pPr>
              <w:spacing w:line="380" w:lineRule="exact"/>
              <w:jc w:val="center"/>
              <w:rPr>
                <w:rFonts w:ascii="宋体" w:hAnsi="宋体" w:eastAsia="宋体"/>
                <w:b/>
                <w:bCs/>
                <w:szCs w:val="21"/>
              </w:rPr>
            </w:pPr>
            <w:r>
              <w:rPr>
                <w:rFonts w:hint="eastAsia" w:ascii="宋体" w:hAnsi="宋体" w:eastAsia="宋体"/>
                <w:b/>
                <w:bCs/>
                <w:szCs w:val="21"/>
              </w:rPr>
              <w:t>技术参数</w:t>
            </w:r>
          </w:p>
        </w:tc>
        <w:tc>
          <w:tcPr>
            <w:tcW w:w="936" w:type="dxa"/>
            <w:tcBorders>
              <w:top w:val="single" w:color="auto" w:sz="4" w:space="0"/>
              <w:left w:val="nil"/>
              <w:bottom w:val="single" w:color="auto" w:sz="4" w:space="0"/>
              <w:right w:val="single" w:color="auto" w:sz="4" w:space="0"/>
            </w:tcBorders>
            <w:noWrap w:val="0"/>
            <w:vAlign w:val="center"/>
          </w:tcPr>
          <w:p w14:paraId="171EB237">
            <w:pPr>
              <w:spacing w:line="380" w:lineRule="exact"/>
              <w:jc w:val="center"/>
              <w:rPr>
                <w:rFonts w:ascii="宋体" w:hAnsi="宋体" w:eastAsia="宋体"/>
                <w:b/>
                <w:bCs/>
                <w:szCs w:val="21"/>
              </w:rPr>
            </w:pPr>
            <w:r>
              <w:rPr>
                <w:rFonts w:hint="eastAsia" w:ascii="宋体" w:hAnsi="宋体" w:eastAsia="宋体"/>
                <w:b/>
                <w:bCs/>
                <w:szCs w:val="21"/>
              </w:rPr>
              <w:t>计量</w:t>
            </w:r>
          </w:p>
          <w:p w14:paraId="3634FC2B">
            <w:pPr>
              <w:spacing w:line="380" w:lineRule="exact"/>
              <w:jc w:val="center"/>
              <w:rPr>
                <w:rFonts w:ascii="宋体" w:hAnsi="宋体" w:eastAsia="宋体"/>
                <w:b/>
                <w:bCs/>
                <w:szCs w:val="21"/>
              </w:rPr>
            </w:pPr>
            <w:r>
              <w:rPr>
                <w:rFonts w:hint="eastAsia" w:ascii="宋体" w:hAnsi="宋体" w:eastAsia="宋体"/>
                <w:b/>
                <w:bCs/>
                <w:szCs w:val="21"/>
              </w:rPr>
              <w:t>单位</w:t>
            </w:r>
          </w:p>
        </w:tc>
        <w:tc>
          <w:tcPr>
            <w:tcW w:w="976" w:type="dxa"/>
            <w:tcBorders>
              <w:top w:val="single" w:color="auto" w:sz="4" w:space="0"/>
              <w:left w:val="nil"/>
              <w:bottom w:val="single" w:color="auto" w:sz="4" w:space="0"/>
              <w:right w:val="single" w:color="auto" w:sz="4" w:space="0"/>
            </w:tcBorders>
            <w:noWrap w:val="0"/>
            <w:vAlign w:val="center"/>
          </w:tcPr>
          <w:p w14:paraId="71AA2BED">
            <w:pPr>
              <w:spacing w:line="380" w:lineRule="exact"/>
              <w:jc w:val="center"/>
              <w:rPr>
                <w:rFonts w:ascii="宋体" w:hAnsi="宋体" w:eastAsia="宋体"/>
                <w:b/>
                <w:bCs/>
                <w:szCs w:val="21"/>
              </w:rPr>
            </w:pPr>
            <w:r>
              <w:rPr>
                <w:rFonts w:hint="eastAsia" w:ascii="宋体" w:hAnsi="宋体" w:eastAsia="宋体"/>
                <w:b/>
                <w:bCs/>
                <w:szCs w:val="21"/>
              </w:rPr>
              <w:t>数量</w:t>
            </w:r>
          </w:p>
        </w:tc>
      </w:tr>
      <w:tr w14:paraId="2426CF13">
        <w:tblPrEx>
          <w:tblCellMar>
            <w:top w:w="0" w:type="dxa"/>
            <w:left w:w="0" w:type="dxa"/>
            <w:bottom w:w="0" w:type="dxa"/>
            <w:right w:w="0" w:type="dxa"/>
          </w:tblCellMar>
        </w:tblPrEx>
        <w:trPr>
          <w:trHeight w:val="306" w:hRule="atLeast"/>
          <w:jc w:val="center"/>
        </w:trPr>
        <w:tc>
          <w:tcPr>
            <w:tcW w:w="557"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416E0F6">
            <w:pPr>
              <w:numPr>
                <w:ilvl w:val="0"/>
                <w:numId w:val="1"/>
              </w:numPr>
              <w:spacing w:line="380" w:lineRule="exact"/>
              <w:jc w:val="center"/>
              <w:rPr>
                <w:rFonts w:ascii="宋体" w:hAnsi="宋体" w:eastAsia="宋体"/>
                <w:szCs w:val="21"/>
              </w:rPr>
            </w:pPr>
            <w:bookmarkStart w:id="0" w:name="_Hlk198561685"/>
            <w:bookmarkStart w:id="1" w:name="OLE_LINK5" w:colFirst="3" w:colLast="67"/>
            <w:bookmarkStart w:id="2" w:name="OLE_LINK6" w:colFirst="3" w:colLast="67"/>
          </w:p>
        </w:tc>
        <w:tc>
          <w:tcPr>
            <w:tcW w:w="1587"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03A707DB">
            <w:pPr>
              <w:rPr>
                <w:rFonts w:hint="eastAsia" w:ascii="宋体" w:hAnsi="宋体" w:eastAsia="宋体"/>
                <w:szCs w:val="21"/>
              </w:rPr>
            </w:pPr>
            <w:r>
              <w:rPr>
                <w:rFonts w:hint="eastAsia" w:ascii="宋体" w:hAnsi="宋体" w:eastAsia="宋体"/>
                <w:szCs w:val="21"/>
              </w:rPr>
              <w:t>互联网出口带宽2.5G光纤接入租赁服务</w:t>
            </w:r>
          </w:p>
        </w:tc>
        <w:tc>
          <w:tcPr>
            <w:tcW w:w="5445"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7A025FAA">
            <w:pPr>
              <w:pStyle w:val="2"/>
              <w:rPr>
                <w:rFonts w:hint="eastAsia" w:ascii="宋体" w:hAnsi="宋体" w:cs="宋体"/>
                <w:szCs w:val="21"/>
              </w:rPr>
            </w:pPr>
            <w:r>
              <w:rPr>
                <w:rFonts w:hint="eastAsia" w:ascii="宋体" w:hAnsi="宋体" w:cs="宋体"/>
                <w:szCs w:val="21"/>
              </w:rPr>
              <w:t>▲1.提供教育城域网连接到中国公用计算机互联网（ CHINANET）、中国联通互联网（ UNINET）、中国移动互联网（ CMNET）等 INTERNET 网络的光纤线路接入（含公网 IP 地址），互联网出口总带宽至少为 2.5Gbps，并提供网络接入设备；</w:t>
            </w:r>
            <w:r>
              <w:rPr>
                <w:rFonts w:hint="eastAsia" w:ascii="宋体" w:hAnsi="宋体" w:cs="宋体"/>
                <w:szCs w:val="21"/>
              </w:rPr>
              <w:br w:type="textWrapping"/>
            </w:r>
            <w:r>
              <w:rPr>
                <w:rFonts w:hint="eastAsia" w:ascii="宋体" w:hAnsi="宋体" w:cs="宋体"/>
                <w:szCs w:val="21"/>
              </w:rPr>
              <w:t>▲2. 互联网出口带宽上下行对等， 并提供双路由保护。</w:t>
            </w:r>
          </w:p>
          <w:p w14:paraId="235173E3">
            <w:pPr>
              <w:pStyle w:val="2"/>
              <w:rPr>
                <w:rFonts w:hint="eastAsia" w:ascii="宋体" w:hAnsi="宋体" w:cs="宋体"/>
                <w:szCs w:val="21"/>
              </w:rPr>
            </w:pPr>
            <w:r>
              <w:rPr>
                <w:rFonts w:hint="eastAsia" w:ascii="宋体" w:hAnsi="宋体" w:cs="宋体"/>
                <w:szCs w:val="21"/>
              </w:rPr>
              <w:t>▲3. 提供不少于1个公网 IP 地址， 为保证采购人网站 ICF备案信息的连续性，要求所提供 IPv4 地址范围应包含现有备案 IP 地址，不对现有业务系统产生影响。且可在项目合同期内根据客户需要可免费实施 IPv4 向 IPv6 的改造。</w:t>
            </w:r>
            <w:r>
              <w:rPr>
                <w:rFonts w:hint="eastAsia" w:ascii="宋体" w:hAnsi="宋体" w:cs="宋体"/>
                <w:szCs w:val="21"/>
              </w:rPr>
              <w:br w:type="textWrapping"/>
            </w:r>
            <w:r>
              <w:rPr>
                <w:rFonts w:hint="eastAsia" w:ascii="宋体" w:hAnsi="宋体" w:cs="宋体"/>
                <w:szCs w:val="21"/>
              </w:rPr>
              <w:t>4.传输设备要求具有全网网管监控功能，并实行 7*24 小时实时监控，可有效地检测并定位网络故障，确保对网络性能的监控。</w:t>
            </w:r>
          </w:p>
          <w:p w14:paraId="364DDEE6">
            <w:r>
              <w:rPr>
                <w:rFonts w:hint="eastAsia" w:ascii="宋体" w:hAnsi="宋体"/>
                <w:szCs w:val="21"/>
              </w:rPr>
              <w:t>▲</w:t>
            </w:r>
            <w:r>
              <w:rPr>
                <w:rFonts w:hint="eastAsia"/>
              </w:rPr>
              <w:t>4.</w:t>
            </w:r>
            <w:r>
              <w:rPr>
                <w:rFonts w:hint="eastAsia" w:ascii="宋体" w:hAnsi="宋体" w:eastAsia="宋体"/>
                <w:szCs w:val="21"/>
              </w:rPr>
              <w:t>要求供应商提供的网络服务与学校现有的网络</w:t>
            </w:r>
            <w:r>
              <w:rPr>
                <w:rFonts w:ascii="宋体" w:hAnsi="宋体" w:eastAsia="宋体"/>
                <w:szCs w:val="21"/>
              </w:rPr>
              <w:t>无缝兼容，且无需新增或改造现有网络设备（如交换机、路由器、防火墙）</w:t>
            </w:r>
          </w:p>
        </w:tc>
        <w:tc>
          <w:tcPr>
            <w:tcW w:w="936" w:type="dxa"/>
            <w:tcBorders>
              <w:top w:val="single" w:color="auto" w:sz="4" w:space="0"/>
              <w:left w:val="nil"/>
              <w:bottom w:val="single" w:color="auto" w:sz="4" w:space="0"/>
              <w:right w:val="single" w:color="auto" w:sz="4" w:space="0"/>
            </w:tcBorders>
            <w:noWrap w:val="0"/>
            <w:vAlign w:val="center"/>
          </w:tcPr>
          <w:p w14:paraId="298C0BA5">
            <w:pPr>
              <w:jc w:val="center"/>
              <w:rPr>
                <w:rFonts w:hint="eastAsia" w:ascii="宋体" w:hAnsi="宋体" w:eastAsia="宋体"/>
                <w:szCs w:val="21"/>
              </w:rPr>
            </w:pPr>
            <w:r>
              <w:rPr>
                <w:rFonts w:hint="eastAsia" w:ascii="宋体" w:hAnsi="宋体" w:eastAsia="宋体"/>
                <w:szCs w:val="21"/>
              </w:rPr>
              <w:t>年</w:t>
            </w:r>
          </w:p>
        </w:tc>
        <w:tc>
          <w:tcPr>
            <w:tcW w:w="976" w:type="dxa"/>
            <w:tcBorders>
              <w:top w:val="single" w:color="auto" w:sz="4" w:space="0"/>
              <w:left w:val="nil"/>
              <w:bottom w:val="single" w:color="auto" w:sz="4" w:space="0"/>
              <w:right w:val="single" w:color="auto" w:sz="4" w:space="0"/>
            </w:tcBorders>
            <w:noWrap w:val="0"/>
            <w:vAlign w:val="center"/>
          </w:tcPr>
          <w:p w14:paraId="28ECE653">
            <w:pPr>
              <w:jc w:val="center"/>
              <w:rPr>
                <w:rFonts w:ascii="宋体" w:hAnsi="宋体" w:eastAsia="宋体"/>
                <w:szCs w:val="21"/>
              </w:rPr>
            </w:pPr>
            <w:r>
              <w:rPr>
                <w:rFonts w:hint="eastAsia" w:ascii="宋体" w:hAnsi="宋体" w:eastAsia="宋体"/>
                <w:szCs w:val="21"/>
              </w:rPr>
              <w:t>1</w:t>
            </w:r>
          </w:p>
        </w:tc>
      </w:tr>
      <w:bookmarkEnd w:id="0"/>
      <w:bookmarkEnd w:id="1"/>
      <w:bookmarkEnd w:id="2"/>
      <w:tr w14:paraId="6AC6ABE4">
        <w:tblPrEx>
          <w:tblCellMar>
            <w:top w:w="0" w:type="dxa"/>
            <w:left w:w="0" w:type="dxa"/>
            <w:bottom w:w="0" w:type="dxa"/>
            <w:right w:w="0" w:type="dxa"/>
          </w:tblCellMar>
        </w:tblPrEx>
        <w:trPr>
          <w:trHeight w:val="306" w:hRule="atLeast"/>
          <w:jc w:val="center"/>
        </w:trPr>
        <w:tc>
          <w:tcPr>
            <w:tcW w:w="557"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DCC996C">
            <w:pPr>
              <w:numPr>
                <w:ilvl w:val="0"/>
                <w:numId w:val="1"/>
              </w:numPr>
              <w:spacing w:line="380" w:lineRule="exact"/>
              <w:jc w:val="center"/>
              <w:rPr>
                <w:rFonts w:ascii="宋体" w:hAnsi="宋体" w:eastAsia="宋体"/>
                <w:szCs w:val="21"/>
              </w:rPr>
            </w:pPr>
          </w:p>
        </w:tc>
        <w:tc>
          <w:tcPr>
            <w:tcW w:w="1587"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1441F229">
            <w:pPr>
              <w:rPr>
                <w:rFonts w:ascii="宋体" w:hAnsi="宋体" w:eastAsia="宋体"/>
                <w:szCs w:val="21"/>
              </w:rPr>
            </w:pPr>
            <w:r>
              <w:rPr>
                <w:rFonts w:hint="eastAsia" w:ascii="宋体" w:hAnsi="宋体" w:eastAsia="宋体"/>
                <w:kern w:val="0"/>
                <w:szCs w:val="21"/>
              </w:rPr>
              <w:t>多媒体通信固话租赁服务</w:t>
            </w:r>
          </w:p>
        </w:tc>
        <w:tc>
          <w:tcPr>
            <w:tcW w:w="5445" w:type="dxa"/>
            <w:gridSpan w:val="2"/>
            <w:tcBorders>
              <w:top w:val="single" w:color="auto" w:sz="4" w:space="0"/>
              <w:left w:val="nil"/>
              <w:bottom w:val="single" w:color="auto" w:sz="4" w:space="0"/>
              <w:right w:val="single" w:color="auto" w:sz="4" w:space="0"/>
            </w:tcBorders>
            <w:noWrap w:val="0"/>
            <w:tcMar>
              <w:top w:w="13" w:type="dxa"/>
              <w:left w:w="57" w:type="dxa"/>
              <w:bottom w:w="0" w:type="dxa"/>
              <w:right w:w="57" w:type="dxa"/>
            </w:tcMar>
            <w:vAlign w:val="center"/>
          </w:tcPr>
          <w:p w14:paraId="04893DC5">
            <w:pPr>
              <w:pStyle w:val="2"/>
              <w:rPr>
                <w:rFonts w:hint="eastAsia" w:ascii="宋体" w:hAnsi="宋体" w:cs="宋体"/>
                <w:szCs w:val="21"/>
              </w:rPr>
            </w:pPr>
            <w:r>
              <w:rPr>
                <w:rFonts w:hint="eastAsia" w:ascii="宋体" w:hAnsi="宋体" w:cs="宋体"/>
                <w:szCs w:val="21"/>
              </w:rPr>
              <w:t>▲1.通话分钟数：总通话分钟数不低于90000分钟/月；</w:t>
            </w:r>
            <w:r>
              <w:rPr>
                <w:rFonts w:hint="eastAsia" w:ascii="宋体" w:hAnsi="宋体" w:cs="宋体"/>
                <w:szCs w:val="21"/>
              </w:rPr>
              <w:br w:type="textWrapping"/>
            </w:r>
            <w:r>
              <w:rPr>
                <w:rFonts w:hint="eastAsia" w:ascii="宋体" w:hAnsi="宋体" w:cs="宋体"/>
                <w:szCs w:val="21"/>
              </w:rPr>
              <w:t>▲2.需支持SIP主流协议，可对接主流的IMS/NGN系统</w:t>
            </w:r>
            <w:r>
              <w:rPr>
                <w:rFonts w:hint="eastAsia" w:ascii="宋体" w:hAnsi="宋体" w:cs="宋体"/>
                <w:szCs w:val="21"/>
              </w:rPr>
              <w:br w:type="textWrapping"/>
            </w:r>
            <w:r>
              <w:rPr>
                <w:rFonts w:hint="eastAsia" w:ascii="宋体" w:hAnsi="宋体" w:cs="宋体"/>
                <w:szCs w:val="21"/>
              </w:rPr>
              <w:t>3.支持话单业务，可以提供配套的话务台和计费系统；</w:t>
            </w:r>
            <w:r>
              <w:rPr>
                <w:rFonts w:hint="eastAsia" w:ascii="宋体" w:hAnsi="宋体" w:cs="宋体"/>
                <w:szCs w:val="21"/>
              </w:rPr>
              <w:br w:type="textWrapping"/>
            </w:r>
            <w:r>
              <w:rPr>
                <w:rFonts w:hint="eastAsia" w:ascii="宋体" w:hAnsi="宋体" w:cs="宋体"/>
                <w:szCs w:val="21"/>
              </w:rPr>
              <w:t>4.10/100/1000M自适应网口≥4个，且要求可设置多个IP地址、网段，并提供静态路由列表配置；</w:t>
            </w:r>
            <w:r>
              <w:rPr>
                <w:rFonts w:hint="eastAsia" w:ascii="宋体" w:hAnsi="宋体" w:cs="宋体"/>
                <w:szCs w:val="21"/>
              </w:rPr>
              <w:br w:type="textWrapping"/>
            </w:r>
            <w:r>
              <w:rPr>
                <w:rFonts w:hint="eastAsia" w:ascii="宋体" w:hAnsi="宋体" w:cs="宋体"/>
                <w:szCs w:val="21"/>
              </w:rPr>
              <w:t>5.系统除了支持传统的PBX功能外，还应当支持来电智能匹配、恶意电话跟踪屏蔽、呼出限制、呼叫驻留、呼叫保护、紧急插入、多权限组定义等功能；</w:t>
            </w:r>
            <w:r>
              <w:rPr>
                <w:rFonts w:hint="eastAsia" w:ascii="宋体" w:hAnsi="宋体" w:cs="宋体"/>
                <w:szCs w:val="21"/>
              </w:rPr>
              <w:br w:type="textWrapping"/>
            </w:r>
            <w:r>
              <w:rPr>
                <w:rFonts w:hint="eastAsia" w:ascii="宋体" w:hAnsi="宋体" w:cs="宋体"/>
                <w:szCs w:val="21"/>
              </w:rPr>
              <w:t>6.支持分机的权限控制管理功能；</w:t>
            </w:r>
            <w:r>
              <w:rPr>
                <w:rFonts w:hint="eastAsia" w:ascii="宋体" w:hAnsi="宋体" w:cs="宋体"/>
                <w:szCs w:val="21"/>
              </w:rPr>
              <w:br w:type="textWrapping"/>
            </w:r>
            <w:r>
              <w:rPr>
                <w:rFonts w:hint="eastAsia" w:ascii="宋体" w:hAnsi="宋体" w:cs="宋体"/>
                <w:szCs w:val="21"/>
              </w:rPr>
              <w:t>7.支持多种视频编码：H.263、H.263+和H.264，可扩展视频通话等多媒体应用；</w:t>
            </w:r>
            <w:r>
              <w:rPr>
                <w:rFonts w:hint="eastAsia" w:ascii="宋体" w:hAnsi="宋体" w:cs="宋体"/>
                <w:szCs w:val="21"/>
              </w:rPr>
              <w:br w:type="textWrapping"/>
            </w:r>
            <w:r>
              <w:rPr>
                <w:rFonts w:hint="eastAsia" w:ascii="宋体" w:hAnsi="宋体" w:cs="宋体"/>
                <w:szCs w:val="21"/>
              </w:rPr>
              <w:t>8.支持语音业务，支持T.30和T.38传真；</w:t>
            </w:r>
            <w:r>
              <w:rPr>
                <w:rFonts w:hint="eastAsia" w:ascii="宋体" w:hAnsi="宋体" w:cs="宋体"/>
                <w:szCs w:val="21"/>
              </w:rPr>
              <w:br w:type="textWrapping"/>
            </w:r>
            <w:r>
              <w:rPr>
                <w:rFonts w:hint="eastAsia" w:ascii="宋体" w:hAnsi="宋体" w:cs="宋体"/>
                <w:szCs w:val="21"/>
              </w:rPr>
              <w:t>▲9.支持虚拟PBX功能，能实现多个用户群组使用相同的号码；</w:t>
            </w:r>
            <w:r>
              <w:rPr>
                <w:rFonts w:hint="eastAsia" w:ascii="宋体" w:hAnsi="宋体" w:cs="宋体"/>
                <w:szCs w:val="21"/>
              </w:rPr>
              <w:br w:type="textWrapping"/>
            </w:r>
            <w:r>
              <w:rPr>
                <w:rFonts w:hint="eastAsia" w:ascii="宋体" w:hAnsi="宋体" w:cs="宋体"/>
                <w:szCs w:val="21"/>
              </w:rPr>
              <w:t>▲10.支持自定义权限组，可根据客户要求灵活定制呼叫权限分组，可根据呼叫字冠定义权限；</w:t>
            </w:r>
            <w:r>
              <w:rPr>
                <w:rFonts w:hint="eastAsia" w:ascii="宋体" w:hAnsi="宋体" w:cs="宋体"/>
                <w:szCs w:val="21"/>
              </w:rPr>
              <w:br w:type="textWrapping"/>
            </w:r>
            <w:r>
              <w:rPr>
                <w:rFonts w:hint="eastAsia" w:ascii="宋体" w:hAnsi="宋体" w:cs="宋体"/>
                <w:szCs w:val="21"/>
              </w:rPr>
              <w:t>11.支持友好的WEB界面进行本地配置、软件升级及日常的维护管理等；</w:t>
            </w:r>
            <w:r>
              <w:rPr>
                <w:rFonts w:hint="eastAsia" w:ascii="宋体" w:hAnsi="宋体" w:cs="宋体"/>
                <w:szCs w:val="21"/>
              </w:rPr>
              <w:br w:type="textWrapping"/>
            </w:r>
            <w:r>
              <w:rPr>
                <w:rFonts w:hint="eastAsia" w:ascii="宋体" w:hAnsi="宋体" w:cs="宋体"/>
                <w:szCs w:val="21"/>
              </w:rPr>
              <w:t>12.可对接网管，提高维护管理效率；</w:t>
            </w:r>
          </w:p>
          <w:p w14:paraId="63B5B033">
            <w:r>
              <w:rPr>
                <w:rFonts w:hint="eastAsia" w:ascii="宋体" w:hAnsi="宋体"/>
                <w:szCs w:val="21"/>
              </w:rPr>
              <w:t>▲13.</w:t>
            </w:r>
            <w:r>
              <w:rPr>
                <w:rFonts w:hint="eastAsia" w:ascii="宋体" w:hAnsi="宋体" w:eastAsia="宋体"/>
                <w:szCs w:val="21"/>
              </w:rPr>
              <w:t>要求供应商提供的</w:t>
            </w:r>
            <w:r>
              <w:rPr>
                <w:rFonts w:hint="eastAsia" w:ascii="宋体" w:hAnsi="宋体" w:eastAsia="宋体"/>
                <w:kern w:val="0"/>
                <w:szCs w:val="21"/>
              </w:rPr>
              <w:t>多媒体通信固话租赁服务</w:t>
            </w:r>
            <w:r>
              <w:rPr>
                <w:rFonts w:hint="eastAsia" w:ascii="宋体" w:hAnsi="宋体" w:eastAsia="宋体"/>
                <w:szCs w:val="21"/>
              </w:rPr>
              <w:t>与学校现有的网络</w:t>
            </w:r>
            <w:r>
              <w:rPr>
                <w:rFonts w:ascii="宋体" w:hAnsi="宋体" w:eastAsia="宋体"/>
                <w:szCs w:val="21"/>
              </w:rPr>
              <w:t>无缝兼容，且无需新增或改造现有网络设备（如交换机、路由器、防火墙）</w:t>
            </w:r>
          </w:p>
        </w:tc>
        <w:tc>
          <w:tcPr>
            <w:tcW w:w="936" w:type="dxa"/>
            <w:tcBorders>
              <w:top w:val="single" w:color="auto" w:sz="4" w:space="0"/>
              <w:left w:val="nil"/>
              <w:bottom w:val="single" w:color="auto" w:sz="4" w:space="0"/>
              <w:right w:val="single" w:color="auto" w:sz="4" w:space="0"/>
            </w:tcBorders>
            <w:noWrap w:val="0"/>
            <w:vAlign w:val="center"/>
          </w:tcPr>
          <w:p w14:paraId="330A1253">
            <w:pPr>
              <w:jc w:val="center"/>
              <w:rPr>
                <w:rFonts w:hint="eastAsia" w:ascii="宋体" w:hAnsi="宋体" w:eastAsia="宋体"/>
                <w:szCs w:val="21"/>
              </w:rPr>
            </w:pPr>
            <w:r>
              <w:rPr>
                <w:rFonts w:hint="eastAsia" w:ascii="宋体" w:hAnsi="宋体" w:eastAsia="宋体"/>
                <w:szCs w:val="21"/>
              </w:rPr>
              <w:t>年</w:t>
            </w:r>
          </w:p>
        </w:tc>
        <w:tc>
          <w:tcPr>
            <w:tcW w:w="976" w:type="dxa"/>
            <w:tcBorders>
              <w:top w:val="single" w:color="auto" w:sz="4" w:space="0"/>
              <w:left w:val="nil"/>
              <w:bottom w:val="single" w:color="auto" w:sz="4" w:space="0"/>
              <w:right w:val="single" w:color="auto" w:sz="4" w:space="0"/>
            </w:tcBorders>
            <w:noWrap w:val="0"/>
            <w:vAlign w:val="center"/>
          </w:tcPr>
          <w:p w14:paraId="2283A19B">
            <w:pPr>
              <w:jc w:val="center"/>
              <w:rPr>
                <w:rFonts w:hint="eastAsia" w:ascii="宋体" w:hAnsi="宋体" w:eastAsia="宋体"/>
                <w:szCs w:val="21"/>
              </w:rPr>
            </w:pPr>
            <w:r>
              <w:rPr>
                <w:rFonts w:hint="eastAsia" w:ascii="宋体" w:hAnsi="宋体" w:eastAsia="宋体"/>
                <w:szCs w:val="21"/>
              </w:rPr>
              <w:t>1</w:t>
            </w:r>
          </w:p>
        </w:tc>
      </w:tr>
      <w:tr w14:paraId="696E175A">
        <w:tblPrEx>
          <w:tblCellMar>
            <w:top w:w="0" w:type="dxa"/>
            <w:left w:w="0" w:type="dxa"/>
            <w:bottom w:w="0" w:type="dxa"/>
            <w:right w:w="0" w:type="dxa"/>
          </w:tblCellMar>
        </w:tblPrEx>
        <w:trPr>
          <w:trHeight w:val="457" w:hRule="atLeast"/>
          <w:jc w:val="center"/>
        </w:trPr>
        <w:tc>
          <w:tcPr>
            <w:tcW w:w="6644" w:type="dxa"/>
            <w:gridSpan w:val="4"/>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AE1F7CB">
            <w:pPr>
              <w:jc w:val="center"/>
              <w:rPr>
                <w:rFonts w:ascii="宋体" w:hAnsi="宋体" w:eastAsia="宋体"/>
                <w:b/>
                <w:bCs/>
                <w:sz w:val="24"/>
              </w:rPr>
            </w:pPr>
            <w:r>
              <w:rPr>
                <w:rFonts w:hint="eastAsia" w:ascii="宋体" w:hAnsi="宋体" w:eastAsia="宋体"/>
                <w:b/>
                <w:bCs/>
                <w:sz w:val="24"/>
              </w:rPr>
              <w:t>合 计</w:t>
            </w:r>
          </w:p>
        </w:tc>
        <w:tc>
          <w:tcPr>
            <w:tcW w:w="2857" w:type="dxa"/>
            <w:gridSpan w:val="3"/>
            <w:tcBorders>
              <w:top w:val="single" w:color="auto" w:sz="4" w:space="0"/>
              <w:left w:val="single" w:color="auto" w:sz="4" w:space="0"/>
              <w:bottom w:val="single" w:color="auto" w:sz="4" w:space="0"/>
              <w:right w:val="single" w:color="auto" w:sz="4" w:space="0"/>
            </w:tcBorders>
            <w:noWrap w:val="0"/>
            <w:vAlign w:val="center"/>
          </w:tcPr>
          <w:p w14:paraId="38D1393C">
            <w:pPr>
              <w:jc w:val="center"/>
              <w:rPr>
                <w:rFonts w:ascii="宋体" w:hAnsi="宋体" w:eastAsia="宋体"/>
                <w:b/>
                <w:bCs/>
                <w:sz w:val="24"/>
              </w:rPr>
            </w:pPr>
            <w:r>
              <w:rPr>
                <w:rFonts w:hint="eastAsia" w:ascii="宋体" w:hAnsi="宋体" w:eastAsia="宋体"/>
                <w:b/>
                <w:bCs/>
                <w:sz w:val="24"/>
                <w:u w:val="single"/>
              </w:rPr>
              <w:t xml:space="preserve">  54   万</w:t>
            </w:r>
            <w:r>
              <w:rPr>
                <w:rFonts w:hint="eastAsia" w:ascii="宋体" w:hAnsi="宋体" w:eastAsia="宋体"/>
                <w:b/>
                <w:bCs/>
                <w:sz w:val="24"/>
              </w:rPr>
              <w:t>元</w:t>
            </w:r>
          </w:p>
        </w:tc>
      </w:tr>
      <w:tr w14:paraId="2951A9FB">
        <w:tblPrEx>
          <w:tblCellMar>
            <w:top w:w="0" w:type="dxa"/>
            <w:left w:w="0" w:type="dxa"/>
            <w:bottom w:w="0" w:type="dxa"/>
            <w:right w:w="0" w:type="dxa"/>
          </w:tblCellMar>
        </w:tblPrEx>
        <w:trPr>
          <w:trHeight w:val="408" w:hRule="atLeast"/>
          <w:jc w:val="center"/>
        </w:trPr>
        <w:tc>
          <w:tcPr>
            <w:tcW w:w="9501" w:type="dxa"/>
            <w:gridSpan w:val="7"/>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B79E944">
            <w:pPr>
              <w:spacing w:line="380" w:lineRule="exact"/>
              <w:rPr>
                <w:rFonts w:ascii="宋体" w:hAnsi="宋体" w:eastAsia="宋体"/>
                <w:b/>
                <w:bCs/>
                <w:szCs w:val="21"/>
              </w:rPr>
            </w:pPr>
            <w:r>
              <w:rPr>
                <w:rFonts w:hint="eastAsia" w:ascii="宋体" w:hAnsi="宋体" w:eastAsia="宋体"/>
                <w:b/>
                <w:bCs/>
                <w:sz w:val="24"/>
                <w:szCs w:val="28"/>
              </w:rPr>
              <w:t>二、</w:t>
            </w:r>
            <w:r>
              <w:rPr>
                <w:rFonts w:hint="eastAsia" w:ascii="宋体" w:hAnsi="宋体"/>
                <w:szCs w:val="21"/>
              </w:rPr>
              <w:t>▲</w:t>
            </w:r>
            <w:r>
              <w:rPr>
                <w:rFonts w:hint="eastAsia" w:ascii="宋体" w:hAnsi="宋体" w:eastAsia="宋体"/>
                <w:b/>
                <w:bCs/>
                <w:sz w:val="24"/>
                <w:szCs w:val="28"/>
              </w:rPr>
              <w:t>商务要求</w:t>
            </w:r>
          </w:p>
        </w:tc>
      </w:tr>
      <w:tr w14:paraId="1C602763">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39D2F2F">
            <w:pPr>
              <w:spacing w:line="380" w:lineRule="exact"/>
              <w:jc w:val="center"/>
              <w:rPr>
                <w:rFonts w:ascii="宋体" w:hAnsi="宋体" w:eastAsia="宋体"/>
                <w:b/>
                <w:bCs/>
                <w:sz w:val="24"/>
              </w:rPr>
            </w:pPr>
            <w:r>
              <w:rPr>
                <w:rFonts w:hint="eastAsia" w:ascii="宋体" w:hAnsi="宋体" w:eastAsia="宋体"/>
                <w:b/>
                <w:bCs/>
                <w:sz w:val="24"/>
              </w:rPr>
              <w:t>服务期限及地点</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4C90916">
            <w:pPr>
              <w:spacing w:line="440" w:lineRule="exact"/>
              <w:rPr>
                <w:rFonts w:hint="eastAsia" w:ascii="宋体" w:hAnsi="宋体" w:eastAsia="宋体"/>
              </w:rPr>
            </w:pPr>
            <w:r>
              <w:rPr>
                <w:rFonts w:hint="eastAsia" w:ascii="宋体" w:hAnsi="宋体" w:eastAsia="宋体"/>
              </w:rPr>
              <w:t>一、合同签订期：自成交通知书发出之日起5个工作日内。</w:t>
            </w:r>
          </w:p>
          <w:p w14:paraId="4E2F257B">
            <w:pPr>
              <w:spacing w:line="440" w:lineRule="exact"/>
              <w:rPr>
                <w:rFonts w:hint="eastAsia" w:ascii="宋体" w:hAnsi="宋体" w:eastAsia="宋体"/>
              </w:rPr>
            </w:pPr>
            <w:r>
              <w:rPr>
                <w:rFonts w:hint="eastAsia" w:ascii="宋体" w:hAnsi="宋体" w:eastAsia="宋体"/>
              </w:rPr>
              <w:t>二、服务期限或者服务时间：自合同签订后2</w:t>
            </w:r>
            <w:r>
              <w:rPr>
                <w:rFonts w:ascii="宋体" w:hAnsi="宋体" w:eastAsia="宋体"/>
              </w:rPr>
              <w:t>025</w:t>
            </w:r>
            <w:r>
              <w:rPr>
                <w:rFonts w:hint="eastAsia" w:ascii="宋体" w:hAnsi="宋体" w:eastAsia="宋体"/>
              </w:rPr>
              <w:t>年8月3</w:t>
            </w:r>
            <w:r>
              <w:rPr>
                <w:rFonts w:ascii="宋体" w:hAnsi="宋体" w:eastAsia="宋体"/>
              </w:rPr>
              <w:t>1</w:t>
            </w:r>
            <w:r>
              <w:rPr>
                <w:rFonts w:hint="eastAsia" w:ascii="宋体" w:hAnsi="宋体" w:eastAsia="宋体"/>
              </w:rPr>
              <w:t>日前通过验收并交付使用，合同服务期限为2</w:t>
            </w:r>
            <w:r>
              <w:rPr>
                <w:rFonts w:ascii="宋体" w:hAnsi="宋体" w:eastAsia="宋体"/>
              </w:rPr>
              <w:t>025</w:t>
            </w:r>
            <w:r>
              <w:rPr>
                <w:rFonts w:hint="eastAsia" w:ascii="宋体" w:hAnsi="宋体" w:eastAsia="宋体"/>
              </w:rPr>
              <w:t>年8月3</w:t>
            </w:r>
            <w:r>
              <w:rPr>
                <w:rFonts w:ascii="宋体" w:hAnsi="宋体" w:eastAsia="宋体"/>
              </w:rPr>
              <w:t>1</w:t>
            </w:r>
            <w:r>
              <w:rPr>
                <w:rFonts w:hint="eastAsia" w:ascii="宋体" w:hAnsi="宋体" w:eastAsia="宋体"/>
              </w:rPr>
              <w:t>日至2</w:t>
            </w:r>
            <w:r>
              <w:rPr>
                <w:rFonts w:ascii="宋体" w:hAnsi="宋体" w:eastAsia="宋体"/>
              </w:rPr>
              <w:t>026</w:t>
            </w:r>
            <w:r>
              <w:rPr>
                <w:rFonts w:hint="eastAsia" w:ascii="宋体" w:hAnsi="宋体" w:eastAsia="宋体"/>
              </w:rPr>
              <w:t>年</w:t>
            </w:r>
            <w:r>
              <w:rPr>
                <w:rFonts w:ascii="宋体" w:hAnsi="宋体" w:eastAsia="宋体"/>
              </w:rPr>
              <w:t>8</w:t>
            </w:r>
            <w:r>
              <w:rPr>
                <w:rFonts w:hint="eastAsia" w:ascii="宋体" w:hAnsi="宋体" w:eastAsia="宋体"/>
              </w:rPr>
              <w:t>月3</w:t>
            </w:r>
            <w:r>
              <w:rPr>
                <w:rFonts w:ascii="宋体" w:hAnsi="宋体" w:eastAsia="宋体"/>
              </w:rPr>
              <w:t>1</w:t>
            </w:r>
            <w:r>
              <w:rPr>
                <w:rFonts w:hint="eastAsia" w:ascii="宋体" w:hAnsi="宋体" w:eastAsia="宋体"/>
              </w:rPr>
              <w:t>日。</w:t>
            </w:r>
          </w:p>
          <w:p w14:paraId="52B6C288">
            <w:pPr>
              <w:spacing w:line="440" w:lineRule="exact"/>
              <w:rPr>
                <w:rFonts w:hint="eastAsia" w:ascii="宋体" w:hAnsi="宋体" w:eastAsia="宋体"/>
              </w:rPr>
            </w:pPr>
            <w:r>
              <w:rPr>
                <w:rFonts w:hint="eastAsia" w:ascii="宋体" w:hAnsi="宋体" w:eastAsia="宋体"/>
              </w:rPr>
              <w:t>三、服务地点：广西制造工程职业技术学院。</w:t>
            </w:r>
          </w:p>
        </w:tc>
      </w:tr>
      <w:tr w14:paraId="15CD7FB7">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65FCB8E">
            <w:pPr>
              <w:spacing w:line="380" w:lineRule="exact"/>
              <w:jc w:val="center"/>
              <w:rPr>
                <w:rFonts w:hint="eastAsia" w:ascii="宋体" w:hAnsi="宋体" w:eastAsia="宋体"/>
                <w:b/>
                <w:bCs/>
                <w:sz w:val="24"/>
              </w:rPr>
            </w:pPr>
            <w:r>
              <w:rPr>
                <w:rFonts w:hint="eastAsia" w:ascii="宋体" w:hAnsi="宋体" w:eastAsia="宋体"/>
                <w:b/>
                <w:bCs/>
                <w:sz w:val="24"/>
              </w:rPr>
              <w:t>售后服务要求</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F48E9B4">
            <w:pPr>
              <w:widowControl/>
              <w:shd w:val="clear" w:color="auto" w:fill="FFFFFF"/>
              <w:spacing w:line="440" w:lineRule="exact"/>
              <w:rPr>
                <w:rFonts w:hint="eastAsia" w:ascii="宋体" w:hAnsi="宋体" w:eastAsia="宋体"/>
              </w:rPr>
            </w:pPr>
            <w:r>
              <w:rPr>
                <w:rFonts w:hint="eastAsia" w:ascii="宋体" w:hAnsi="宋体" w:eastAsia="宋体"/>
              </w:rPr>
              <w:t>1、服务期与质量保证期1年（自提交服务成果并验收合格之日起计）。</w:t>
            </w:r>
          </w:p>
          <w:p w14:paraId="711313BA">
            <w:pPr>
              <w:widowControl/>
              <w:shd w:val="clear" w:color="auto" w:fill="FFFFFF"/>
              <w:spacing w:line="440" w:lineRule="exact"/>
              <w:rPr>
                <w:rFonts w:hint="eastAsia" w:ascii="宋体" w:hAnsi="宋体" w:eastAsia="宋体"/>
              </w:rPr>
            </w:pPr>
            <w:r>
              <w:rPr>
                <w:rFonts w:hint="eastAsia" w:ascii="宋体" w:hAnsi="宋体" w:eastAsia="宋体"/>
              </w:rPr>
              <w:t>2、供应商在服务期限内，应严格遵守《中华人民共和国电信条例》，维护双方权益，应按信息产业部颁布的相关电路建设规范执行，保证采购人租用线路畅通及安全使用。</w:t>
            </w:r>
          </w:p>
          <w:p w14:paraId="7B034547">
            <w:pPr>
              <w:widowControl/>
              <w:shd w:val="clear" w:color="auto" w:fill="FFFFFF"/>
              <w:spacing w:line="440" w:lineRule="exact"/>
              <w:rPr>
                <w:rFonts w:hint="eastAsia" w:ascii="宋体" w:hAnsi="宋体" w:eastAsia="宋体"/>
              </w:rPr>
            </w:pPr>
            <w:r>
              <w:rPr>
                <w:rFonts w:hint="eastAsia" w:ascii="宋体" w:hAnsi="宋体" w:eastAsia="宋体"/>
              </w:rPr>
              <w:t>3、故障响应处理时间：如成交供应商监测发现线路和设备有故障或采购人故障申告后，成交供应商2个小时内做出响应，4个小时内赶往现场，8个小时内解决问题。超过8个小时无法解决的故障，7日（日历日）内向采购人提交书面故障报告，报告包括故障现象描述、故障原因分析、故障解决办法、故障发生时间、故障恢复时间、如何避免同类问题发生的措施等。</w:t>
            </w:r>
          </w:p>
          <w:p w14:paraId="04A86286">
            <w:pPr>
              <w:widowControl/>
              <w:shd w:val="clear" w:color="auto" w:fill="FFFFFF"/>
              <w:spacing w:line="440" w:lineRule="exact"/>
              <w:rPr>
                <w:rFonts w:hint="eastAsia" w:ascii="宋体" w:hAnsi="宋体" w:eastAsia="宋体"/>
              </w:rPr>
            </w:pPr>
            <w:r>
              <w:rPr>
                <w:rFonts w:hint="eastAsia" w:ascii="宋体" w:hAnsi="宋体" w:eastAsia="宋体"/>
              </w:rPr>
              <w:t>4、采购单位网络需要扩展或升级时，负责免费提供相应解决方案；因供应商施工、网络割接等原因影响宽带网络运行的，应当提前一天通知采购单位，并且尽快消除故障、恢复通信线路。</w:t>
            </w:r>
          </w:p>
          <w:p w14:paraId="5E970D6D">
            <w:pPr>
              <w:widowControl/>
              <w:shd w:val="clear" w:color="auto" w:fill="FFFFFF"/>
              <w:spacing w:line="440" w:lineRule="exact"/>
              <w:rPr>
                <w:rFonts w:hint="eastAsia" w:ascii="宋体" w:hAnsi="宋体"/>
                <w:szCs w:val="21"/>
              </w:rPr>
            </w:pPr>
            <w:r>
              <w:rPr>
                <w:rFonts w:hint="eastAsia" w:ascii="宋体" w:hAnsi="宋体" w:eastAsia="宋体"/>
              </w:rPr>
              <w:t>5、若接入单位发生地址变更，成交供应商免费提供线路搬迁服务，自采购人书面提出之日起30日（日历日）内完成线路的</w:t>
            </w:r>
            <w:r>
              <w:rPr>
                <w:rFonts w:hint="eastAsia" w:ascii="宋体" w:hAnsi="宋体" w:eastAsia="宋体"/>
                <w:szCs w:val="21"/>
              </w:rPr>
              <w:t>迁移工作。</w:t>
            </w:r>
          </w:p>
          <w:p w14:paraId="20525841">
            <w:pPr>
              <w:widowControl/>
              <w:shd w:val="clear" w:color="auto" w:fill="FFFFFF"/>
              <w:spacing w:line="440" w:lineRule="exact"/>
              <w:rPr>
                <w:rFonts w:hint="eastAsia" w:ascii="宋体" w:hAnsi="宋体" w:eastAsia="宋体"/>
              </w:rPr>
            </w:pPr>
            <w:r>
              <w:rPr>
                <w:rFonts w:hint="eastAsia" w:ascii="宋体" w:hAnsi="宋体" w:eastAsia="宋体"/>
              </w:rPr>
              <w:t>6、采购单位网络需要扩展或升级时，负责免费提供相应解决方案；因供应商施工、网络割接等原因影响宽带网络运行的，应当提前一天通知采购单位，并且尽快消除故障、恢复通信线路；</w:t>
            </w:r>
          </w:p>
          <w:p w14:paraId="495182A7">
            <w:pPr>
              <w:widowControl/>
              <w:shd w:val="clear" w:color="auto" w:fill="FFFFFF"/>
              <w:spacing w:line="440" w:lineRule="exact"/>
              <w:rPr>
                <w:rFonts w:eastAsia="宋体"/>
              </w:rPr>
            </w:pPr>
            <w:r>
              <w:rPr>
                <w:rFonts w:hint="eastAsia" w:ascii="宋体" w:hAnsi="宋体" w:eastAsia="宋体"/>
              </w:rPr>
              <w:t>7.严格遵守《中华人民共和国网络安全法》《中华人民共和国数据安全法》《中华人民共和国个人信息保护法》等相关法律法规，确保在网络数据传输过程中的信息安全保障，如有因供应商问题造成数据泄露，承担全部责任。</w:t>
            </w:r>
          </w:p>
        </w:tc>
      </w:tr>
      <w:tr w14:paraId="69FD20AC">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B2F8204">
            <w:pPr>
              <w:spacing w:line="380" w:lineRule="exact"/>
              <w:jc w:val="center"/>
              <w:rPr>
                <w:rFonts w:hint="eastAsia" w:ascii="宋体" w:hAnsi="宋体" w:eastAsia="宋体"/>
                <w:b/>
                <w:bCs/>
                <w:sz w:val="24"/>
              </w:rPr>
            </w:pPr>
            <w:r>
              <w:rPr>
                <w:rFonts w:hint="eastAsia" w:ascii="宋体" w:hAnsi="宋体" w:eastAsia="宋体"/>
                <w:b/>
                <w:bCs/>
                <w:sz w:val="24"/>
                <w:szCs w:val="21"/>
              </w:rPr>
              <w:t>报价要求</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36435BF">
            <w:pPr>
              <w:spacing w:line="440" w:lineRule="exact"/>
              <w:rPr>
                <w:rFonts w:hint="eastAsia" w:ascii="宋体" w:hAnsi="宋体" w:eastAsia="宋体"/>
              </w:rPr>
            </w:pPr>
            <w:r>
              <w:rPr>
                <w:rFonts w:hint="eastAsia" w:ascii="宋体" w:hAnsi="宋体" w:eastAsia="宋体"/>
              </w:rPr>
              <w:t>（1）服务的价格；</w:t>
            </w:r>
          </w:p>
          <w:p w14:paraId="1B543A26">
            <w:pPr>
              <w:spacing w:line="440" w:lineRule="exact"/>
              <w:rPr>
                <w:rFonts w:hint="eastAsia" w:ascii="宋体" w:hAnsi="宋体" w:eastAsia="宋体"/>
              </w:rPr>
            </w:pPr>
            <w:r>
              <w:rPr>
                <w:rFonts w:hint="eastAsia" w:ascii="宋体" w:hAnsi="宋体" w:eastAsia="宋体"/>
              </w:rPr>
              <w:t>（2）必要的保险费用和各项税金；</w:t>
            </w:r>
          </w:p>
          <w:p w14:paraId="3311977D">
            <w:pPr>
              <w:tabs>
                <w:tab w:val="left" w:pos="3490"/>
                <w:tab w:val="left" w:pos="3670"/>
                <w:tab w:val="left" w:pos="3895"/>
              </w:tabs>
              <w:spacing w:line="440" w:lineRule="exact"/>
              <w:rPr>
                <w:rFonts w:ascii="宋体" w:hAnsi="宋体" w:eastAsia="宋体"/>
              </w:rPr>
            </w:pPr>
            <w:r>
              <w:rPr>
                <w:rFonts w:hint="eastAsia" w:ascii="宋体" w:hAnsi="宋体" w:eastAsia="宋体"/>
              </w:rPr>
              <w:t>（3）其他：如运输、装卸、安装、调试、培训、技术支持、售后服务、更新升级等费用。</w:t>
            </w:r>
          </w:p>
          <w:p w14:paraId="3D2ACCF4">
            <w:pPr>
              <w:pStyle w:val="2"/>
              <w:spacing w:line="312" w:lineRule="auto"/>
              <w:ind w:right="148"/>
              <w:rPr>
                <w:rFonts w:hint="eastAsia" w:ascii="宋体" w:hAnsi="宋体" w:cs="宋体"/>
              </w:rPr>
            </w:pPr>
            <w:r>
              <w:rPr>
                <w:rFonts w:hint="eastAsia" w:ascii="宋体" w:hAnsi="宋体" w:cs="宋体"/>
              </w:rPr>
              <w:t>（4）应考虑现场环境及市场变化等暗含的各种因素，合同一旦确定，不再另增任何费用。</w:t>
            </w:r>
          </w:p>
        </w:tc>
      </w:tr>
      <w:tr w14:paraId="66128071">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6E548FC">
            <w:pPr>
              <w:spacing w:line="380" w:lineRule="exact"/>
              <w:jc w:val="center"/>
              <w:rPr>
                <w:rFonts w:ascii="宋体" w:hAnsi="宋体" w:eastAsia="宋体"/>
                <w:b/>
                <w:bCs/>
                <w:sz w:val="24"/>
                <w:szCs w:val="21"/>
              </w:rPr>
            </w:pPr>
            <w:r>
              <w:rPr>
                <w:rFonts w:hint="eastAsia" w:ascii="宋体" w:hAnsi="宋体" w:eastAsia="宋体"/>
                <w:b/>
                <w:bCs/>
                <w:sz w:val="24"/>
                <w:szCs w:val="21"/>
              </w:rPr>
              <w:t>其他要求</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4C0940A">
            <w:pPr>
              <w:widowControl/>
              <w:shd w:val="clear" w:color="auto" w:fill="FFFFFF"/>
              <w:spacing w:line="440" w:lineRule="exact"/>
              <w:rPr>
                <w:rFonts w:hint="eastAsia" w:ascii="宋体" w:hAnsi="宋体" w:eastAsia="宋体"/>
              </w:rPr>
            </w:pPr>
            <w:r>
              <w:rPr>
                <w:rFonts w:hint="eastAsia" w:ascii="宋体" w:hAnsi="宋体" w:eastAsia="宋体"/>
              </w:rPr>
              <w:t>1、采购文件中标注“▲”号的条款为实质性条款或指标，要求必须满足或优于。若竞标人虚假竞标，采购人有权追究该竞标人相关法律责任。</w:t>
            </w:r>
          </w:p>
          <w:p w14:paraId="3A5C29E7">
            <w:pPr>
              <w:widowControl/>
              <w:shd w:val="clear" w:color="auto" w:fill="FFFFFF"/>
              <w:spacing w:line="440" w:lineRule="exact"/>
              <w:rPr>
                <w:rFonts w:hint="eastAsia" w:ascii="宋体" w:hAnsi="宋体" w:eastAsia="宋体"/>
                <w:szCs w:val="21"/>
              </w:rPr>
            </w:pPr>
            <w:r>
              <w:rPr>
                <w:rFonts w:hint="eastAsia" w:ascii="宋体" w:hAnsi="宋体" w:eastAsia="宋体"/>
              </w:rPr>
              <w:t>2、参加供应商须为国内注册（指按国家有关规定要求注册的），符合《中华人民共和国政府采购法》第二十二条规定，具备法人资格的供应商或其分支机构，并在签订合同时提供通信运营商针对本项目出具的互联网专线服务合作协议或授权文件，文件加盖竞标人公章。若不按时提供全部材料，则视为虚假应标，竞标无效。采购人有权追究该竞标人相关法律责任。</w:t>
            </w:r>
          </w:p>
        </w:tc>
      </w:tr>
      <w:tr w14:paraId="34957176">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71FBFA7">
            <w:pPr>
              <w:spacing w:line="380" w:lineRule="exact"/>
              <w:jc w:val="center"/>
              <w:rPr>
                <w:rFonts w:ascii="宋体" w:hAnsi="宋体" w:eastAsia="宋体"/>
                <w:b/>
                <w:bCs/>
                <w:sz w:val="24"/>
                <w:szCs w:val="21"/>
              </w:rPr>
            </w:pPr>
            <w:r>
              <w:rPr>
                <w:rFonts w:hint="eastAsia" w:ascii="宋体" w:hAnsi="宋体" w:eastAsia="宋体"/>
                <w:b/>
                <w:bCs/>
                <w:sz w:val="24"/>
                <w:szCs w:val="21"/>
              </w:rPr>
              <w:t>验收方法及方案</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A99BEDE">
            <w:pPr>
              <w:spacing w:line="360" w:lineRule="auto"/>
              <w:jc w:val="left"/>
              <w:rPr>
                <w:rFonts w:ascii="宋体" w:hAnsi="宋体" w:eastAsia="宋体"/>
              </w:rPr>
            </w:pPr>
            <w:r>
              <w:rPr>
                <w:rFonts w:ascii="宋体" w:hAnsi="宋体" w:eastAsia="宋体"/>
              </w:rPr>
              <w:t>1.验收依据</w:t>
            </w:r>
          </w:p>
          <w:p w14:paraId="27C97959">
            <w:pPr>
              <w:spacing w:line="360" w:lineRule="auto"/>
              <w:jc w:val="left"/>
              <w:rPr>
                <w:rFonts w:ascii="宋体" w:hAnsi="宋体" w:eastAsia="宋体"/>
              </w:rPr>
            </w:pPr>
            <w:r>
              <w:rPr>
                <w:rFonts w:hint="eastAsia" w:ascii="宋体" w:hAnsi="宋体" w:eastAsia="宋体"/>
              </w:rPr>
              <w:t>按合同要求及国家标准进行验收。</w:t>
            </w:r>
          </w:p>
          <w:p w14:paraId="2B3E93BE">
            <w:pPr>
              <w:spacing w:line="360" w:lineRule="auto"/>
              <w:jc w:val="left"/>
              <w:rPr>
                <w:rFonts w:ascii="宋体" w:hAnsi="宋体" w:eastAsia="宋体"/>
              </w:rPr>
            </w:pPr>
            <w:r>
              <w:rPr>
                <w:rFonts w:ascii="宋体" w:hAnsi="宋体" w:eastAsia="宋体"/>
              </w:rPr>
              <w:t>2.验收标准</w:t>
            </w:r>
          </w:p>
          <w:p w14:paraId="3CC6CDA4">
            <w:pPr>
              <w:spacing w:line="360" w:lineRule="auto"/>
              <w:jc w:val="left"/>
              <w:rPr>
                <w:rFonts w:ascii="宋体" w:hAnsi="宋体" w:eastAsia="宋体"/>
              </w:rPr>
            </w:pPr>
            <w:r>
              <w:rPr>
                <w:rFonts w:hint="eastAsia" w:ascii="宋体" w:hAnsi="宋体" w:eastAsia="宋体"/>
              </w:rPr>
              <w:t>（</w:t>
            </w:r>
            <w:r>
              <w:rPr>
                <w:rFonts w:ascii="宋体" w:hAnsi="宋体" w:eastAsia="宋体"/>
              </w:rPr>
              <w:t>1）所供产品的服务符合项目采购需求及采购合同约定的要求。</w:t>
            </w:r>
          </w:p>
          <w:p w14:paraId="0BF258D2">
            <w:pPr>
              <w:spacing w:line="360" w:lineRule="auto"/>
              <w:jc w:val="left"/>
              <w:rPr>
                <w:rFonts w:ascii="宋体" w:hAnsi="宋体" w:eastAsia="宋体"/>
              </w:rPr>
            </w:pPr>
            <w:r>
              <w:rPr>
                <w:rFonts w:hint="eastAsia" w:ascii="宋体" w:hAnsi="宋体" w:eastAsia="宋体"/>
              </w:rPr>
              <w:t>（</w:t>
            </w:r>
            <w:r>
              <w:rPr>
                <w:rFonts w:ascii="宋体" w:hAnsi="宋体" w:eastAsia="宋体"/>
              </w:rPr>
              <w:t>2）采购项目采购需求及采购合同约定的附件、工具、技术资料等齐全；提供产品使用说明书、合格证如有。</w:t>
            </w:r>
          </w:p>
          <w:p w14:paraId="6B9A99D1">
            <w:pPr>
              <w:spacing w:line="360" w:lineRule="auto"/>
              <w:jc w:val="left"/>
              <w:rPr>
                <w:rFonts w:ascii="宋体" w:hAnsi="宋体" w:eastAsia="宋体"/>
              </w:rPr>
            </w:pPr>
            <w:r>
              <w:rPr>
                <w:rFonts w:ascii="宋体" w:hAnsi="宋体" w:eastAsia="宋体"/>
              </w:rPr>
              <w:t>3.验收要求</w:t>
            </w:r>
          </w:p>
          <w:p w14:paraId="2AE9610F">
            <w:pPr>
              <w:spacing w:line="360" w:lineRule="auto"/>
              <w:jc w:val="left"/>
              <w:rPr>
                <w:rFonts w:ascii="宋体" w:hAnsi="宋体" w:eastAsia="宋体"/>
              </w:rPr>
            </w:pPr>
            <w:r>
              <w:rPr>
                <w:rFonts w:hint="eastAsia" w:ascii="宋体" w:hAnsi="宋体" w:eastAsia="宋体"/>
              </w:rPr>
              <w:t>（</w:t>
            </w:r>
            <w:r>
              <w:rPr>
                <w:rFonts w:ascii="宋体" w:hAnsi="宋体" w:eastAsia="宋体"/>
              </w:rPr>
              <w:t>1）采购人可以根据采购项目具体情况委托第三方机构或部门开展采购项目履约验收工作，所产生的履约验收服务费用由</w:t>
            </w:r>
            <w:r>
              <w:rPr>
                <w:rFonts w:hint="eastAsia" w:ascii="宋体" w:hAnsi="宋体" w:eastAsia="宋体"/>
              </w:rPr>
              <w:t>成交</w:t>
            </w:r>
            <w:r>
              <w:rPr>
                <w:rFonts w:ascii="宋体" w:hAnsi="宋体" w:eastAsia="宋体"/>
              </w:rPr>
              <w:t>供应商承担</w:t>
            </w:r>
            <w:r>
              <w:rPr>
                <w:rFonts w:hint="eastAsia" w:ascii="宋体" w:hAnsi="宋体" w:eastAsia="宋体"/>
              </w:rPr>
              <w:t>，</w:t>
            </w:r>
            <w:r>
              <w:rPr>
                <w:rFonts w:ascii="宋体" w:hAnsi="宋体" w:eastAsia="宋体"/>
              </w:rPr>
              <w:t>报价时应考虑此因素。</w:t>
            </w:r>
          </w:p>
          <w:p w14:paraId="19BCA625">
            <w:pPr>
              <w:spacing w:line="360" w:lineRule="auto"/>
              <w:jc w:val="left"/>
              <w:rPr>
                <w:rFonts w:ascii="宋体" w:hAnsi="宋体" w:eastAsia="宋体"/>
              </w:rPr>
            </w:pPr>
            <w:r>
              <w:rPr>
                <w:rFonts w:hint="eastAsia" w:ascii="宋体" w:hAnsi="宋体" w:eastAsia="宋体"/>
              </w:rPr>
              <w:t>（</w:t>
            </w:r>
            <w:r>
              <w:rPr>
                <w:rFonts w:ascii="宋体" w:hAnsi="宋体" w:eastAsia="宋体"/>
              </w:rPr>
              <w:t>2）本项目验收委托第三方机构组织实施，委托验收由验收小组对照采购文件的技术参数要求核对检验，如不符合采购文件的技术参数要求的，按合同约定执行，</w:t>
            </w:r>
            <w:r>
              <w:rPr>
                <w:rFonts w:hint="eastAsia" w:ascii="宋体" w:hAnsi="宋体" w:eastAsia="宋体"/>
              </w:rPr>
              <w:t>成交</w:t>
            </w:r>
            <w:r>
              <w:rPr>
                <w:rFonts w:ascii="宋体" w:hAnsi="宋体" w:eastAsia="宋体"/>
              </w:rPr>
              <w:t>供应商承担所有责任和费用。采购人保留进一步追究责任的权利。</w:t>
            </w:r>
          </w:p>
          <w:p w14:paraId="59064879">
            <w:pPr>
              <w:spacing w:line="380" w:lineRule="exact"/>
              <w:rPr>
                <w:rFonts w:ascii="宋体" w:hAnsi="宋体" w:eastAsia="宋体"/>
              </w:rPr>
            </w:pPr>
          </w:p>
        </w:tc>
      </w:tr>
      <w:tr w14:paraId="2F1A4140">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6A87258">
            <w:pPr>
              <w:spacing w:line="380" w:lineRule="exact"/>
              <w:jc w:val="center"/>
              <w:rPr>
                <w:rFonts w:ascii="宋体" w:hAnsi="宋体" w:eastAsia="宋体"/>
                <w:b/>
                <w:bCs/>
                <w:sz w:val="24"/>
              </w:rPr>
            </w:pPr>
            <w:r>
              <w:rPr>
                <w:rFonts w:hint="eastAsia" w:ascii="宋体" w:hAnsi="宋体" w:eastAsia="宋体"/>
                <w:b/>
                <w:bCs/>
                <w:sz w:val="24"/>
              </w:rPr>
              <w:t>履约保证金</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7180C4F">
            <w:pPr>
              <w:spacing w:line="380" w:lineRule="exact"/>
              <w:jc w:val="left"/>
              <w:rPr>
                <w:rFonts w:hint="eastAsia" w:ascii="宋体" w:hAnsi="宋体" w:eastAsia="宋体"/>
                <w:bCs/>
              </w:rPr>
            </w:pPr>
            <w:r>
              <w:rPr>
                <w:rFonts w:hint="eastAsia" w:ascii="宋体" w:hAnsi="宋体" w:eastAsia="宋体"/>
                <w:bCs/>
              </w:rPr>
              <w:t>无。</w:t>
            </w:r>
          </w:p>
        </w:tc>
      </w:tr>
      <w:tr w14:paraId="6BE42E42">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07662EB">
            <w:pPr>
              <w:spacing w:line="380" w:lineRule="exact"/>
              <w:jc w:val="center"/>
              <w:rPr>
                <w:rFonts w:ascii="宋体" w:hAnsi="宋体" w:eastAsia="宋体"/>
                <w:b/>
                <w:bCs/>
                <w:sz w:val="24"/>
                <w:szCs w:val="21"/>
              </w:rPr>
            </w:pPr>
            <w:r>
              <w:rPr>
                <w:rFonts w:hint="eastAsia" w:ascii="宋体" w:hAnsi="宋体" w:eastAsia="宋体"/>
                <w:b/>
                <w:bCs/>
                <w:sz w:val="24"/>
              </w:rPr>
              <w:t>付款条件</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5195DD8">
            <w:pPr>
              <w:spacing w:line="380" w:lineRule="exact"/>
              <w:jc w:val="left"/>
              <w:rPr>
                <w:rFonts w:hint="eastAsia" w:ascii="宋体" w:hAnsi="宋体" w:eastAsia="宋体"/>
                <w:bCs/>
              </w:rPr>
            </w:pPr>
            <w:r>
              <w:rPr>
                <w:rFonts w:hint="eastAsia" w:ascii="宋体" w:hAnsi="宋体" w:eastAsia="宋体"/>
                <w:bCs/>
              </w:rPr>
              <w:t>1.验收合格后20个日历日内采购人采用预付方式支付合同款项。</w:t>
            </w:r>
          </w:p>
          <w:p w14:paraId="40293A2D">
            <w:pPr>
              <w:spacing w:line="380" w:lineRule="exact"/>
              <w:jc w:val="left"/>
              <w:rPr>
                <w:rFonts w:ascii="宋体" w:hAnsi="宋体" w:eastAsia="宋体"/>
                <w:b/>
                <w:bCs/>
                <w:sz w:val="24"/>
                <w:u w:val="single"/>
              </w:rPr>
            </w:pPr>
            <w:r>
              <w:rPr>
                <w:rFonts w:hint="eastAsia" w:ascii="宋体" w:hAnsi="宋体" w:eastAsia="宋体"/>
                <w:bCs/>
              </w:rPr>
              <w:t>2.采购人付款前，成交供应商应向采购人开具等额有效的增值税普通发票，采购人未收到发票的，有权不予支付相应款项直至成交供应商提供合格发票，并不承担延迟付款责任。发票认证通过是付款的必要前提。</w:t>
            </w:r>
          </w:p>
        </w:tc>
      </w:tr>
      <w:tr w14:paraId="3CC06CD0">
        <w:tblPrEx>
          <w:tblCellMar>
            <w:top w:w="0" w:type="dxa"/>
            <w:left w:w="0" w:type="dxa"/>
            <w:bottom w:w="0" w:type="dxa"/>
            <w:right w:w="0" w:type="dxa"/>
          </w:tblCellMar>
        </w:tblPrEx>
        <w:trPr>
          <w:jc w:val="center"/>
        </w:trPr>
        <w:tc>
          <w:tcPr>
            <w:tcW w:w="1924"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A1DFB8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eastAsia" w:ascii="宋体" w:hAnsi="宋体" w:eastAsia="宋体"/>
                <w:b/>
                <w:bCs/>
                <w:sz w:val="24"/>
              </w:rPr>
            </w:pPr>
            <w:r>
              <w:rPr>
                <w:rFonts w:hint="eastAsia" w:ascii="宋体" w:hAnsi="宋体" w:eastAsia="宋体" w:cs="宋体"/>
                <w:b/>
                <w:bCs/>
                <w:sz w:val="21"/>
                <w:szCs w:val="21"/>
              </w:rPr>
              <w:t>现场考察</w:t>
            </w:r>
          </w:p>
        </w:tc>
        <w:tc>
          <w:tcPr>
            <w:tcW w:w="7577" w:type="dxa"/>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9803F7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本项目提供现场考察，有意向的供应商可到采购人现场进行现场考察，充分了解项目情况，否则导致竞标失误由供应商自行承担。考察交通工具、费用及人身安全由各供应商自行承担。</w:t>
            </w:r>
          </w:p>
          <w:p w14:paraId="11C730E2">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各供应商可于考察前一个工作日提前联系，如过后联系不上后果自负。</w:t>
            </w:r>
          </w:p>
          <w:p w14:paraId="153F4EAC">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考察时间：2025年6月9日上午9:30～9:45进行签到，逾时不予签到，9:45后由采购人统一安排进行考察（签到时出具授权书原件）；</w:t>
            </w:r>
          </w:p>
          <w:p w14:paraId="2A37511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集中地址：广西制造工程职业技术学院图文信息楼；</w:t>
            </w:r>
          </w:p>
          <w:p w14:paraId="57B3357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eastAsia" w:ascii="宋体" w:hAnsi="宋体" w:eastAsia="宋体"/>
                <w:bCs/>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联系人：何老师；联系电话：13978668082</w:t>
            </w:r>
            <w:bookmarkStart w:id="3" w:name="_GoBack"/>
            <w:bookmarkEnd w:id="3"/>
          </w:p>
        </w:tc>
      </w:tr>
    </w:tbl>
    <w:p w14:paraId="14CA26FA"/>
    <w:p w14:paraId="4BE0DAAE">
      <w:pPr>
        <w:widowControl/>
        <w:spacing w:line="360" w:lineRule="auto"/>
        <w:jc w:val="both"/>
        <w:rPr>
          <w:rFonts w:hint="eastAsia" w:ascii="黑体" w:hAnsi="黑体" w:eastAsia="黑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8"/>
        </w:tabs>
        <w:ind w:left="-728" w:firstLine="870"/>
      </w:pPr>
      <w:rPr>
        <w:rFonts w:hint="eastAsia" w:ascii="宋体" w:hAnsi="宋体" w:eastAsia="宋体" w:cs="Times New Roman"/>
      </w:rPr>
    </w:lvl>
    <w:lvl w:ilvl="1" w:tentative="0">
      <w:start w:val="1"/>
      <w:numFmt w:val="lowerLetter"/>
      <w:lvlText w:val="%2)"/>
      <w:lvlJc w:val="left"/>
      <w:pPr>
        <w:tabs>
          <w:tab w:val="left" w:pos="415"/>
        </w:tabs>
        <w:ind w:left="415" w:hanging="420"/>
      </w:pPr>
      <w:rPr>
        <w:rFonts w:hint="default" w:ascii="Times New Roman" w:hAnsi="Times New Roman" w:cs="Times New Roman"/>
      </w:rPr>
    </w:lvl>
    <w:lvl w:ilvl="2" w:tentative="0">
      <w:start w:val="1"/>
      <w:numFmt w:val="lowerRoman"/>
      <w:lvlText w:val="%3."/>
      <w:lvlJc w:val="right"/>
      <w:pPr>
        <w:tabs>
          <w:tab w:val="left" w:pos="835"/>
        </w:tabs>
        <w:ind w:left="835" w:hanging="420"/>
      </w:pPr>
      <w:rPr>
        <w:rFonts w:hint="default" w:ascii="Times New Roman" w:hAnsi="Times New Roman" w:cs="Times New Roman"/>
      </w:rPr>
    </w:lvl>
    <w:lvl w:ilvl="3" w:tentative="0">
      <w:start w:val="1"/>
      <w:numFmt w:val="decimal"/>
      <w:lvlText w:val="%4."/>
      <w:lvlJc w:val="left"/>
      <w:pPr>
        <w:tabs>
          <w:tab w:val="left" w:pos="1255"/>
        </w:tabs>
        <w:ind w:left="1255" w:hanging="420"/>
      </w:pPr>
      <w:rPr>
        <w:rFonts w:hint="default" w:ascii="Times New Roman" w:hAnsi="Times New Roman" w:cs="Times New Roman"/>
      </w:rPr>
    </w:lvl>
    <w:lvl w:ilvl="4" w:tentative="0">
      <w:start w:val="1"/>
      <w:numFmt w:val="lowerLetter"/>
      <w:lvlText w:val="%5)"/>
      <w:lvlJc w:val="left"/>
      <w:pPr>
        <w:tabs>
          <w:tab w:val="left" w:pos="1675"/>
        </w:tabs>
        <w:ind w:left="1675" w:hanging="420"/>
      </w:pPr>
      <w:rPr>
        <w:rFonts w:hint="default" w:ascii="Times New Roman" w:hAnsi="Times New Roman" w:cs="Times New Roman"/>
      </w:rPr>
    </w:lvl>
    <w:lvl w:ilvl="5" w:tentative="0">
      <w:start w:val="1"/>
      <w:numFmt w:val="lowerRoman"/>
      <w:lvlText w:val="%6."/>
      <w:lvlJc w:val="right"/>
      <w:pPr>
        <w:tabs>
          <w:tab w:val="left" w:pos="2095"/>
        </w:tabs>
        <w:ind w:left="2095" w:hanging="420"/>
      </w:pPr>
      <w:rPr>
        <w:rFonts w:hint="default" w:ascii="Times New Roman" w:hAnsi="Times New Roman" w:cs="Times New Roman"/>
      </w:rPr>
    </w:lvl>
    <w:lvl w:ilvl="6" w:tentative="0">
      <w:start w:val="1"/>
      <w:numFmt w:val="decimal"/>
      <w:lvlText w:val="%7."/>
      <w:lvlJc w:val="left"/>
      <w:pPr>
        <w:tabs>
          <w:tab w:val="left" w:pos="2515"/>
        </w:tabs>
        <w:ind w:left="2515" w:hanging="420"/>
      </w:pPr>
      <w:rPr>
        <w:rFonts w:hint="default" w:ascii="Times New Roman" w:hAnsi="Times New Roman" w:cs="Times New Roman"/>
      </w:rPr>
    </w:lvl>
    <w:lvl w:ilvl="7" w:tentative="0">
      <w:start w:val="1"/>
      <w:numFmt w:val="lowerLetter"/>
      <w:lvlText w:val="%8)"/>
      <w:lvlJc w:val="left"/>
      <w:pPr>
        <w:tabs>
          <w:tab w:val="left" w:pos="2935"/>
        </w:tabs>
        <w:ind w:left="2935" w:hanging="420"/>
      </w:pPr>
      <w:rPr>
        <w:rFonts w:hint="default" w:ascii="Times New Roman" w:hAnsi="Times New Roman" w:cs="Times New Roman"/>
      </w:rPr>
    </w:lvl>
    <w:lvl w:ilvl="8" w:tentative="0">
      <w:start w:val="1"/>
      <w:numFmt w:val="lowerRoman"/>
      <w:lvlText w:val="%9."/>
      <w:lvlJc w:val="right"/>
      <w:pPr>
        <w:tabs>
          <w:tab w:val="left" w:pos="3355"/>
        </w:tabs>
        <w:ind w:left="3355"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84B8E"/>
    <w:rsid w:val="60777DBB"/>
    <w:rsid w:val="7EB5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2511</Words>
  <Characters>2679</Characters>
  <Lines>0</Lines>
  <Paragraphs>0</Paragraphs>
  <TotalTime>3</TotalTime>
  <ScaleCrop>false</ScaleCrop>
  <LinksUpToDate>false</LinksUpToDate>
  <CharactersWithSpaces>2710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2025-06-04T03:22:00Z</dcterms:created>
  <dc:creator>1</dc:creator>
  <cp:lastModifiedBy>义嫔</cp:lastModifiedBy>
  <dcterms:modified xsi:type="dcterms:W3CDTF">2025-06-06T08:16:37Z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430D6AFAA50748718DE63385A50CC84F_12</vt:lpwstr>
  </property>
</Properties>
</file>