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钦州监狱监控全覆盖设施设备采购需求表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16" w:firstLineChars="150"/>
        <w:jc w:val="left"/>
        <w:textAlignment w:val="auto"/>
        <w:rPr>
          <w:rFonts w:hint="eastAsia" w:ascii="宋体" w:hAnsi="宋体"/>
          <w:b/>
          <w:szCs w:val="21"/>
        </w:rPr>
      </w:pPr>
      <w:r>
        <w:rPr>
          <w:rFonts w:hint="eastAsia" w:ascii="宋体" w:hAnsi="宋体" w:cs="Arial"/>
          <w:b/>
          <w:szCs w:val="21"/>
        </w:rPr>
        <w:t>采购预算：人民币</w:t>
      </w:r>
      <w:r>
        <w:rPr>
          <w:rFonts w:hint="eastAsia" w:ascii="方正仿宋_GBK" w:hAnsi="Calibri" w:eastAsia="方正仿宋_GBK" w:cs="Times New Roman"/>
          <w:sz w:val="32"/>
          <w:szCs w:val="32"/>
          <w:lang w:val="en-US" w:eastAsia="zh-CN"/>
        </w:rPr>
        <w:t>33.95705</w:t>
      </w:r>
      <w:r>
        <w:rPr>
          <w:rFonts w:hint="eastAsia" w:ascii="宋体" w:hAnsi="宋体" w:cs="Arial"/>
          <w:b/>
          <w:szCs w:val="21"/>
        </w:rPr>
        <w:t xml:space="preserve">  </w:t>
      </w:r>
      <w:r>
        <w:rPr>
          <w:rFonts w:hint="eastAsia" w:ascii="宋体" w:hAnsi="宋体"/>
          <w:b/>
          <w:szCs w:val="21"/>
        </w:rPr>
        <w:t>万元</w:t>
      </w:r>
    </w:p>
    <w:tbl>
      <w:tblPr>
        <w:tblStyle w:val="8"/>
        <w:tblW w:w="988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561"/>
        <w:gridCol w:w="5460"/>
        <w:gridCol w:w="780"/>
        <w:gridCol w:w="660"/>
        <w:gridCol w:w="7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5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货物名称</w:t>
            </w:r>
          </w:p>
        </w:tc>
        <w:tc>
          <w:tcPr>
            <w:tcW w:w="5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规格参数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  <w:r>
              <w:rPr>
                <w:rStyle w:val="14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>万全彩筒形摄像头</w:t>
            </w:r>
          </w:p>
        </w:tc>
        <w:tc>
          <w:tcPr>
            <w:tcW w:w="5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400万全彩筒型网络摄像机，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分辨率≥2560 × 1440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高灵敏度传感器，</w:t>
            </w:r>
            <w:r>
              <w:rPr>
                <w:rStyle w:val="15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>F1.0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光圈镜头,焦距：2.8 mm 水平视场角：≥140°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支持H.264、H.265、MJPEG视频编码格式，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支持区域入侵侦测，越界侦测，进入区域侦测，离开区域侦测。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  <w:r>
              <w:rPr>
                <w:rStyle w:val="14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>万全彩半球形摄像头</w:t>
            </w:r>
          </w:p>
        </w:tc>
        <w:tc>
          <w:tcPr>
            <w:tcW w:w="5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400万</w:t>
            </w:r>
            <w:r>
              <w:rPr>
                <w:rStyle w:val="14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>全景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全彩海螺型网络摄像机，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分辨率≥2560 × 1440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高灵敏度传感器，</w:t>
            </w:r>
            <w:r>
              <w:rPr>
                <w:rStyle w:val="15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>F1.0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光圈镜头，焦距：2.0mm；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支持H.264、H.265、MJPEG视频编码格式，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支持区域入侵侦测，越界侦测，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支持DC12V及POE供电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</w:t>
            </w:r>
            <w:r>
              <w:rPr>
                <w:rStyle w:val="15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>IP67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防尘防水设计，可靠性高；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  <w:r>
              <w:rPr>
                <w:rStyle w:val="14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>万拼接全彩枪球一体形摄像头</w:t>
            </w:r>
          </w:p>
        </w:tc>
        <w:tc>
          <w:tcPr>
            <w:tcW w:w="5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1、全景摄像机分辨率不低于</w:t>
            </w:r>
            <w:r>
              <w:rPr>
                <w:rStyle w:val="15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 xml:space="preserve">3680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  <w:r>
              <w:rPr>
                <w:rStyle w:val="15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 xml:space="preserve"> 1656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，细节摄像机分辨率不低于</w:t>
            </w:r>
            <w:r>
              <w:rPr>
                <w:rStyle w:val="15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 xml:space="preserve">2688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  <w:r>
              <w:rPr>
                <w:rStyle w:val="15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 xml:space="preserve"> 1520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Style w:val="15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、摄像机内置不少于</w:t>
            </w:r>
            <w:r>
              <w:rPr>
                <w:rStyle w:val="15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个镜头，可输出至少</w:t>
            </w:r>
            <w:r>
              <w:rPr>
                <w:rStyle w:val="15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路全景视频图像和</w:t>
            </w:r>
            <w:r>
              <w:rPr>
                <w:rStyle w:val="15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路细节视频图像。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Style w:val="15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、摄像机内置镜头，支持不小于</w:t>
            </w:r>
            <w:r>
              <w:rPr>
                <w:rStyle w:val="15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>40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倍光学变倍，镜头最大焦距不小于</w:t>
            </w:r>
            <w:r>
              <w:rPr>
                <w:rStyle w:val="15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>240mm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Style w:val="15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、支持水平旋转范围</w:t>
            </w:r>
            <w:r>
              <w:rPr>
                <w:rStyle w:val="15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>360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°连续旋转并可进行调节。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球机支架</w:t>
            </w:r>
          </w:p>
        </w:tc>
        <w:tc>
          <w:tcPr>
            <w:tcW w:w="5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材质：铝合金；根据现场安装需求进行定制，满足于建筑外安装所需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  <w:r>
              <w:rPr>
                <w:rStyle w:val="14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>口千兆接入交换机</w:t>
            </w:r>
          </w:p>
        </w:tc>
        <w:tc>
          <w:tcPr>
            <w:tcW w:w="5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</w:t>
            </w:r>
            <w:r>
              <w:rPr>
                <w:rStyle w:val="15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配置：可用千兆电接口数量≥</w:t>
            </w:r>
            <w:r>
              <w:rPr>
                <w:rStyle w:val="15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>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，千兆光接口数量≥</w:t>
            </w:r>
            <w:r>
              <w:rPr>
                <w:rStyle w:val="15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Style w:val="15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、交换容量≥</w:t>
            </w:r>
            <w:r>
              <w:rPr>
                <w:rStyle w:val="15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>56Gbps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，转发性能≥</w:t>
            </w:r>
            <w:r>
              <w:rPr>
                <w:rStyle w:val="15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>41.67Mpps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。可通过WEB、ssh管控，可针对具体接口进行VLAN配置。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监狱监控管理平台-监控授权扩容</w:t>
            </w:r>
          </w:p>
        </w:tc>
        <w:tc>
          <w:tcPr>
            <w:tcW w:w="5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1、对现有使用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的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SPCC_智慧监所综合管控平台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  <w:t>”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扩容授权监控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点位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接入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2、确保本次采购的400万全彩筒</w:t>
            </w:r>
            <w:r>
              <w:rPr>
                <w:rStyle w:val="14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>形摄像头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、400万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全景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全彩半球</w:t>
            </w:r>
            <w:r>
              <w:rPr>
                <w:rStyle w:val="14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>形摄像头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、1000万拼接全彩枪球一体</w:t>
            </w:r>
            <w:r>
              <w:rPr>
                <w:rStyle w:val="14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>形摄像头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无缝接入平台并实现相关功能。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6类非屏蔽网线</w:t>
            </w:r>
          </w:p>
        </w:tc>
        <w:tc>
          <w:tcPr>
            <w:tcW w:w="5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6类国标网线</w:t>
            </w:r>
            <w:r>
              <w:rPr>
                <w:rStyle w:val="15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>,Cat6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非屏蔽双绞线，≥300m/箱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箱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集中供电电源模块</w:t>
            </w:r>
          </w:p>
        </w:tc>
        <w:tc>
          <w:tcPr>
            <w:tcW w:w="5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12V30A</w:t>
            </w:r>
            <w:r>
              <w:rPr>
                <w:rStyle w:val="16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>集中供电电源模块，具备主动散热功能，便于集成安装</w:t>
            </w:r>
            <w:bookmarkEnd w:id="0"/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电源线</w:t>
            </w:r>
          </w:p>
        </w:tc>
        <w:tc>
          <w:tcPr>
            <w:tcW w:w="5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  <w:r>
              <w:rPr>
                <w:rStyle w:val="15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>RVV2*1.5</w:t>
            </w:r>
            <w:r>
              <w:rPr>
                <w:rStyle w:val="16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>电源线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</w:trPr>
        <w:tc>
          <w:tcPr>
            <w:tcW w:w="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PVC管</w:t>
            </w:r>
          </w:p>
        </w:tc>
        <w:tc>
          <w:tcPr>
            <w:tcW w:w="5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φ25mm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波纹管</w:t>
            </w:r>
          </w:p>
        </w:tc>
        <w:tc>
          <w:tcPr>
            <w:tcW w:w="5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φ25mm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水晶头</w:t>
            </w:r>
          </w:p>
        </w:tc>
        <w:tc>
          <w:tcPr>
            <w:tcW w:w="5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六类RJ45网络水晶头，每包</w:t>
            </w:r>
            <w:r>
              <w:rPr>
                <w:rStyle w:val="15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>100</w:t>
            </w:r>
            <w:r>
              <w:rPr>
                <w:rStyle w:val="16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>只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监控杆（含地笼）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全金属监控立杆，地面上3.5米净高，含设备箱及摄像头安装支架，黑色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14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防水设备箱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定制，安装于室外监控杆，含配套电路及空开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光缆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6芯单模室外光缆及配套满足需求的熔纤盘及尾纤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16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光收发器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千兆单模收发器（两套为一对）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17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防雷器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千兆二合一防雷器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18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空开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2P C16 空气开关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19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辅材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绝缘胶布、</w:t>
            </w:r>
            <w:r>
              <w:rPr>
                <w:rStyle w:val="15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>PVC</w:t>
            </w:r>
            <w:r>
              <w:rPr>
                <w:rStyle w:val="16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>管接头、扎带、标签纸等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批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安装调试费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综合布线、直埋、立杆、熔纤、安装调试等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批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</w:tbl>
    <w:p>
      <w:pPr>
        <w:spacing w:line="400" w:lineRule="exact"/>
        <w:jc w:val="left"/>
        <w:rPr>
          <w:rFonts w:ascii="宋体" w:hAnsi="宋体"/>
          <w:b/>
          <w:szCs w:val="21"/>
        </w:rPr>
      </w:pPr>
    </w:p>
    <w:p>
      <w:pPr>
        <w:spacing w:line="400" w:lineRule="exact"/>
        <w:jc w:val="left"/>
        <w:rPr>
          <w:rFonts w:ascii="宋体" w:hAnsi="宋体"/>
          <w:b/>
          <w:szCs w:val="21"/>
        </w:rPr>
      </w:pPr>
    </w:p>
    <w:p>
      <w:pPr>
        <w:spacing w:line="400" w:lineRule="exact"/>
        <w:jc w:val="left"/>
        <w:rPr>
          <w:rFonts w:ascii="宋体" w:hAnsi="宋体"/>
          <w:b/>
          <w:szCs w:val="21"/>
        </w:rPr>
      </w:pPr>
    </w:p>
    <w:p>
      <w:pPr>
        <w:spacing w:line="400" w:lineRule="exact"/>
        <w:jc w:val="left"/>
        <w:rPr>
          <w:rFonts w:ascii="宋体" w:hAnsi="宋体"/>
          <w:b/>
          <w:szCs w:val="21"/>
        </w:rPr>
      </w:pPr>
    </w:p>
    <w:p>
      <w:pPr>
        <w:spacing w:line="400" w:lineRule="exact"/>
        <w:jc w:val="left"/>
        <w:rPr>
          <w:rFonts w:ascii="宋体" w:hAnsi="宋体"/>
          <w:b/>
          <w:szCs w:val="21"/>
        </w:rPr>
      </w:pPr>
    </w:p>
    <w:p>
      <w:pPr>
        <w:spacing w:line="400" w:lineRule="exact"/>
        <w:jc w:val="left"/>
        <w:rPr>
          <w:rFonts w:ascii="宋体" w:hAnsi="宋体"/>
          <w:b/>
          <w:szCs w:val="21"/>
        </w:rPr>
      </w:pPr>
    </w:p>
    <w:p>
      <w:pPr>
        <w:spacing w:line="400" w:lineRule="exact"/>
        <w:jc w:val="left"/>
        <w:rPr>
          <w:rFonts w:ascii="宋体" w:hAnsi="宋体"/>
          <w:b/>
          <w:szCs w:val="21"/>
        </w:rPr>
      </w:pPr>
    </w:p>
    <w:p>
      <w:pPr>
        <w:spacing w:line="400" w:lineRule="exact"/>
        <w:jc w:val="left"/>
        <w:rPr>
          <w:rFonts w:ascii="宋体" w:hAnsi="宋体"/>
          <w:b/>
          <w:szCs w:val="21"/>
        </w:rPr>
      </w:pPr>
    </w:p>
    <w:p>
      <w:pPr>
        <w:spacing w:line="400" w:lineRule="exact"/>
        <w:jc w:val="left"/>
        <w:rPr>
          <w:rFonts w:ascii="宋体" w:hAnsi="宋体"/>
          <w:b/>
          <w:szCs w:val="21"/>
        </w:rPr>
      </w:pPr>
    </w:p>
    <w:p>
      <w:pPr>
        <w:spacing w:line="400" w:lineRule="exact"/>
        <w:jc w:val="left"/>
        <w:rPr>
          <w:rFonts w:ascii="宋体" w:hAnsi="宋体"/>
          <w:b/>
          <w:szCs w:val="21"/>
        </w:rPr>
      </w:pPr>
    </w:p>
    <w:p>
      <w:pPr>
        <w:spacing w:line="400" w:lineRule="exact"/>
        <w:jc w:val="left"/>
        <w:rPr>
          <w:rFonts w:ascii="宋体" w:hAnsi="宋体"/>
          <w:b/>
          <w:szCs w:val="21"/>
        </w:rPr>
      </w:pPr>
    </w:p>
    <w:p>
      <w:pPr>
        <w:spacing w:line="400" w:lineRule="exact"/>
        <w:jc w:val="left"/>
        <w:rPr>
          <w:rFonts w:ascii="宋体" w:hAnsi="宋体"/>
          <w:b/>
          <w:szCs w:val="21"/>
        </w:rPr>
      </w:pPr>
    </w:p>
    <w:p>
      <w:pPr>
        <w:pStyle w:val="6"/>
        <w:ind w:left="0" w:leftChars="0" w:firstLine="0" w:firstLineChars="0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二、商务要求表</w:t>
      </w:r>
    </w:p>
    <w:tbl>
      <w:tblPr>
        <w:tblStyle w:val="9"/>
        <w:tblpPr w:leftFromText="180" w:rightFromText="180" w:vertAnchor="text" w:horzAnchor="margin" w:tblpY="13"/>
        <w:tblW w:w="996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2"/>
        <w:gridCol w:w="886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</w:tcPr>
          <w:p>
            <w:r>
              <w:rPr>
                <w:rFonts w:hint="eastAsia" w:ascii="新宋体" w:eastAsia="新宋体"/>
                <w:szCs w:val="21"/>
              </w:rPr>
              <w:t>交付使用时间及地点</w:t>
            </w:r>
          </w:p>
        </w:tc>
        <w:tc>
          <w:tcPr>
            <w:tcW w:w="8860" w:type="dxa"/>
          </w:tcPr>
          <w:p>
            <w:r>
              <w:rPr>
                <w:rFonts w:ascii="新宋体" w:eastAsia="新宋体"/>
                <w:szCs w:val="21"/>
              </w:rPr>
              <w:t>1</w:t>
            </w:r>
            <w:r>
              <w:rPr>
                <w:rFonts w:hint="eastAsia" w:ascii="新宋体" w:eastAsia="新宋体"/>
                <w:szCs w:val="21"/>
              </w:rPr>
              <w:t>、交付使用时间：202</w:t>
            </w:r>
            <w:r>
              <w:rPr>
                <w:rFonts w:hint="eastAsia" w:ascii="新宋体" w:eastAsia="新宋体"/>
                <w:szCs w:val="21"/>
                <w:lang w:val="en-US" w:eastAsia="zh-CN"/>
              </w:rPr>
              <w:t>5</w:t>
            </w:r>
            <w:r>
              <w:rPr>
                <w:rFonts w:hint="eastAsia" w:ascii="新宋体" w:eastAsia="新宋体"/>
                <w:szCs w:val="21"/>
              </w:rPr>
              <w:t>年1</w:t>
            </w:r>
            <w:r>
              <w:rPr>
                <w:rFonts w:hint="eastAsia" w:ascii="新宋体" w:eastAsia="新宋体"/>
                <w:szCs w:val="21"/>
                <w:lang w:val="en-US" w:eastAsia="zh-CN"/>
              </w:rPr>
              <w:t>2</w:t>
            </w:r>
            <w:r>
              <w:rPr>
                <w:rFonts w:hint="eastAsia" w:ascii="新宋体" w:eastAsia="新宋体"/>
                <w:szCs w:val="21"/>
              </w:rPr>
              <w:t>月30日前必须完成本项目相关设备的安装调试并通过终验并交付使用。监狱管理区内施工时间为每日（工作日）5个小时,中标方须合理安排施工人员，确保项目按期交付使用。</w:t>
            </w:r>
            <w:r>
              <w:rPr>
                <w:rFonts w:ascii="新宋体" w:eastAsia="新宋体"/>
                <w:szCs w:val="21"/>
              </w:rPr>
              <w:t>2</w:t>
            </w:r>
            <w:r>
              <w:rPr>
                <w:rFonts w:hint="eastAsia" w:ascii="新宋体" w:eastAsia="新宋体"/>
                <w:szCs w:val="21"/>
              </w:rPr>
              <w:t>、交货地点：广西区钦州监狱（采购人指定地点）。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102" w:type="dxa"/>
          </w:tcPr>
          <w:p>
            <w:r>
              <w:rPr>
                <w:rFonts w:hint="eastAsia" w:ascii="新宋体" w:eastAsia="新宋体"/>
                <w:szCs w:val="21"/>
              </w:rPr>
              <w:t>质量保证期</w:t>
            </w:r>
          </w:p>
        </w:tc>
        <w:tc>
          <w:tcPr>
            <w:tcW w:w="8860" w:type="dxa"/>
          </w:tcPr>
          <w:p>
            <w:pPr>
              <w:spacing w:line="400" w:lineRule="exact"/>
            </w:pPr>
            <w:r>
              <w:rPr>
                <w:rFonts w:hint="eastAsia" w:ascii="新宋体" w:eastAsia="新宋体"/>
                <w:color w:val="000000"/>
                <w:szCs w:val="21"/>
              </w:rPr>
              <w:t>项目整体调试完毕验收之日起按国家产品“三包”要求提供2年免费保修：设备类提供2年硬件质保，软件类（含硬件配套软件）2年免费维护、升级。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Align w:val="center"/>
          </w:tcPr>
          <w:p>
            <w:pPr>
              <w:spacing w:line="400" w:lineRule="exact"/>
              <w:jc w:val="center"/>
              <w:rPr>
                <w:rFonts w:ascii="新宋体" w:eastAsia="新宋体"/>
                <w:szCs w:val="21"/>
              </w:rPr>
            </w:pPr>
            <w:r>
              <w:rPr>
                <w:rFonts w:hint="eastAsia" w:ascii="新宋体" w:eastAsia="新宋体"/>
                <w:szCs w:val="21"/>
              </w:rPr>
              <w:t>付款条件</w:t>
            </w:r>
          </w:p>
        </w:tc>
        <w:tc>
          <w:tcPr>
            <w:tcW w:w="8860" w:type="dxa"/>
            <w:vAlign w:val="center"/>
          </w:tcPr>
          <w:p>
            <w:pPr>
              <w:spacing w:line="400" w:lineRule="exact"/>
              <w:rPr>
                <w:rFonts w:ascii="新宋体" w:eastAsia="新宋体"/>
                <w:szCs w:val="21"/>
              </w:rPr>
            </w:pPr>
            <w:r>
              <w:rPr>
                <w:rFonts w:hint="eastAsia" w:ascii="新宋体" w:eastAsia="新宋体"/>
                <w:szCs w:val="21"/>
              </w:rPr>
              <w:t>中标单位签订合同后支付第一笔项目资金（中标价*30％）；项目主要设备到货后支付第二笔项目资金（中标价*40％）；项目通过终验完成结算审计后支付项目余款。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Align w:val="center"/>
          </w:tcPr>
          <w:p>
            <w:pPr>
              <w:spacing w:line="400" w:lineRule="exact"/>
              <w:jc w:val="center"/>
              <w:rPr>
                <w:rFonts w:ascii="新宋体" w:eastAsia="新宋体"/>
                <w:szCs w:val="21"/>
              </w:rPr>
            </w:pPr>
            <w:r>
              <w:rPr>
                <w:rFonts w:hint="eastAsia" w:ascii="新宋体" w:eastAsia="新宋体"/>
                <w:szCs w:val="21"/>
              </w:rPr>
              <w:t>履约保证金及质保金</w:t>
            </w:r>
          </w:p>
        </w:tc>
        <w:tc>
          <w:tcPr>
            <w:tcW w:w="8860" w:type="dxa"/>
            <w:vAlign w:val="center"/>
          </w:tcPr>
          <w:p>
            <w:pPr>
              <w:spacing w:line="400" w:lineRule="exact"/>
              <w:rPr>
                <w:rFonts w:ascii="新宋体" w:eastAsia="新宋体"/>
                <w:szCs w:val="21"/>
              </w:rPr>
            </w:pPr>
            <w:r>
              <w:rPr>
                <w:rFonts w:hint="eastAsia" w:ascii="新宋体" w:eastAsia="新宋体"/>
                <w:szCs w:val="21"/>
              </w:rPr>
              <w:t>中标人在招标完成5个工作日内，按中标金额的5%</w:t>
            </w:r>
            <w:r>
              <w:rPr>
                <w:rFonts w:hint="eastAsia" w:ascii="新宋体" w:eastAsia="新宋体"/>
                <w:szCs w:val="21"/>
                <w:lang w:eastAsia="zh-CN"/>
              </w:rPr>
              <w:t>，</w:t>
            </w:r>
            <w:r>
              <w:rPr>
                <w:rFonts w:hint="eastAsia" w:ascii="新宋体" w:eastAsia="新宋体"/>
                <w:szCs w:val="21"/>
              </w:rPr>
              <w:t>以转账的方式向采购人交纳合同履约保证金。项目验收合格后，合同履约保证金自动转为质保金，在质保期满且中标人在质保期内没有违约的情况，采购人凭中标人的质保金退款申请书和质保金转账凭证（复印件），在10个工作日内将质保金（质保金不计利息）退还中标人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Align w:val="center"/>
          </w:tcPr>
          <w:p>
            <w:pPr>
              <w:spacing w:line="400" w:lineRule="exact"/>
              <w:jc w:val="center"/>
              <w:rPr>
                <w:rFonts w:ascii="新宋体" w:eastAsia="新宋体"/>
                <w:szCs w:val="21"/>
              </w:rPr>
            </w:pPr>
            <w:r>
              <w:rPr>
                <w:rFonts w:hint="eastAsia" w:ascii="新宋体" w:eastAsia="新宋体"/>
                <w:szCs w:val="21"/>
              </w:rPr>
              <w:t>服务要求</w:t>
            </w:r>
          </w:p>
        </w:tc>
        <w:tc>
          <w:tcPr>
            <w:tcW w:w="8860" w:type="dxa"/>
            <w:vAlign w:val="center"/>
          </w:tcPr>
          <w:p>
            <w:pPr>
              <w:spacing w:line="400" w:lineRule="exact"/>
              <w:rPr>
                <w:rFonts w:ascii="新宋体" w:eastAsia="新宋体"/>
                <w:szCs w:val="21"/>
              </w:rPr>
            </w:pPr>
            <w:r>
              <w:rPr>
                <w:rFonts w:ascii="新宋体" w:eastAsia="新宋体"/>
                <w:szCs w:val="21"/>
              </w:rPr>
              <w:t>1</w:t>
            </w:r>
            <w:r>
              <w:rPr>
                <w:rFonts w:hint="eastAsia" w:ascii="新宋体" w:eastAsia="新宋体"/>
                <w:szCs w:val="21"/>
              </w:rPr>
              <w:t>.设备保修和服务响应：</w:t>
            </w:r>
          </w:p>
          <w:p>
            <w:pPr>
              <w:spacing w:line="400" w:lineRule="exact"/>
              <w:rPr>
                <w:rFonts w:ascii="新宋体" w:eastAsia="新宋体"/>
                <w:szCs w:val="21"/>
              </w:rPr>
            </w:pPr>
            <w:r>
              <w:rPr>
                <w:rFonts w:hint="eastAsia" w:ascii="新宋体" w:eastAsia="新宋体"/>
                <w:szCs w:val="21"/>
              </w:rPr>
              <w:t>（1）项目整体调试完毕验收之日起按国家产品“三包”要求提供2年免费保修：设备类提供2年硬件质保，软件类（含硬件配套软件）2年免费维护、升级。设备厂家承诺的质保期超过2年的，以厂家质保期为准，厂家质保期内，中标人仍需负责联系厂家进行维保。</w:t>
            </w:r>
          </w:p>
          <w:p>
            <w:pPr>
              <w:spacing w:line="400" w:lineRule="exact"/>
              <w:rPr>
                <w:rFonts w:ascii="新宋体" w:eastAsia="新宋体"/>
                <w:szCs w:val="21"/>
              </w:rPr>
            </w:pPr>
            <w:r>
              <w:rPr>
                <w:rFonts w:hint="eastAsia" w:ascii="新宋体" w:eastAsia="新宋体"/>
                <w:szCs w:val="21"/>
              </w:rPr>
              <w:t>（2）故障响应：中标人应在1小时内回应用户的要求，8小时内到达现场，1天内排除故障，设备需要返厂维修的，需在3日内提供备用件进行更换使用。</w:t>
            </w:r>
          </w:p>
          <w:p>
            <w:pPr>
              <w:spacing w:line="400" w:lineRule="exact"/>
              <w:rPr>
                <w:rFonts w:ascii="新宋体" w:eastAsia="新宋体"/>
                <w:szCs w:val="21"/>
              </w:rPr>
            </w:pPr>
            <w:r>
              <w:rPr>
                <w:rFonts w:hint="eastAsia" w:ascii="新宋体" w:eastAsia="新宋体"/>
                <w:szCs w:val="21"/>
              </w:rPr>
              <w:t>（3）投标人必须在应标文件中提供具体的售后服务方案。（明确服务响应时间、售后服务人员名单和联系方式及提供服务方案等）。</w:t>
            </w:r>
          </w:p>
          <w:p>
            <w:pPr>
              <w:spacing w:line="400" w:lineRule="exact"/>
              <w:rPr>
                <w:rFonts w:hint="eastAsia" w:ascii="新宋体" w:eastAsia="新宋体"/>
                <w:szCs w:val="21"/>
              </w:rPr>
            </w:pPr>
            <w:r>
              <w:rPr>
                <w:rFonts w:ascii="新宋体" w:eastAsia="新宋体"/>
                <w:szCs w:val="21"/>
              </w:rPr>
              <w:t>2</w:t>
            </w:r>
            <w:r>
              <w:rPr>
                <w:rFonts w:hint="eastAsia" w:ascii="新宋体" w:eastAsia="新宋体"/>
                <w:szCs w:val="21"/>
              </w:rPr>
              <w:t>.培训：项目验收前，中标方要进行系统的操作培训（中标方工程师需到甲方现场对用户进行免费现场培训），培训效果达不到采购人要求的，采购人可要求中标方进行多次培训。否则不予验收。</w:t>
            </w:r>
          </w:p>
          <w:p>
            <w:pPr>
              <w:spacing w:line="400" w:lineRule="exact"/>
              <w:rPr>
                <w:rFonts w:hint="default" w:ascii="新宋体" w:eastAsia="新宋体"/>
                <w:szCs w:val="21"/>
                <w:lang w:val="en-US" w:eastAsia="zh-CN"/>
              </w:rPr>
            </w:pPr>
            <w:r>
              <w:rPr>
                <w:rFonts w:hint="eastAsia" w:ascii="新宋体" w:eastAsia="新宋体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★</w:t>
            </w:r>
            <w:r>
              <w:rPr>
                <w:rFonts w:hint="eastAsia" w:ascii="新宋体" w:eastAsia="新宋体"/>
                <w:szCs w:val="21"/>
                <w:lang w:val="en-US" w:eastAsia="zh-CN"/>
              </w:rPr>
              <w:t>采购摄像头须实现与原有监控平台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海康威视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SPCC_智慧监所综合管控平台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  <w:t>”</w:t>
            </w:r>
            <w:r>
              <w:rPr>
                <w:rFonts w:hint="eastAsia" w:ascii="新宋体" w:eastAsia="新宋体"/>
                <w:szCs w:val="21"/>
                <w:lang w:val="en-US" w:eastAsia="zh-CN"/>
              </w:rPr>
              <w:t>的数据交互及指令响应，兼容原有平台的通信协议，确保设备接入后能正常完成视频流上传、设备状态上报、远程控制等基础功能。同时，要实现与原有平台的用户权限管理体系，可通过平台统一配置设备参数、调取录像文件等。避免采购后遇到兼容性问题导致无法实现上述功能，采购人有权要求供应商免费更换符合要求的产品或解除合同，由此产生的一切损失由供应商承担。</w:t>
            </w:r>
          </w:p>
        </w:tc>
      </w:tr>
    </w:tbl>
    <w:p>
      <w:pPr>
        <w:spacing w:line="400" w:lineRule="exact"/>
        <w:ind w:firstLine="316" w:firstLineChars="150"/>
        <w:jc w:val="left"/>
        <w:rPr>
          <w:rFonts w:ascii="宋体" w:hAnsi="宋体"/>
          <w:b/>
          <w:szCs w:val="21"/>
        </w:rPr>
      </w:pPr>
    </w:p>
    <w:p>
      <w:pPr>
        <w:rPr>
          <w:sz w:val="28"/>
          <w:szCs w:val="28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0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C91163"/>
    <w:multiLevelType w:val="multilevel"/>
    <w:tmpl w:val="1FC91163"/>
    <w:lvl w:ilvl="0" w:tentative="0">
      <w:start w:val="1"/>
      <w:numFmt w:val="decimal"/>
      <w:suff w:val="nothing"/>
      <w:lvlText w:val="%1　"/>
      <w:lvlJc w:val="left"/>
      <w:pPr>
        <w:ind w:left="142" w:firstLine="0"/>
      </w:pPr>
      <w:rPr>
        <w:rFonts w:hint="eastAsia" w:ascii="黑体" w:hAnsi="Times New Roman" w:eastAsia="黑体"/>
        <w:b w:val="0"/>
        <w:i w:val="0"/>
        <w:sz w:val="28"/>
        <w:szCs w:val="28"/>
      </w:rPr>
    </w:lvl>
    <w:lvl w:ilvl="1" w:tentative="0">
      <w:start w:val="1"/>
      <w:numFmt w:val="decimal"/>
      <w:pStyle w:val="4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vanish w:val="0"/>
        <w:spacing w:val="0"/>
        <w:kern w:val="0"/>
        <w:position w:val="0"/>
        <w:sz w:val="24"/>
        <w:szCs w:val="24"/>
        <w:u w:val="none"/>
        <w:vertAlign w:val="baseline"/>
      </w:rPr>
    </w:lvl>
    <w:lvl w:ilvl="2" w:tentative="0">
      <w:start w:val="1"/>
      <w:numFmt w:val="decimal"/>
      <w:suff w:val="nothing"/>
      <w:lvlText w:val="%1.%2.%3　"/>
      <w:lvlJc w:val="left"/>
      <w:pPr>
        <w:ind w:left="426" w:firstLine="0"/>
      </w:pPr>
      <w:rPr>
        <w:rFonts w:hint="eastAsia" w:ascii="黑体" w:hAnsi="Times New Roman" w:eastAsia="黑体"/>
        <w:b w:val="0"/>
        <w:i w:val="0"/>
        <w:sz w:val="24"/>
        <w:szCs w:val="24"/>
      </w:rPr>
    </w:lvl>
    <w:lvl w:ilvl="3" w:tentative="0">
      <w:start w:val="1"/>
      <w:numFmt w:val="decimal"/>
      <w:suff w:val="nothing"/>
      <w:lvlText w:val="%1.%2.%3.%4　"/>
      <w:lvlJc w:val="left"/>
      <w:pPr>
        <w:ind w:left="71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66E"/>
    <w:rsid w:val="00002FC3"/>
    <w:rsid w:val="00051F21"/>
    <w:rsid w:val="00084976"/>
    <w:rsid w:val="001E3A2C"/>
    <w:rsid w:val="002C34B2"/>
    <w:rsid w:val="002D6BD9"/>
    <w:rsid w:val="003673B2"/>
    <w:rsid w:val="003E08E0"/>
    <w:rsid w:val="003E65D4"/>
    <w:rsid w:val="00454800"/>
    <w:rsid w:val="00456152"/>
    <w:rsid w:val="00471711"/>
    <w:rsid w:val="004A5E8B"/>
    <w:rsid w:val="00537C79"/>
    <w:rsid w:val="005F313D"/>
    <w:rsid w:val="006D2A80"/>
    <w:rsid w:val="006D75A1"/>
    <w:rsid w:val="006D7CE9"/>
    <w:rsid w:val="006E524E"/>
    <w:rsid w:val="00727E32"/>
    <w:rsid w:val="0075266E"/>
    <w:rsid w:val="00792DF6"/>
    <w:rsid w:val="008826E1"/>
    <w:rsid w:val="008837F3"/>
    <w:rsid w:val="008B0911"/>
    <w:rsid w:val="0090604D"/>
    <w:rsid w:val="009D57DE"/>
    <w:rsid w:val="009F189B"/>
    <w:rsid w:val="00A36595"/>
    <w:rsid w:val="00A745C7"/>
    <w:rsid w:val="00B84CB4"/>
    <w:rsid w:val="00C15746"/>
    <w:rsid w:val="00C62B74"/>
    <w:rsid w:val="00D02CEC"/>
    <w:rsid w:val="00D95F53"/>
    <w:rsid w:val="00DE1356"/>
    <w:rsid w:val="00E31AAB"/>
    <w:rsid w:val="00E50FEB"/>
    <w:rsid w:val="00E64FEF"/>
    <w:rsid w:val="00EA7075"/>
    <w:rsid w:val="00EC0099"/>
    <w:rsid w:val="00F41A99"/>
    <w:rsid w:val="02EC1DAA"/>
    <w:rsid w:val="053E537B"/>
    <w:rsid w:val="07AC0640"/>
    <w:rsid w:val="0818159D"/>
    <w:rsid w:val="08D2183E"/>
    <w:rsid w:val="0BAA47EE"/>
    <w:rsid w:val="0BE60916"/>
    <w:rsid w:val="0C0519CD"/>
    <w:rsid w:val="0CD32D7E"/>
    <w:rsid w:val="0D6A1E35"/>
    <w:rsid w:val="0DE30CBC"/>
    <w:rsid w:val="0E06162D"/>
    <w:rsid w:val="108F38F1"/>
    <w:rsid w:val="15AA2838"/>
    <w:rsid w:val="16CC3151"/>
    <w:rsid w:val="19C05706"/>
    <w:rsid w:val="1B31334D"/>
    <w:rsid w:val="1D7B4E77"/>
    <w:rsid w:val="1EBD2478"/>
    <w:rsid w:val="21932975"/>
    <w:rsid w:val="2329571B"/>
    <w:rsid w:val="23711D11"/>
    <w:rsid w:val="23D330A7"/>
    <w:rsid w:val="251A667B"/>
    <w:rsid w:val="27336354"/>
    <w:rsid w:val="27E46491"/>
    <w:rsid w:val="29C864D5"/>
    <w:rsid w:val="2B387747"/>
    <w:rsid w:val="2B722699"/>
    <w:rsid w:val="2C957BCB"/>
    <w:rsid w:val="2CE04061"/>
    <w:rsid w:val="2DE43466"/>
    <w:rsid w:val="2E785B4F"/>
    <w:rsid w:val="344E0BE0"/>
    <w:rsid w:val="379B3D75"/>
    <w:rsid w:val="39392AB7"/>
    <w:rsid w:val="394044CC"/>
    <w:rsid w:val="39E652DC"/>
    <w:rsid w:val="3C762D1F"/>
    <w:rsid w:val="3D3669F3"/>
    <w:rsid w:val="3E1D011B"/>
    <w:rsid w:val="3FFF27BC"/>
    <w:rsid w:val="444718C2"/>
    <w:rsid w:val="45051FAD"/>
    <w:rsid w:val="450A3DB5"/>
    <w:rsid w:val="47F37F7B"/>
    <w:rsid w:val="48C1225D"/>
    <w:rsid w:val="49333631"/>
    <w:rsid w:val="4AA42DC5"/>
    <w:rsid w:val="4B9C1A82"/>
    <w:rsid w:val="4C0237D8"/>
    <w:rsid w:val="4C366E12"/>
    <w:rsid w:val="4C4254BE"/>
    <w:rsid w:val="4CAD518E"/>
    <w:rsid w:val="4F9510E3"/>
    <w:rsid w:val="50922CDF"/>
    <w:rsid w:val="51E43F22"/>
    <w:rsid w:val="543C27EF"/>
    <w:rsid w:val="548040D8"/>
    <w:rsid w:val="558B709F"/>
    <w:rsid w:val="58353027"/>
    <w:rsid w:val="5B5877F4"/>
    <w:rsid w:val="5DA325FE"/>
    <w:rsid w:val="5DC6121F"/>
    <w:rsid w:val="5FD94261"/>
    <w:rsid w:val="5FF318A3"/>
    <w:rsid w:val="63B01E16"/>
    <w:rsid w:val="650B4FC3"/>
    <w:rsid w:val="65CC739D"/>
    <w:rsid w:val="67D5A079"/>
    <w:rsid w:val="6E2A6155"/>
    <w:rsid w:val="6EAF0F74"/>
    <w:rsid w:val="6F483966"/>
    <w:rsid w:val="721B7844"/>
    <w:rsid w:val="72A46853"/>
    <w:rsid w:val="7379196D"/>
    <w:rsid w:val="73A93BD7"/>
    <w:rsid w:val="74C636A4"/>
    <w:rsid w:val="765C7C2C"/>
    <w:rsid w:val="77024410"/>
    <w:rsid w:val="78C40B24"/>
    <w:rsid w:val="79194ECB"/>
    <w:rsid w:val="7C847610"/>
    <w:rsid w:val="7C8D5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qFormat/>
    <w:uiPriority w:val="0"/>
    <w:pPr>
      <w:adjustRightInd w:val="0"/>
      <w:spacing w:line="360" w:lineRule="atLeast"/>
      <w:jc w:val="left"/>
      <w:textAlignment w:val="baseline"/>
    </w:pPr>
    <w:rPr>
      <w:rFonts w:ascii="Times New Roman" w:hAnsi="Times New Roman" w:eastAsia="宋体" w:cs="Times New Roman"/>
      <w:kern w:val="0"/>
      <w:sz w:val="24"/>
      <w:szCs w:val="20"/>
    </w:rPr>
  </w:style>
  <w:style w:type="paragraph" w:styleId="3">
    <w:name w:val="Body Text"/>
    <w:basedOn w:val="1"/>
    <w:next w:val="4"/>
    <w:qFormat/>
    <w:uiPriority w:val="99"/>
    <w:pPr>
      <w:spacing w:after="120" w:line="360" w:lineRule="auto"/>
      <w:ind w:firstLine="88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 w:bidi="ar-SA"/>
    </w:rPr>
  </w:style>
  <w:style w:type="paragraph" w:customStyle="1" w:styleId="4">
    <w:name w:val="一级条标题"/>
    <w:basedOn w:val="5"/>
    <w:next w:val="6"/>
    <w:qFormat/>
    <w:uiPriority w:val="0"/>
    <w:pPr>
      <w:numPr>
        <w:ilvl w:val="1"/>
        <w:numId w:val="1"/>
      </w:numPr>
      <w:spacing w:beforeLines="50" w:afterLines="50" w:line="360" w:lineRule="auto"/>
      <w:jc w:val="both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5">
    <w:name w:val="章标题"/>
    <w:next w:val="1"/>
    <w:qFormat/>
    <w:uiPriority w:val="0"/>
    <w:pPr>
      <w:spacing w:line="360" w:lineRule="auto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6">
    <w:name w:val="段"/>
    <w:next w:val="1"/>
    <w:qFormat/>
    <w:uiPriority w:val="0"/>
    <w:pPr>
      <w:autoSpaceDE w:val="0"/>
      <w:autoSpaceDN w:val="0"/>
      <w:ind w:firstLine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styleId="7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table" w:styleId="9">
    <w:name w:val="Table Grid"/>
    <w:basedOn w:val="8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annotation reference"/>
    <w:qFormat/>
    <w:uiPriority w:val="0"/>
    <w:rPr>
      <w:sz w:val="21"/>
      <w:szCs w:val="21"/>
    </w:rPr>
  </w:style>
  <w:style w:type="character" w:customStyle="1" w:styleId="12">
    <w:name w:val="批注文字 Char"/>
    <w:basedOn w:val="10"/>
    <w:link w:val="2"/>
    <w:qFormat/>
    <w:uiPriority w:val="0"/>
    <w:rPr>
      <w:rFonts w:ascii="Times New Roman" w:hAnsi="Times New Roman" w:eastAsia="宋体" w:cs="Times New Roman"/>
      <w:kern w:val="0"/>
      <w:sz w:val="24"/>
      <w:szCs w:val="20"/>
    </w:rPr>
  </w:style>
  <w:style w:type="character" w:customStyle="1" w:styleId="13">
    <w:name w:val="批注框文本 Char"/>
    <w:basedOn w:val="10"/>
    <w:link w:val="7"/>
    <w:semiHidden/>
    <w:qFormat/>
    <w:uiPriority w:val="99"/>
    <w:rPr>
      <w:sz w:val="18"/>
      <w:szCs w:val="18"/>
    </w:rPr>
  </w:style>
  <w:style w:type="character" w:customStyle="1" w:styleId="14">
    <w:name w:val="font1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5">
    <w:name w:val="font21"/>
    <w:basedOn w:val="10"/>
    <w:qFormat/>
    <w:uiPriority w:val="0"/>
    <w:rPr>
      <w:rFonts w:hint="default" w:ascii="Calibri" w:hAnsi="Calibri" w:cs="Calibri"/>
      <w:color w:val="000000"/>
      <w:sz w:val="22"/>
      <w:szCs w:val="22"/>
      <w:u w:val="none"/>
    </w:rPr>
  </w:style>
  <w:style w:type="character" w:customStyle="1" w:styleId="16">
    <w:name w:val="font01"/>
    <w:basedOn w:val="10"/>
    <w:qFormat/>
    <w:uiPriority w:val="0"/>
    <w:rPr>
      <w:rFonts w:ascii="方正书宋_GBK" w:hAnsi="方正书宋_GBK" w:eastAsia="方正书宋_GBK" w:cs="方正书宋_GBK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489</Words>
  <Characters>2792</Characters>
  <Lines>23</Lines>
  <Paragraphs>6</Paragraphs>
  <TotalTime>232</TotalTime>
  <ScaleCrop>false</ScaleCrop>
  <LinksUpToDate>false</LinksUpToDate>
  <CharactersWithSpaces>3275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2023-07-25T10:55:00Z</dcterms:created>
  <dc:creator>李古站</dc:creator>
  <cp:lastModifiedBy>gxxc</cp:lastModifiedBy>
  <cp:lastPrinted>2025-05-22T16:52:00Z</cp:lastPrinted>
  <dcterms:modified xsi:type="dcterms:W3CDTF">2025-07-28T16:14:45Z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