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7B04EF">
      <w:pPr>
        <w:pStyle w:val="2"/>
        <w:snapToGrid w:val="0"/>
        <w:spacing w:before="120" w:after="120" w:line="320" w:lineRule="exact"/>
        <w:ind w:right="-292"/>
        <w:jc w:val="center"/>
        <w:outlineLvl w:val="0"/>
        <w:rPr>
          <w:rFonts w:ascii="Arial" w:hAnsi="Arial" w:cs="Arial"/>
          <w:sz w:val="32"/>
          <w:szCs w:val="32"/>
        </w:rPr>
      </w:pPr>
      <w:r>
        <w:rPr>
          <w:rFonts w:hint="eastAsia" w:ascii="Arial" w:hAnsi="Arial" w:cs="Arial"/>
          <w:sz w:val="32"/>
          <w:szCs w:val="32"/>
        </w:rPr>
        <w:t>广西中医药研究院不间断电源（UPS）采购</w:t>
      </w:r>
      <w:r>
        <w:rPr>
          <w:rFonts w:ascii="Arial" w:hAnsi="Arial" w:cs="Arial"/>
          <w:sz w:val="32"/>
          <w:szCs w:val="32"/>
        </w:rPr>
        <w:t>项目需求</w:t>
      </w:r>
    </w:p>
    <w:tbl>
      <w:tblPr>
        <w:tblStyle w:val="3"/>
        <w:tblW w:w="94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0"/>
        <w:gridCol w:w="1423"/>
        <w:gridCol w:w="1190"/>
        <w:gridCol w:w="6181"/>
      </w:tblGrid>
      <w:tr w14:paraId="00B6D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670" w:type="dxa"/>
            <w:vAlign w:val="center"/>
          </w:tcPr>
          <w:p w14:paraId="06449BFB">
            <w:pPr>
              <w:widowControl/>
              <w:spacing w:line="240" w:lineRule="exact"/>
              <w:jc w:val="center"/>
              <w:rPr>
                <w:rFonts w:ascii="Arial" w:hAnsi="Arial" w:cs="Arial"/>
                <w:b/>
                <w:kern w:val="0"/>
                <w:szCs w:val="21"/>
              </w:rPr>
            </w:pPr>
            <w:r>
              <w:rPr>
                <w:rFonts w:ascii="Arial" w:hAnsi="Arial" w:cs="Arial"/>
                <w:b/>
                <w:kern w:val="0"/>
                <w:szCs w:val="21"/>
              </w:rPr>
              <w:t>序号</w:t>
            </w:r>
          </w:p>
        </w:tc>
        <w:tc>
          <w:tcPr>
            <w:tcW w:w="1423" w:type="dxa"/>
            <w:vAlign w:val="center"/>
          </w:tcPr>
          <w:p w14:paraId="112098D8">
            <w:pPr>
              <w:widowControl/>
              <w:spacing w:line="240" w:lineRule="exact"/>
              <w:jc w:val="center"/>
              <w:rPr>
                <w:rFonts w:ascii="Arial" w:hAnsi="Arial" w:cs="Arial"/>
                <w:b/>
                <w:kern w:val="0"/>
                <w:szCs w:val="21"/>
              </w:rPr>
            </w:pPr>
            <w:r>
              <w:rPr>
                <w:rFonts w:hint="eastAsia" w:ascii="Arial" w:hAnsi="Arial" w:cs="Arial"/>
                <w:b/>
                <w:kern w:val="0"/>
                <w:szCs w:val="21"/>
              </w:rPr>
              <w:t>设备</w:t>
            </w:r>
            <w:r>
              <w:rPr>
                <w:rFonts w:ascii="Arial" w:hAnsi="Arial" w:cs="Arial"/>
                <w:b/>
                <w:kern w:val="0"/>
                <w:szCs w:val="21"/>
              </w:rPr>
              <w:t>名称</w:t>
            </w:r>
          </w:p>
        </w:tc>
        <w:tc>
          <w:tcPr>
            <w:tcW w:w="1190" w:type="dxa"/>
            <w:vAlign w:val="center"/>
          </w:tcPr>
          <w:p w14:paraId="2A9453D6">
            <w:pPr>
              <w:widowControl/>
              <w:spacing w:line="240" w:lineRule="exact"/>
              <w:jc w:val="center"/>
              <w:rPr>
                <w:rFonts w:ascii="Arial" w:hAnsi="Arial" w:cs="Arial"/>
                <w:b/>
                <w:kern w:val="0"/>
                <w:szCs w:val="21"/>
              </w:rPr>
            </w:pPr>
            <w:r>
              <w:rPr>
                <w:rFonts w:ascii="Arial" w:hAnsi="Arial" w:cs="Arial"/>
                <w:b/>
                <w:kern w:val="0"/>
                <w:szCs w:val="21"/>
              </w:rPr>
              <w:t>数量</w:t>
            </w:r>
          </w:p>
        </w:tc>
        <w:tc>
          <w:tcPr>
            <w:tcW w:w="6181" w:type="dxa"/>
            <w:vAlign w:val="center"/>
          </w:tcPr>
          <w:p w14:paraId="17610985">
            <w:pPr>
              <w:widowControl/>
              <w:spacing w:line="240" w:lineRule="exact"/>
              <w:jc w:val="center"/>
              <w:rPr>
                <w:rFonts w:ascii="Arial" w:hAnsi="Arial" w:cs="Arial"/>
                <w:b/>
                <w:kern w:val="0"/>
                <w:szCs w:val="21"/>
              </w:rPr>
            </w:pPr>
            <w:r>
              <w:rPr>
                <w:rFonts w:ascii="Arial" w:hAnsi="Arial" w:cs="Arial"/>
                <w:b/>
                <w:kern w:val="0"/>
                <w:szCs w:val="21"/>
              </w:rPr>
              <w:t>技术参数要求</w:t>
            </w:r>
          </w:p>
        </w:tc>
      </w:tr>
      <w:tr w14:paraId="25C88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670" w:type="dxa"/>
            <w:vAlign w:val="center"/>
          </w:tcPr>
          <w:p w14:paraId="02A71819">
            <w:pPr>
              <w:spacing w:line="320" w:lineRule="exact"/>
              <w:jc w:val="center"/>
              <w:rPr>
                <w:rFonts w:ascii="宋体" w:hAnsi="宋体" w:cs="Arial"/>
                <w:szCs w:val="21"/>
              </w:rPr>
            </w:pPr>
            <w:r>
              <w:rPr>
                <w:rFonts w:hint="eastAsia" w:ascii="宋体" w:hAnsi="宋体"/>
                <w:szCs w:val="21"/>
              </w:rPr>
              <w:t>1</w:t>
            </w:r>
          </w:p>
        </w:tc>
        <w:tc>
          <w:tcPr>
            <w:tcW w:w="1423" w:type="dxa"/>
            <w:vAlign w:val="center"/>
          </w:tcPr>
          <w:p w14:paraId="5F5417FA">
            <w:pPr>
              <w:spacing w:line="320" w:lineRule="exact"/>
              <w:jc w:val="center"/>
              <w:rPr>
                <w:rFonts w:ascii="宋体" w:hAnsi="宋体" w:cs="Arial"/>
                <w:szCs w:val="21"/>
              </w:rPr>
            </w:pPr>
            <w:r>
              <w:rPr>
                <w:rFonts w:hint="eastAsia"/>
              </w:rPr>
              <w:t>不间断电源（UPS）</w:t>
            </w:r>
          </w:p>
        </w:tc>
        <w:tc>
          <w:tcPr>
            <w:tcW w:w="1190" w:type="dxa"/>
            <w:vAlign w:val="center"/>
          </w:tcPr>
          <w:p w14:paraId="3828AD32">
            <w:pPr>
              <w:spacing w:line="320" w:lineRule="exact"/>
              <w:jc w:val="center"/>
              <w:rPr>
                <w:rFonts w:hint="default" w:ascii="宋体" w:hAnsi="宋体" w:cs="Arial"/>
                <w:szCs w:val="21"/>
                <w:lang w:val="en-US"/>
              </w:rPr>
            </w:pPr>
            <w:r>
              <w:rPr>
                <w:rFonts w:hint="eastAsia" w:ascii="宋体" w:hAnsi="宋体" w:cs="Arial"/>
                <w:szCs w:val="21"/>
                <w:lang w:val="en-US" w:eastAsia="zh-CN"/>
              </w:rPr>
              <w:t>3套</w:t>
            </w:r>
          </w:p>
        </w:tc>
        <w:tc>
          <w:tcPr>
            <w:tcW w:w="6181" w:type="dxa"/>
            <w:vAlign w:val="center"/>
          </w:tcPr>
          <w:p w14:paraId="4AB349C4">
            <w:pPr>
              <w:ind w:firstLine="420" w:firstLineChars="200"/>
              <w:rPr>
                <w:rFonts w:hint="default"/>
                <w:color w:val="auto"/>
                <w:lang w:val="en-US" w:eastAsia="zh-CN"/>
              </w:rPr>
            </w:pPr>
            <w:r>
              <w:rPr>
                <w:rFonts w:hint="eastAsia"/>
                <w:color w:val="auto"/>
                <w:lang w:val="en-US" w:eastAsia="zh-CN"/>
              </w:rPr>
              <w:t>该</w:t>
            </w:r>
            <w:r>
              <w:rPr>
                <w:rFonts w:hint="eastAsia"/>
                <w:color w:val="auto"/>
              </w:rPr>
              <w:t>不间断电源（UPS）</w:t>
            </w:r>
            <w:r>
              <w:rPr>
                <w:rFonts w:hint="eastAsia"/>
                <w:color w:val="auto"/>
                <w:lang w:val="en-US" w:eastAsia="zh-CN"/>
              </w:rPr>
              <w:t>用于实验室精密设备的持续的电力支持，确保设备不会因瞬间断电而停止工作，UPS参数配置包括以下：</w:t>
            </w:r>
          </w:p>
          <w:p w14:paraId="23330703">
            <w:pPr>
              <w:rPr>
                <w:rFonts w:hint="eastAsia"/>
              </w:rPr>
            </w:pPr>
            <w:bookmarkStart w:id="1" w:name="_GoBack"/>
            <w:bookmarkEnd w:id="1"/>
          </w:p>
          <w:p w14:paraId="1343BB00">
            <w:pPr>
              <w:rPr>
                <w:rFonts w:hint="eastAsia"/>
              </w:rPr>
            </w:pPr>
            <w:r>
              <w:rPr>
                <w:rFonts w:hint="eastAsia"/>
              </w:rPr>
              <w:t>一、UPS主机：山特C10KS，数量1台</w:t>
            </w:r>
          </w:p>
          <w:p w14:paraId="1DFB716C">
            <w:pPr>
              <w:rPr>
                <w:rFonts w:hint="eastAsia"/>
              </w:rPr>
            </w:pPr>
            <w:r>
              <w:rPr>
                <w:rFonts w:hint="eastAsia"/>
              </w:rPr>
              <w:t>1、UPS设备须为高频塔式设计，采用DSP全数字化的控制技术，双转换在线式，容量≥10KVA。</w:t>
            </w:r>
          </w:p>
          <w:p w14:paraId="52E510B3">
            <w:pPr>
              <w:rPr>
                <w:rFonts w:hint="eastAsia"/>
              </w:rPr>
            </w:pPr>
            <w:r>
              <w:rPr>
                <w:rFonts w:hint="eastAsia"/>
              </w:rPr>
              <w:t>2、★采用LCD大屏液晶+LED指示灯双显示操作面板，能够同时提供图形显示和数字显示，适合使用者查看状态、数据和进行操作控制。提供厂家盖章的截图说明文件。</w:t>
            </w:r>
          </w:p>
          <w:p w14:paraId="753B311E">
            <w:pPr>
              <w:rPr>
                <w:rFonts w:hint="eastAsia"/>
              </w:rPr>
            </w:pPr>
            <w:r>
              <w:rPr>
                <w:rFonts w:hint="eastAsia"/>
              </w:rPr>
              <w:t>3、UPS具有来电自启功能:电池耗尽自动关机，并且在市电恢复后，UPS能够自动开机（即自启动）。</w:t>
            </w:r>
          </w:p>
          <w:p w14:paraId="68F54F62">
            <w:pPr>
              <w:rPr>
                <w:rFonts w:hint="eastAsia"/>
              </w:rPr>
            </w:pPr>
            <w:r>
              <w:rPr>
                <w:rFonts w:hint="eastAsia"/>
              </w:rPr>
              <w:t>4、输入电压范围：120VAC~275 VAC</w:t>
            </w:r>
          </w:p>
          <w:p w14:paraId="01AAD1DE">
            <w:pPr>
              <w:rPr>
                <w:rFonts w:hint="eastAsia"/>
              </w:rPr>
            </w:pPr>
            <w:r>
              <w:rPr>
                <w:rFonts w:hint="eastAsia"/>
              </w:rPr>
              <w:t>5、输入频率范围：40Hz-70Hz</w:t>
            </w:r>
          </w:p>
          <w:p w14:paraId="477605F9">
            <w:pPr>
              <w:rPr>
                <w:rFonts w:hint="eastAsia"/>
              </w:rPr>
            </w:pPr>
            <w:r>
              <w:rPr>
                <w:rFonts w:hint="eastAsia"/>
              </w:rPr>
              <w:t>6、输出电压：220VAC</w:t>
            </w:r>
          </w:p>
          <w:p w14:paraId="322B61AA">
            <w:pPr>
              <w:rPr>
                <w:rFonts w:hint="eastAsia"/>
              </w:rPr>
            </w:pPr>
            <w:r>
              <w:rPr>
                <w:rFonts w:hint="eastAsia"/>
              </w:rPr>
              <w:t>7、输出电压稳压精度±1％</w:t>
            </w:r>
          </w:p>
          <w:p w14:paraId="2039C652">
            <w:pPr>
              <w:rPr>
                <w:rFonts w:hint="eastAsia"/>
              </w:rPr>
            </w:pPr>
            <w:r>
              <w:rPr>
                <w:rFonts w:hint="eastAsia"/>
              </w:rPr>
              <w:t>8、输入功率因素：≧0.99</w:t>
            </w:r>
          </w:p>
          <w:p w14:paraId="54FD13EF">
            <w:pPr>
              <w:rPr>
                <w:rFonts w:hint="eastAsia"/>
              </w:rPr>
            </w:pPr>
            <w:r>
              <w:rPr>
                <w:rFonts w:hint="eastAsia"/>
              </w:rPr>
              <w:t>9、UPS具备超强的过载能力：10min @ 105%-125% 负载，30s @ 125%-150% 负载，0.5s @ &gt;150%负载。</w:t>
            </w:r>
          </w:p>
          <w:p w14:paraId="2FC539CC">
            <w:pPr>
              <w:rPr>
                <w:rFonts w:hint="eastAsia"/>
              </w:rPr>
            </w:pPr>
            <w:r>
              <w:rPr>
                <w:rFonts w:hint="eastAsia"/>
              </w:rPr>
              <w:t>10、UPS整机效率：100%负载效率≥94%；ECO模式≥98%。</w:t>
            </w:r>
          </w:p>
          <w:p w14:paraId="34E93BA3">
            <w:pPr>
              <w:rPr>
                <w:rFonts w:hint="eastAsia"/>
              </w:rPr>
            </w:pPr>
            <w:r>
              <w:rPr>
                <w:rFonts w:hint="eastAsia"/>
              </w:rPr>
              <w:t>11、★UPS标配输入开关，输入开关需采用国际一线品牌，如施耐德，ABB，伊顿。提供厂家盖章的证明文件。</w:t>
            </w:r>
          </w:p>
          <w:p w14:paraId="5BF2B601">
            <w:pPr>
              <w:rPr>
                <w:rFonts w:hint="eastAsia"/>
              </w:rPr>
            </w:pPr>
            <w:r>
              <w:rPr>
                <w:rFonts w:hint="eastAsia"/>
              </w:rPr>
              <w:t>12、UPS应标配RS232通讯接口，且具备优异的智能扩展功能，通过选配监控卡：NMC网卡（远程监控及管理）、485接口卡、USB卡、干结点卡，搭配智能卡槽，实现本地或网络监控管理，也可以兼容并接入第三方环控系统。</w:t>
            </w:r>
          </w:p>
          <w:p w14:paraId="5A6C16CF">
            <w:pPr>
              <w:rPr>
                <w:rFonts w:hint="default" w:eastAsiaTheme="minorEastAsia"/>
                <w:b/>
                <w:bCs/>
                <w:color w:val="auto"/>
                <w:lang w:val="en-US" w:eastAsia="zh-CN"/>
              </w:rPr>
            </w:pPr>
            <w:r>
              <w:rPr>
                <w:rFonts w:hint="eastAsia"/>
                <w:b/>
                <w:bCs/>
                <w:color w:val="auto"/>
              </w:rPr>
              <w:t>13、★为了保证该设备的质量</w:t>
            </w:r>
            <w:r>
              <w:rPr>
                <w:rFonts w:hint="eastAsia"/>
                <w:b/>
                <w:bCs/>
                <w:color w:val="auto"/>
                <w:lang w:val="en-US" w:eastAsia="zh-CN"/>
              </w:rPr>
              <w:t>和</w:t>
            </w:r>
            <w:r>
              <w:rPr>
                <w:rFonts w:hint="eastAsia"/>
                <w:b/>
                <w:bCs/>
                <w:color w:val="auto"/>
              </w:rPr>
              <w:t>售后</w:t>
            </w:r>
            <w:r>
              <w:rPr>
                <w:rFonts w:hint="eastAsia"/>
                <w:b/>
                <w:bCs/>
                <w:color w:val="auto"/>
                <w:lang w:val="en-US" w:eastAsia="zh-CN"/>
              </w:rPr>
              <w:t>服务</w:t>
            </w:r>
            <w:r>
              <w:rPr>
                <w:rFonts w:hint="eastAsia"/>
                <w:b/>
                <w:bCs/>
                <w:color w:val="auto"/>
              </w:rPr>
              <w:t>，供应商</w:t>
            </w:r>
            <w:r>
              <w:rPr>
                <w:rFonts w:hint="eastAsia"/>
                <w:b/>
                <w:bCs/>
                <w:color w:val="auto"/>
                <w:lang w:val="en-US" w:eastAsia="zh-CN"/>
              </w:rPr>
              <w:t>报价时需</w:t>
            </w:r>
            <w:r>
              <w:rPr>
                <w:rFonts w:hint="eastAsia"/>
                <w:b/>
                <w:bCs/>
                <w:color w:val="auto"/>
              </w:rPr>
              <w:t>提供产品生产厂家</w:t>
            </w:r>
            <w:r>
              <w:rPr>
                <w:rFonts w:hint="eastAsia"/>
                <w:b/>
                <w:bCs/>
                <w:color w:val="auto"/>
                <w:lang w:val="en-US" w:eastAsia="zh-CN"/>
              </w:rPr>
              <w:t>项目授权书及</w:t>
            </w:r>
            <w:r>
              <w:rPr>
                <w:rFonts w:hint="eastAsia"/>
                <w:b/>
                <w:bCs/>
                <w:color w:val="auto"/>
              </w:rPr>
              <w:t>售后服务承诺书</w:t>
            </w:r>
            <w:r>
              <w:rPr>
                <w:rFonts w:hint="eastAsia"/>
                <w:b/>
                <w:bCs/>
                <w:color w:val="auto"/>
                <w:lang w:val="en-US" w:eastAsia="zh-CN"/>
              </w:rPr>
              <w:t>扫描件</w:t>
            </w:r>
            <w:r>
              <w:rPr>
                <w:rFonts w:hint="eastAsia"/>
                <w:b/>
                <w:bCs/>
                <w:color w:val="auto"/>
                <w:lang w:eastAsia="zh-CN"/>
              </w:rPr>
              <w:t>（</w:t>
            </w:r>
            <w:r>
              <w:rPr>
                <w:rFonts w:hint="eastAsia"/>
                <w:b/>
                <w:bCs/>
                <w:color w:val="auto"/>
                <w:lang w:val="en-US" w:eastAsia="zh-CN"/>
              </w:rPr>
              <w:t>含</w:t>
            </w:r>
            <w:r>
              <w:rPr>
                <w:rFonts w:hint="eastAsia"/>
                <w:b/>
                <w:bCs/>
                <w:color w:val="auto"/>
              </w:rPr>
              <w:t>3年质保期限</w:t>
            </w:r>
            <w:r>
              <w:rPr>
                <w:rFonts w:hint="eastAsia"/>
                <w:b/>
                <w:bCs/>
                <w:color w:val="auto"/>
                <w:lang w:eastAsia="zh-CN"/>
              </w:rPr>
              <w:t>）</w:t>
            </w:r>
            <w:r>
              <w:rPr>
                <w:rFonts w:hint="eastAsia"/>
                <w:b/>
                <w:bCs/>
                <w:color w:val="auto"/>
                <w:lang w:val="en-US" w:eastAsia="zh-CN"/>
              </w:rPr>
              <w:t>，</w:t>
            </w:r>
            <w:r>
              <w:rPr>
                <w:rFonts w:hint="eastAsia"/>
                <w:b/>
                <w:bCs/>
                <w:color w:val="auto"/>
              </w:rPr>
              <w:t>验收时提供</w:t>
            </w:r>
            <w:r>
              <w:rPr>
                <w:rFonts w:hint="eastAsia"/>
                <w:b/>
                <w:bCs/>
                <w:color w:val="auto"/>
                <w:lang w:val="en-US" w:eastAsia="zh-CN"/>
              </w:rPr>
              <w:t>原件，</w:t>
            </w:r>
            <w:r>
              <w:rPr>
                <w:rFonts w:hint="eastAsia"/>
                <w:b/>
                <w:bCs/>
                <w:color w:val="auto"/>
              </w:rPr>
              <w:t>否则不予验收</w:t>
            </w:r>
            <w:r>
              <w:rPr>
                <w:rFonts w:hint="eastAsia"/>
                <w:b/>
                <w:bCs/>
                <w:color w:val="auto"/>
                <w:lang w:eastAsia="zh-CN"/>
              </w:rPr>
              <w:t>，</w:t>
            </w:r>
            <w:r>
              <w:rPr>
                <w:rFonts w:hint="eastAsia"/>
                <w:b/>
                <w:bCs/>
                <w:color w:val="auto"/>
              </w:rPr>
              <w:t>后果自负</w:t>
            </w:r>
            <w:r>
              <w:rPr>
                <w:rFonts w:hint="eastAsia"/>
                <w:b/>
                <w:bCs/>
                <w:color w:val="auto"/>
                <w:lang w:val="en-US" w:eastAsia="zh-CN"/>
              </w:rPr>
              <w:t>。</w:t>
            </w:r>
          </w:p>
          <w:p w14:paraId="7ACDC6F8">
            <w:pPr>
              <w:rPr>
                <w:rFonts w:hint="eastAsia"/>
              </w:rPr>
            </w:pPr>
          </w:p>
          <w:p w14:paraId="038BE7DE">
            <w:pPr>
              <w:rPr>
                <w:rFonts w:hint="eastAsia"/>
              </w:rPr>
            </w:pPr>
            <w:r>
              <w:rPr>
                <w:rFonts w:hint="eastAsia"/>
              </w:rPr>
              <w:t>二、蓄电池：山特C12-100，数量48节</w:t>
            </w:r>
          </w:p>
          <w:p w14:paraId="0B98578F">
            <w:pPr>
              <w:rPr>
                <w:rFonts w:hint="eastAsia"/>
              </w:rPr>
            </w:pPr>
            <w:r>
              <w:rPr>
                <w:rFonts w:hint="eastAsia"/>
              </w:rPr>
              <w:t>1、容量：阀控式密封免维护铅酸蓄电池，单节电池额定电压12V，额定容量：100Ah。尺寸330*173*219mm（长宽高）</w:t>
            </w:r>
          </w:p>
          <w:p w14:paraId="567B35EB">
            <w:pPr>
              <w:rPr>
                <w:rFonts w:hint="eastAsia"/>
              </w:rPr>
            </w:pPr>
            <w:r>
              <w:rPr>
                <w:rFonts w:hint="eastAsia"/>
              </w:rPr>
              <w:t>2、外观要求：无变形、漏液、裂纹及污迹；标识清晰</w:t>
            </w:r>
          </w:p>
          <w:p w14:paraId="4756FD2D">
            <w:pPr>
              <w:rPr>
                <w:rFonts w:hint="eastAsia"/>
              </w:rPr>
            </w:pPr>
            <w:r>
              <w:rPr>
                <w:rFonts w:hint="eastAsia"/>
              </w:rPr>
              <w:t>3、阻燃性能：符合YDT799-2010中6.4条的要求</w:t>
            </w:r>
          </w:p>
          <w:p w14:paraId="4BEF1EC2">
            <w:pPr>
              <w:rPr>
                <w:rFonts w:hint="eastAsia"/>
              </w:rPr>
            </w:pPr>
            <w:r>
              <w:rPr>
                <w:rFonts w:hint="eastAsia"/>
              </w:rPr>
              <w:t>4、采用符合UL94-Vo的阻燃材质电池壳体、盖体设计,使用更安心。</w:t>
            </w:r>
          </w:p>
          <w:p w14:paraId="26FF1D34">
            <w:pPr>
              <w:rPr>
                <w:rFonts w:hint="eastAsia"/>
              </w:rPr>
            </w:pPr>
            <w:r>
              <w:rPr>
                <w:rFonts w:hint="eastAsia"/>
              </w:rPr>
              <w:t>5、★蓄电池设计浮充寿命10年，25℃室温下静置28天，电池自放电率≤3.5%，提供产品彩页证明。</w:t>
            </w:r>
          </w:p>
          <w:p w14:paraId="30598817">
            <w:pPr>
              <w:rPr>
                <w:rFonts w:hint="eastAsia"/>
              </w:rPr>
            </w:pPr>
            <w:r>
              <w:rPr>
                <w:rFonts w:hint="eastAsia"/>
              </w:rPr>
              <w:t>6、★蓄电池静置28天后容量保持率≥98%，需提供泰尔检验报告证明。</w:t>
            </w:r>
          </w:p>
          <w:p w14:paraId="526F22CD">
            <w:pPr>
              <w:rPr>
                <w:rFonts w:hint="eastAsia"/>
              </w:rPr>
            </w:pPr>
            <w:r>
              <w:rPr>
                <w:rFonts w:hint="eastAsia"/>
              </w:rPr>
              <w:t>7、蓄电池的密封反应效率≥97%。</w:t>
            </w:r>
          </w:p>
          <w:p w14:paraId="3AA94C2A">
            <w:pPr>
              <w:rPr>
                <w:rFonts w:hint="eastAsia"/>
              </w:rPr>
            </w:pPr>
            <w:r>
              <w:rPr>
                <w:rFonts w:hint="eastAsia"/>
              </w:rPr>
              <w:t>8、★电池间连接电压降≤4.9，需提供泰尔检验报告证明。</w:t>
            </w:r>
          </w:p>
          <w:p w14:paraId="78687839">
            <w:pPr>
              <w:rPr>
                <w:rFonts w:hint="eastAsia"/>
              </w:rPr>
            </w:pPr>
            <w:r>
              <w:rPr>
                <w:rFonts w:hint="eastAsia"/>
              </w:rPr>
              <w:t>9、★端电压均衡性：开路状态下，最高与最低差值应≤20mV；进入浮充状态24h后端电压差≤50mV；放电状态下，端电压差≤350mV。需提供泰尔检验报告证明。</w:t>
            </w:r>
          </w:p>
          <w:p w14:paraId="63511204">
            <w:pPr>
              <w:rPr>
                <w:rFonts w:hint="eastAsia"/>
              </w:rPr>
            </w:pPr>
            <w:r>
              <w:rPr>
                <w:rFonts w:hint="eastAsia"/>
              </w:rPr>
              <w:t>10、★生产厂商应具备较强的研发能力，制造商所属研发部门/中心应具备由中国质量认证监督管理中心出具的鉴定认证资质证书，并提供相关证明文件。</w:t>
            </w:r>
          </w:p>
          <w:p w14:paraId="680BF8FA">
            <w:pPr>
              <w:rPr>
                <w:rFonts w:hint="eastAsia"/>
              </w:rPr>
            </w:pPr>
            <w:r>
              <w:rPr>
                <w:rFonts w:hint="eastAsia"/>
              </w:rPr>
              <w:t>11、投标蓄电池产品应具备泰尔认证，并提供厂家盖章的有效期内的泰尔认证证书复印件。</w:t>
            </w:r>
          </w:p>
          <w:p w14:paraId="2A8327F5">
            <w:pPr>
              <w:rPr>
                <w:rFonts w:hint="default" w:eastAsiaTheme="minorEastAsia"/>
                <w:b/>
                <w:bCs/>
                <w:color w:val="auto"/>
                <w:lang w:val="en-US" w:eastAsia="zh-CN"/>
              </w:rPr>
            </w:pPr>
            <w:r>
              <w:rPr>
                <w:rFonts w:hint="eastAsia"/>
                <w:b/>
                <w:bCs/>
                <w:color w:val="auto"/>
              </w:rPr>
              <w:t>12、★为了保证该设备的质量</w:t>
            </w:r>
            <w:r>
              <w:rPr>
                <w:rFonts w:hint="eastAsia"/>
                <w:b/>
                <w:bCs/>
                <w:color w:val="auto"/>
                <w:lang w:val="en-US" w:eastAsia="zh-CN"/>
              </w:rPr>
              <w:t>和</w:t>
            </w:r>
            <w:r>
              <w:rPr>
                <w:rFonts w:hint="eastAsia"/>
                <w:b/>
                <w:bCs/>
                <w:color w:val="auto"/>
              </w:rPr>
              <w:t>售后</w:t>
            </w:r>
            <w:r>
              <w:rPr>
                <w:rFonts w:hint="eastAsia"/>
                <w:b/>
                <w:bCs/>
                <w:color w:val="auto"/>
                <w:lang w:val="en-US" w:eastAsia="zh-CN"/>
              </w:rPr>
              <w:t>服务</w:t>
            </w:r>
            <w:r>
              <w:rPr>
                <w:rFonts w:hint="eastAsia"/>
                <w:b/>
                <w:bCs/>
                <w:color w:val="auto"/>
              </w:rPr>
              <w:t>，供应商</w:t>
            </w:r>
            <w:r>
              <w:rPr>
                <w:rFonts w:hint="eastAsia"/>
                <w:b/>
                <w:bCs/>
                <w:color w:val="auto"/>
                <w:lang w:val="en-US" w:eastAsia="zh-CN"/>
              </w:rPr>
              <w:t>报价时需</w:t>
            </w:r>
            <w:r>
              <w:rPr>
                <w:rFonts w:hint="eastAsia"/>
                <w:b/>
                <w:bCs/>
                <w:color w:val="auto"/>
              </w:rPr>
              <w:t>提供产品生产厂家</w:t>
            </w:r>
            <w:r>
              <w:rPr>
                <w:rFonts w:hint="eastAsia"/>
                <w:b/>
                <w:bCs/>
                <w:color w:val="auto"/>
                <w:lang w:val="en-US" w:eastAsia="zh-CN"/>
              </w:rPr>
              <w:t>项目授权书及</w:t>
            </w:r>
            <w:r>
              <w:rPr>
                <w:rFonts w:hint="eastAsia"/>
                <w:b/>
                <w:bCs/>
                <w:color w:val="auto"/>
              </w:rPr>
              <w:t>售后服务承诺书</w:t>
            </w:r>
            <w:r>
              <w:rPr>
                <w:rFonts w:hint="eastAsia"/>
                <w:b/>
                <w:bCs/>
                <w:color w:val="auto"/>
                <w:lang w:val="en-US" w:eastAsia="zh-CN"/>
              </w:rPr>
              <w:t>扫描件</w:t>
            </w:r>
            <w:r>
              <w:rPr>
                <w:rFonts w:hint="eastAsia"/>
                <w:b/>
                <w:bCs/>
                <w:color w:val="auto"/>
                <w:lang w:eastAsia="zh-CN"/>
              </w:rPr>
              <w:t>（</w:t>
            </w:r>
            <w:r>
              <w:rPr>
                <w:rFonts w:hint="eastAsia"/>
                <w:b/>
                <w:bCs/>
                <w:color w:val="auto"/>
                <w:lang w:val="en-US" w:eastAsia="zh-CN"/>
              </w:rPr>
              <w:t>含</w:t>
            </w:r>
            <w:r>
              <w:rPr>
                <w:rFonts w:hint="eastAsia"/>
                <w:b/>
                <w:bCs/>
                <w:color w:val="auto"/>
              </w:rPr>
              <w:t>3年质保期限</w:t>
            </w:r>
            <w:r>
              <w:rPr>
                <w:rFonts w:hint="eastAsia"/>
                <w:b/>
                <w:bCs/>
                <w:color w:val="auto"/>
                <w:lang w:eastAsia="zh-CN"/>
              </w:rPr>
              <w:t>）</w:t>
            </w:r>
            <w:r>
              <w:rPr>
                <w:rFonts w:hint="eastAsia"/>
                <w:b/>
                <w:bCs/>
                <w:color w:val="auto"/>
                <w:lang w:val="en-US" w:eastAsia="zh-CN"/>
              </w:rPr>
              <w:t>，</w:t>
            </w:r>
            <w:r>
              <w:rPr>
                <w:rFonts w:hint="eastAsia"/>
                <w:b/>
                <w:bCs/>
                <w:color w:val="auto"/>
              </w:rPr>
              <w:t>验收时提供</w:t>
            </w:r>
            <w:r>
              <w:rPr>
                <w:rFonts w:hint="eastAsia"/>
                <w:b/>
                <w:bCs/>
                <w:color w:val="auto"/>
                <w:lang w:val="en-US" w:eastAsia="zh-CN"/>
              </w:rPr>
              <w:t>原件，</w:t>
            </w:r>
            <w:r>
              <w:rPr>
                <w:rFonts w:hint="eastAsia"/>
                <w:b/>
                <w:bCs/>
                <w:color w:val="auto"/>
              </w:rPr>
              <w:t>否则不予验收</w:t>
            </w:r>
            <w:r>
              <w:rPr>
                <w:rFonts w:hint="eastAsia"/>
                <w:b/>
                <w:bCs/>
                <w:color w:val="auto"/>
                <w:lang w:eastAsia="zh-CN"/>
              </w:rPr>
              <w:t>，</w:t>
            </w:r>
            <w:r>
              <w:rPr>
                <w:rFonts w:hint="eastAsia"/>
                <w:b/>
                <w:bCs/>
                <w:color w:val="auto"/>
              </w:rPr>
              <w:t>后果自负</w:t>
            </w:r>
            <w:r>
              <w:rPr>
                <w:rFonts w:hint="eastAsia"/>
                <w:b/>
                <w:bCs/>
                <w:color w:val="auto"/>
                <w:lang w:val="en-US" w:eastAsia="zh-CN"/>
              </w:rPr>
              <w:t>。</w:t>
            </w:r>
          </w:p>
          <w:p w14:paraId="150F3313">
            <w:pPr>
              <w:rPr>
                <w:rFonts w:hint="eastAsia"/>
              </w:rPr>
            </w:pPr>
          </w:p>
          <w:p w14:paraId="41D2EFB7">
            <w:pPr>
              <w:rPr>
                <w:rFonts w:hint="eastAsia" w:eastAsia="宋体"/>
                <w:lang w:eastAsia="zh-CN"/>
              </w:rPr>
            </w:pPr>
            <w:r>
              <w:rPr>
                <w:rFonts w:hint="eastAsia"/>
              </w:rPr>
              <w:t>三、电池柜：山特SBC-A16，数量3</w:t>
            </w:r>
            <w:r>
              <w:rPr>
                <w:rFonts w:hint="eastAsia"/>
                <w:color w:val="auto"/>
                <w:lang w:val="en-US" w:eastAsia="zh-CN"/>
              </w:rPr>
              <w:t>个</w:t>
            </w:r>
          </w:p>
          <w:p w14:paraId="5555FA3D">
            <w:pPr>
              <w:rPr>
                <w:rFonts w:hint="eastAsia"/>
              </w:rPr>
            </w:pPr>
            <w:r>
              <w:rPr>
                <w:rFonts w:hint="eastAsia"/>
              </w:rPr>
              <w:t xml:space="preserve">   可装置16节100AH 电池柜</w:t>
            </w:r>
          </w:p>
          <w:p w14:paraId="3C127076">
            <w:pPr>
              <w:rPr>
                <w:rFonts w:hint="eastAsia"/>
              </w:rPr>
            </w:pPr>
          </w:p>
          <w:p w14:paraId="1B693FB1">
            <w:r>
              <w:rPr>
                <w:rFonts w:hint="eastAsia"/>
              </w:rPr>
              <w:t>四、含现场安装设备、调试开机</w:t>
            </w:r>
          </w:p>
          <w:p w14:paraId="5C64A89A">
            <w:pPr>
              <w:widowControl/>
              <w:rPr>
                <w:rFonts w:ascii="宋体" w:hAnsi="宋体"/>
                <w:kern w:val="0"/>
                <w:szCs w:val="21"/>
              </w:rPr>
            </w:pPr>
          </w:p>
        </w:tc>
      </w:tr>
      <w:tr w14:paraId="5A485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9464" w:type="dxa"/>
            <w:gridSpan w:val="4"/>
            <w:tcBorders>
              <w:top w:val="single" w:color="auto" w:sz="4" w:space="0"/>
              <w:left w:val="single" w:color="auto" w:sz="4" w:space="0"/>
              <w:bottom w:val="single" w:color="auto" w:sz="4" w:space="0"/>
              <w:right w:val="single" w:color="auto" w:sz="4" w:space="0"/>
            </w:tcBorders>
            <w:shd w:val="clear" w:color="auto" w:fill="D9D9D9"/>
            <w:vAlign w:val="center"/>
          </w:tcPr>
          <w:p w14:paraId="4F5DBDD4">
            <w:pPr>
              <w:widowControl/>
              <w:spacing w:line="240" w:lineRule="exact"/>
              <w:jc w:val="left"/>
              <w:rPr>
                <w:rFonts w:ascii="Arial" w:hAnsi="Arial" w:cs="Arial"/>
                <w:szCs w:val="21"/>
              </w:rPr>
            </w:pPr>
            <w:r>
              <w:rPr>
                <w:rFonts w:ascii="Arial" w:hAnsi="Arial" w:cs="Arial"/>
                <w:b/>
                <w:kern w:val="0"/>
                <w:szCs w:val="21"/>
                <w:shd w:val="pct10" w:color="auto" w:fill="FFFFFF"/>
              </w:rPr>
              <w:t>商务要求</w:t>
            </w:r>
          </w:p>
        </w:tc>
      </w:tr>
      <w:tr w14:paraId="53C19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14:paraId="24215567">
            <w:pPr>
              <w:jc w:val="center"/>
              <w:rPr>
                <w:rFonts w:ascii="Arial" w:hAnsi="Arial" w:cs="Arial"/>
                <w:szCs w:val="21"/>
              </w:rPr>
            </w:pPr>
            <w:r>
              <w:rPr>
                <w:rFonts w:ascii="Arial" w:hAnsi="Arial" w:cs="Arial"/>
                <w:szCs w:val="21"/>
              </w:rPr>
              <w:t>序号</w:t>
            </w:r>
          </w:p>
        </w:tc>
        <w:tc>
          <w:tcPr>
            <w:tcW w:w="2613" w:type="dxa"/>
            <w:gridSpan w:val="2"/>
            <w:tcBorders>
              <w:top w:val="single" w:color="auto" w:sz="4" w:space="0"/>
              <w:left w:val="single" w:color="auto" w:sz="4" w:space="0"/>
              <w:bottom w:val="single" w:color="auto" w:sz="4" w:space="0"/>
              <w:right w:val="single" w:color="auto" w:sz="4" w:space="0"/>
            </w:tcBorders>
            <w:vAlign w:val="center"/>
          </w:tcPr>
          <w:p w14:paraId="2DD611D5">
            <w:pPr>
              <w:jc w:val="center"/>
              <w:rPr>
                <w:rFonts w:ascii="Arial" w:hAnsi="Arial" w:cs="Arial"/>
                <w:szCs w:val="21"/>
              </w:rPr>
            </w:pPr>
            <w:r>
              <w:rPr>
                <w:rFonts w:ascii="Arial" w:hAnsi="Arial" w:cs="Arial"/>
                <w:kern w:val="0"/>
                <w:szCs w:val="21"/>
              </w:rPr>
              <w:t>商务条款</w:t>
            </w:r>
          </w:p>
        </w:tc>
        <w:tc>
          <w:tcPr>
            <w:tcW w:w="6181" w:type="dxa"/>
            <w:tcBorders>
              <w:top w:val="single" w:color="auto" w:sz="4" w:space="0"/>
              <w:left w:val="single" w:color="auto" w:sz="4" w:space="0"/>
              <w:bottom w:val="single" w:color="auto" w:sz="4" w:space="0"/>
              <w:right w:val="single" w:color="auto" w:sz="4" w:space="0"/>
            </w:tcBorders>
            <w:vAlign w:val="center"/>
          </w:tcPr>
          <w:p w14:paraId="0876E1D0">
            <w:pPr>
              <w:spacing w:line="300" w:lineRule="exact"/>
              <w:jc w:val="center"/>
              <w:rPr>
                <w:rFonts w:ascii="Arial" w:hAnsi="Arial" w:cs="Arial"/>
                <w:szCs w:val="21"/>
              </w:rPr>
            </w:pPr>
            <w:r>
              <w:rPr>
                <w:rFonts w:ascii="Arial" w:hAnsi="Arial" w:cs="Arial"/>
                <w:kern w:val="0"/>
                <w:szCs w:val="21"/>
              </w:rPr>
              <w:t>商务</w:t>
            </w:r>
            <w:r>
              <w:rPr>
                <w:rFonts w:ascii="Arial" w:hAnsi="Arial" w:cs="Arial"/>
                <w:szCs w:val="21"/>
              </w:rPr>
              <w:t>要求</w:t>
            </w:r>
          </w:p>
        </w:tc>
      </w:tr>
      <w:tr w14:paraId="77F01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14:paraId="45977CCA">
            <w:pPr>
              <w:jc w:val="center"/>
              <w:rPr>
                <w:rFonts w:ascii="Arial" w:hAnsi="Arial" w:cs="Arial"/>
                <w:szCs w:val="21"/>
              </w:rPr>
            </w:pPr>
            <w:r>
              <w:rPr>
                <w:rFonts w:ascii="Arial" w:hAnsi="Arial" w:cs="Arial"/>
                <w:szCs w:val="21"/>
              </w:rPr>
              <w:t>1</w:t>
            </w:r>
          </w:p>
        </w:tc>
        <w:tc>
          <w:tcPr>
            <w:tcW w:w="2613" w:type="dxa"/>
            <w:gridSpan w:val="2"/>
            <w:tcBorders>
              <w:top w:val="single" w:color="auto" w:sz="4" w:space="0"/>
              <w:left w:val="single" w:color="auto" w:sz="4" w:space="0"/>
              <w:bottom w:val="single" w:color="auto" w:sz="4" w:space="0"/>
              <w:right w:val="single" w:color="auto" w:sz="4" w:space="0"/>
            </w:tcBorders>
            <w:vAlign w:val="center"/>
          </w:tcPr>
          <w:p w14:paraId="5F9B1A49">
            <w:pPr>
              <w:spacing w:line="360" w:lineRule="exact"/>
              <w:jc w:val="center"/>
              <w:rPr>
                <w:rFonts w:ascii="Arial" w:hAnsi="Arial" w:cs="Arial"/>
                <w:szCs w:val="21"/>
              </w:rPr>
            </w:pPr>
            <w:r>
              <w:rPr>
                <w:rFonts w:ascii="Arial" w:hAnsi="Arial" w:cs="Arial"/>
                <w:szCs w:val="21"/>
              </w:rPr>
              <w:t>报价要求</w:t>
            </w:r>
          </w:p>
        </w:tc>
        <w:tc>
          <w:tcPr>
            <w:tcW w:w="6181" w:type="dxa"/>
            <w:tcBorders>
              <w:top w:val="single" w:color="auto" w:sz="4" w:space="0"/>
              <w:left w:val="single" w:color="auto" w:sz="4" w:space="0"/>
              <w:bottom w:val="single" w:color="auto" w:sz="4" w:space="0"/>
              <w:right w:val="single" w:color="auto" w:sz="4" w:space="0"/>
            </w:tcBorders>
            <w:vAlign w:val="center"/>
          </w:tcPr>
          <w:p w14:paraId="5C4C589B">
            <w:pPr>
              <w:spacing w:line="360" w:lineRule="exact"/>
              <w:rPr>
                <w:rFonts w:ascii="Arial" w:hAnsi="Arial" w:cs="Arial"/>
                <w:szCs w:val="21"/>
              </w:rPr>
            </w:pPr>
            <w:r>
              <w:rPr>
                <w:rFonts w:ascii="Arial" w:hAnsi="Arial" w:cs="Arial"/>
                <w:szCs w:val="21"/>
              </w:rPr>
              <w:t>本次报价须为人民币报价，</w:t>
            </w:r>
            <w:r>
              <w:rPr>
                <w:rFonts w:ascii="Arial" w:hAnsi="Arial" w:cs="Arial"/>
                <w:kern w:val="0"/>
                <w:szCs w:val="21"/>
              </w:rPr>
              <w:t>包含：产品价、运输费（含装卸费）、保险费、安装调试费、税费、培训费、产品检测费、产品质保期内维护等费用。</w:t>
            </w:r>
            <w:r>
              <w:rPr>
                <w:rFonts w:ascii="Arial" w:hAnsi="Arial" w:cs="Arial"/>
                <w:szCs w:val="21"/>
              </w:rPr>
              <w:t>对于本文件中明确列明必须报价的货物或服务，供应商应分别报价。对于本文件中未列明，而供应商认为必需的费用也需列入总报价。在合同实施时，采购人将不予支付成交供应商没有列入的项目费用，并认为此项目的费用已包括在响应总报价中。</w:t>
            </w:r>
          </w:p>
        </w:tc>
      </w:tr>
      <w:tr w14:paraId="20FC0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14:paraId="5095CDE3">
            <w:pPr>
              <w:jc w:val="center"/>
              <w:rPr>
                <w:rFonts w:ascii="Arial" w:hAnsi="Arial" w:cs="Arial"/>
                <w:szCs w:val="21"/>
              </w:rPr>
            </w:pPr>
            <w:r>
              <w:rPr>
                <w:rFonts w:ascii="Arial" w:hAnsi="Arial" w:cs="Arial"/>
                <w:szCs w:val="21"/>
              </w:rPr>
              <w:t>2</w:t>
            </w:r>
          </w:p>
        </w:tc>
        <w:tc>
          <w:tcPr>
            <w:tcW w:w="2613" w:type="dxa"/>
            <w:gridSpan w:val="2"/>
            <w:tcBorders>
              <w:top w:val="single" w:color="auto" w:sz="4" w:space="0"/>
              <w:left w:val="single" w:color="auto" w:sz="4" w:space="0"/>
              <w:bottom w:val="single" w:color="auto" w:sz="4" w:space="0"/>
              <w:right w:val="single" w:color="auto" w:sz="4" w:space="0"/>
            </w:tcBorders>
            <w:vAlign w:val="center"/>
          </w:tcPr>
          <w:p w14:paraId="1E0865FE">
            <w:pPr>
              <w:spacing w:line="360" w:lineRule="exact"/>
              <w:jc w:val="center"/>
              <w:rPr>
                <w:rFonts w:ascii="Arial" w:hAnsi="Arial" w:cs="Arial"/>
                <w:szCs w:val="21"/>
              </w:rPr>
            </w:pPr>
            <w:r>
              <w:rPr>
                <w:rFonts w:ascii="Arial" w:hAnsi="Arial" w:cs="Arial"/>
                <w:szCs w:val="21"/>
              </w:rPr>
              <w:t>质量保证</w:t>
            </w:r>
          </w:p>
        </w:tc>
        <w:tc>
          <w:tcPr>
            <w:tcW w:w="6181" w:type="dxa"/>
            <w:tcBorders>
              <w:top w:val="single" w:color="auto" w:sz="4" w:space="0"/>
              <w:left w:val="single" w:color="auto" w:sz="4" w:space="0"/>
              <w:bottom w:val="single" w:color="auto" w:sz="4" w:space="0"/>
              <w:right w:val="single" w:color="auto" w:sz="4" w:space="0"/>
            </w:tcBorders>
            <w:vAlign w:val="center"/>
          </w:tcPr>
          <w:p w14:paraId="433D83A9">
            <w:pPr>
              <w:spacing w:line="300" w:lineRule="exact"/>
              <w:jc w:val="left"/>
              <w:rPr>
                <w:rFonts w:ascii="Arial" w:hAnsi="Arial" w:cs="Arial"/>
                <w:szCs w:val="21"/>
              </w:rPr>
            </w:pPr>
            <w:r>
              <w:rPr>
                <w:rFonts w:ascii="Arial" w:hAnsi="Arial" w:cs="Arial"/>
                <w:szCs w:val="21"/>
              </w:rPr>
              <w:t>1．</w:t>
            </w:r>
            <w:r>
              <w:rPr>
                <w:rFonts w:hint="eastAsia" w:ascii="Arial" w:hAnsi="Arial" w:cs="Arial"/>
                <w:szCs w:val="21"/>
              </w:rPr>
              <w:t>供应商应明确承诺：技术参数要求表中如无特别要求，则质保期为自验收合格之日起</w:t>
            </w:r>
            <w:r>
              <w:rPr>
                <w:rFonts w:hint="eastAsia" w:ascii="宋体" w:hAnsi="宋体"/>
                <w:szCs w:val="21"/>
              </w:rPr>
              <w:t>≥1</w:t>
            </w:r>
            <w:r>
              <w:rPr>
                <w:rFonts w:hint="eastAsia" w:ascii="Arial" w:hAnsi="Arial" w:cs="Arial"/>
                <w:szCs w:val="21"/>
              </w:rPr>
              <w:t>年，技术参数要求表中有特别要求的则以技术参数要求表为准。</w:t>
            </w:r>
          </w:p>
          <w:p w14:paraId="29F0C1B0">
            <w:pPr>
              <w:spacing w:line="300" w:lineRule="exact"/>
              <w:jc w:val="left"/>
              <w:rPr>
                <w:rFonts w:ascii="Arial" w:hAnsi="Arial" w:cs="Arial"/>
                <w:szCs w:val="21"/>
              </w:rPr>
            </w:pPr>
            <w:r>
              <w:rPr>
                <w:rFonts w:hint="eastAsia" w:ascii="Arial" w:hAnsi="Arial" w:cs="Arial"/>
                <w:szCs w:val="21"/>
              </w:rPr>
              <w:t>2．属于国家规定“三包”范围的，其质量保证期不得低于“三包”规定。</w:t>
            </w:r>
          </w:p>
          <w:p w14:paraId="144347DE">
            <w:pPr>
              <w:spacing w:line="300" w:lineRule="exact"/>
              <w:jc w:val="left"/>
              <w:rPr>
                <w:rFonts w:ascii="Arial" w:hAnsi="Arial" w:cs="Arial"/>
                <w:szCs w:val="21"/>
              </w:rPr>
            </w:pPr>
            <w:r>
              <w:rPr>
                <w:rFonts w:hint="eastAsia" w:ascii="Arial" w:hAnsi="Arial" w:cs="Arial"/>
                <w:szCs w:val="21"/>
              </w:rPr>
              <w:t>3．质量保证期承诺优于国家“三包”规定的，或优于谈判文件规定的，按成交供应商实际承诺执行。</w:t>
            </w:r>
          </w:p>
          <w:p w14:paraId="7428DBB3">
            <w:pPr>
              <w:spacing w:line="300" w:lineRule="exact"/>
              <w:jc w:val="left"/>
              <w:rPr>
                <w:rFonts w:ascii="Arial" w:hAnsi="Arial" w:cs="Arial"/>
                <w:szCs w:val="21"/>
              </w:rPr>
            </w:pPr>
            <w:r>
              <w:rPr>
                <w:rFonts w:hint="eastAsia" w:ascii="Arial" w:hAnsi="Arial" w:cs="Arial"/>
                <w:szCs w:val="21"/>
              </w:rPr>
              <w:t>3. 成交供应商售后服务中，维修使用的备品备件及易损件应为原厂配件，未经采购人同意不得使用非原厂配件，常用的、容易损坏的备品备件及易损件的价格清单须在响应文件中列出。</w:t>
            </w:r>
          </w:p>
          <w:p w14:paraId="5E8149E0">
            <w:pPr>
              <w:spacing w:line="360" w:lineRule="exact"/>
              <w:rPr>
                <w:rFonts w:ascii="Arial" w:hAnsi="Arial" w:cs="Arial"/>
                <w:szCs w:val="21"/>
              </w:rPr>
            </w:pPr>
            <w:r>
              <w:rPr>
                <w:rFonts w:hint="eastAsia" w:ascii="Arial" w:hAnsi="Arial" w:cs="Arial"/>
                <w:szCs w:val="21"/>
              </w:rPr>
              <w:t>4．合同产品或服务由制造商（指产品生产制造商或服务实际提供人）负责质保期内的售后服务的，应当在响应文件中予以明确说明，制造商提供的售后服务也应达到谈判文件要求的标准，相关的售后服务费用由供应商向制造商支付，供应商可视情况在响应报价中予以考虑，采购人不予另行支付。</w:t>
            </w:r>
          </w:p>
        </w:tc>
      </w:tr>
      <w:tr w14:paraId="41D00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14:paraId="00968D7A">
            <w:pPr>
              <w:jc w:val="center"/>
              <w:rPr>
                <w:rFonts w:ascii="Arial" w:hAnsi="Arial" w:cs="Arial"/>
                <w:szCs w:val="21"/>
              </w:rPr>
            </w:pPr>
            <w:r>
              <w:rPr>
                <w:rFonts w:ascii="Arial" w:hAnsi="Arial" w:cs="Arial"/>
                <w:szCs w:val="21"/>
              </w:rPr>
              <w:t>3</w:t>
            </w:r>
          </w:p>
        </w:tc>
        <w:tc>
          <w:tcPr>
            <w:tcW w:w="2613" w:type="dxa"/>
            <w:gridSpan w:val="2"/>
            <w:tcBorders>
              <w:top w:val="single" w:color="auto" w:sz="4" w:space="0"/>
              <w:left w:val="single" w:color="auto" w:sz="4" w:space="0"/>
              <w:bottom w:val="single" w:color="auto" w:sz="4" w:space="0"/>
              <w:right w:val="single" w:color="auto" w:sz="4" w:space="0"/>
            </w:tcBorders>
            <w:vAlign w:val="center"/>
          </w:tcPr>
          <w:p w14:paraId="2ABE40A3">
            <w:pPr>
              <w:spacing w:line="360" w:lineRule="exact"/>
              <w:jc w:val="center"/>
              <w:rPr>
                <w:rFonts w:ascii="Arial" w:hAnsi="Arial" w:cs="Arial"/>
                <w:szCs w:val="21"/>
              </w:rPr>
            </w:pPr>
            <w:r>
              <w:rPr>
                <w:rFonts w:ascii="Arial" w:hAnsi="Arial" w:cs="Arial"/>
                <w:szCs w:val="21"/>
              </w:rPr>
              <w:t>合同签订日期</w:t>
            </w:r>
          </w:p>
        </w:tc>
        <w:tc>
          <w:tcPr>
            <w:tcW w:w="6181" w:type="dxa"/>
            <w:tcBorders>
              <w:top w:val="single" w:color="auto" w:sz="4" w:space="0"/>
              <w:left w:val="single" w:color="auto" w:sz="4" w:space="0"/>
              <w:bottom w:val="single" w:color="auto" w:sz="4" w:space="0"/>
              <w:right w:val="single" w:color="auto" w:sz="4" w:space="0"/>
            </w:tcBorders>
            <w:vAlign w:val="center"/>
          </w:tcPr>
          <w:p w14:paraId="5FC27359">
            <w:pPr>
              <w:spacing w:line="300" w:lineRule="exact"/>
              <w:rPr>
                <w:rFonts w:ascii="Arial" w:hAnsi="Arial" w:cs="Arial"/>
                <w:szCs w:val="21"/>
              </w:rPr>
            </w:pPr>
            <w:r>
              <w:rPr>
                <w:rFonts w:ascii="Arial" w:hAnsi="Arial" w:cs="Arial"/>
                <w:szCs w:val="21"/>
              </w:rPr>
              <w:t>成交通知书发出后</w:t>
            </w:r>
            <w:r>
              <w:rPr>
                <w:rFonts w:hint="eastAsia" w:ascii="Arial" w:hAnsi="Arial" w:cs="Arial"/>
                <w:kern w:val="0"/>
                <w:szCs w:val="21"/>
                <w:lang w:val="en-US" w:eastAsia="zh-CN"/>
              </w:rPr>
              <w:t>25</w:t>
            </w:r>
            <w:r>
              <w:rPr>
                <w:rFonts w:ascii="Arial" w:hAnsi="Arial" w:cs="Arial"/>
                <w:szCs w:val="21"/>
              </w:rPr>
              <w:t>日内。</w:t>
            </w:r>
          </w:p>
        </w:tc>
      </w:tr>
      <w:tr w14:paraId="132DD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14:paraId="641A5FCE">
            <w:pPr>
              <w:jc w:val="center"/>
              <w:rPr>
                <w:rFonts w:ascii="Arial" w:hAnsi="Arial" w:cs="Arial"/>
                <w:szCs w:val="21"/>
              </w:rPr>
            </w:pPr>
            <w:r>
              <w:rPr>
                <w:rFonts w:ascii="Arial" w:hAnsi="Arial" w:cs="Arial"/>
                <w:szCs w:val="21"/>
              </w:rPr>
              <w:t>4</w:t>
            </w:r>
          </w:p>
        </w:tc>
        <w:tc>
          <w:tcPr>
            <w:tcW w:w="2613" w:type="dxa"/>
            <w:gridSpan w:val="2"/>
            <w:tcBorders>
              <w:top w:val="single" w:color="auto" w:sz="4" w:space="0"/>
              <w:left w:val="single" w:color="auto" w:sz="4" w:space="0"/>
              <w:bottom w:val="single" w:color="auto" w:sz="4" w:space="0"/>
              <w:right w:val="single" w:color="auto" w:sz="4" w:space="0"/>
            </w:tcBorders>
            <w:vAlign w:val="center"/>
          </w:tcPr>
          <w:p w14:paraId="62DA57B2">
            <w:pPr>
              <w:spacing w:line="360" w:lineRule="exact"/>
              <w:jc w:val="center"/>
              <w:rPr>
                <w:rFonts w:ascii="Arial" w:hAnsi="Arial" w:cs="Arial"/>
                <w:szCs w:val="21"/>
              </w:rPr>
            </w:pPr>
            <w:r>
              <w:rPr>
                <w:rFonts w:ascii="Arial" w:hAnsi="Arial" w:cs="Arial"/>
                <w:szCs w:val="21"/>
              </w:rPr>
              <w:t>交货（实施）时间</w:t>
            </w:r>
          </w:p>
        </w:tc>
        <w:tc>
          <w:tcPr>
            <w:tcW w:w="6181" w:type="dxa"/>
            <w:tcBorders>
              <w:top w:val="single" w:color="auto" w:sz="4" w:space="0"/>
              <w:left w:val="single" w:color="auto" w:sz="4" w:space="0"/>
              <w:bottom w:val="single" w:color="auto" w:sz="4" w:space="0"/>
              <w:right w:val="single" w:color="auto" w:sz="4" w:space="0"/>
            </w:tcBorders>
            <w:vAlign w:val="center"/>
          </w:tcPr>
          <w:p w14:paraId="6D633D26">
            <w:pPr>
              <w:spacing w:line="300" w:lineRule="exact"/>
              <w:rPr>
                <w:rFonts w:ascii="Arial" w:hAnsi="Arial" w:cs="Arial"/>
                <w:kern w:val="0"/>
                <w:szCs w:val="21"/>
              </w:rPr>
            </w:pPr>
            <w:r>
              <w:rPr>
                <w:rFonts w:ascii="Arial" w:hAnsi="Arial" w:cs="Arial"/>
                <w:kern w:val="0"/>
                <w:szCs w:val="21"/>
              </w:rPr>
              <w:t>自签订合同之日起</w:t>
            </w:r>
            <w:r>
              <w:rPr>
                <w:rFonts w:hint="eastAsia" w:ascii="Arial" w:hAnsi="Arial" w:cs="Arial"/>
                <w:kern w:val="0"/>
                <w:szCs w:val="21"/>
              </w:rPr>
              <w:t>30日历日</w:t>
            </w:r>
            <w:r>
              <w:rPr>
                <w:rFonts w:ascii="Arial" w:hAnsi="Arial" w:cs="Arial"/>
                <w:kern w:val="0"/>
                <w:szCs w:val="21"/>
              </w:rPr>
              <w:t>内全部货物交货完毕并完成安装调试。</w:t>
            </w:r>
          </w:p>
        </w:tc>
      </w:tr>
      <w:tr w14:paraId="0948E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14:paraId="6023B9E3">
            <w:pPr>
              <w:jc w:val="center"/>
              <w:rPr>
                <w:rFonts w:ascii="Arial" w:hAnsi="Arial" w:cs="Arial"/>
                <w:szCs w:val="21"/>
              </w:rPr>
            </w:pPr>
            <w:r>
              <w:rPr>
                <w:rFonts w:ascii="Arial" w:hAnsi="Arial" w:cs="Arial"/>
                <w:szCs w:val="21"/>
              </w:rPr>
              <w:t>5</w:t>
            </w:r>
          </w:p>
        </w:tc>
        <w:tc>
          <w:tcPr>
            <w:tcW w:w="2613" w:type="dxa"/>
            <w:gridSpan w:val="2"/>
            <w:tcBorders>
              <w:top w:val="single" w:color="auto" w:sz="4" w:space="0"/>
              <w:left w:val="single" w:color="auto" w:sz="4" w:space="0"/>
              <w:bottom w:val="single" w:color="auto" w:sz="4" w:space="0"/>
              <w:right w:val="single" w:color="auto" w:sz="4" w:space="0"/>
            </w:tcBorders>
            <w:vAlign w:val="center"/>
          </w:tcPr>
          <w:p w14:paraId="559F25CF">
            <w:pPr>
              <w:spacing w:line="360" w:lineRule="exact"/>
              <w:jc w:val="center"/>
              <w:rPr>
                <w:rFonts w:ascii="Arial" w:hAnsi="Arial" w:cs="Arial"/>
                <w:szCs w:val="21"/>
              </w:rPr>
            </w:pPr>
            <w:r>
              <w:rPr>
                <w:rFonts w:ascii="Arial" w:hAnsi="Arial" w:cs="Arial"/>
                <w:szCs w:val="21"/>
              </w:rPr>
              <w:t>交货地点或服务</w:t>
            </w:r>
          </w:p>
          <w:p w14:paraId="557A6910">
            <w:pPr>
              <w:spacing w:line="360" w:lineRule="exact"/>
              <w:jc w:val="center"/>
              <w:rPr>
                <w:rFonts w:ascii="Arial" w:hAnsi="Arial" w:cs="Arial"/>
                <w:szCs w:val="21"/>
              </w:rPr>
            </w:pPr>
            <w:r>
              <w:rPr>
                <w:rFonts w:ascii="Arial" w:hAnsi="Arial" w:cs="Arial"/>
                <w:szCs w:val="21"/>
              </w:rPr>
              <w:t>地点</w:t>
            </w:r>
          </w:p>
        </w:tc>
        <w:tc>
          <w:tcPr>
            <w:tcW w:w="6181" w:type="dxa"/>
            <w:tcBorders>
              <w:top w:val="single" w:color="auto" w:sz="4" w:space="0"/>
              <w:left w:val="single" w:color="auto" w:sz="4" w:space="0"/>
              <w:bottom w:val="single" w:color="auto" w:sz="4" w:space="0"/>
              <w:right w:val="single" w:color="auto" w:sz="4" w:space="0"/>
            </w:tcBorders>
            <w:vAlign w:val="center"/>
          </w:tcPr>
          <w:p w14:paraId="541D761C">
            <w:pPr>
              <w:spacing w:line="300" w:lineRule="exact"/>
              <w:rPr>
                <w:rFonts w:ascii="Arial" w:hAnsi="Arial" w:cs="Arial"/>
                <w:kern w:val="0"/>
                <w:szCs w:val="21"/>
              </w:rPr>
            </w:pPr>
            <w:r>
              <w:rPr>
                <w:rFonts w:ascii="Arial" w:hAnsi="Arial" w:cs="Arial"/>
                <w:kern w:val="0"/>
                <w:szCs w:val="21"/>
              </w:rPr>
              <w:t>南宁市</w:t>
            </w:r>
            <w:r>
              <w:rPr>
                <w:rFonts w:hint="eastAsia" w:ascii="Arial" w:hAnsi="Arial" w:cs="Arial"/>
                <w:kern w:val="0"/>
                <w:szCs w:val="21"/>
                <w:lang w:val="en-US" w:eastAsia="zh-CN"/>
              </w:rPr>
              <w:t>东葛路20-1号广西中医药研究院</w:t>
            </w:r>
            <w:r>
              <w:rPr>
                <w:rFonts w:ascii="Arial" w:hAnsi="Arial" w:cs="Arial"/>
                <w:kern w:val="0"/>
                <w:szCs w:val="21"/>
              </w:rPr>
              <w:t>指定地点。</w:t>
            </w:r>
          </w:p>
        </w:tc>
      </w:tr>
      <w:tr w14:paraId="473DF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14:paraId="4DE73F85">
            <w:pPr>
              <w:jc w:val="center"/>
              <w:rPr>
                <w:szCs w:val="21"/>
              </w:rPr>
            </w:pPr>
            <w:r>
              <w:rPr>
                <w:rFonts w:hint="eastAsia"/>
                <w:szCs w:val="21"/>
              </w:rPr>
              <w:t>6</w:t>
            </w:r>
          </w:p>
        </w:tc>
        <w:tc>
          <w:tcPr>
            <w:tcW w:w="2613" w:type="dxa"/>
            <w:gridSpan w:val="2"/>
            <w:tcBorders>
              <w:top w:val="single" w:color="auto" w:sz="4" w:space="0"/>
              <w:left w:val="single" w:color="auto" w:sz="4" w:space="0"/>
              <w:bottom w:val="single" w:color="auto" w:sz="4" w:space="0"/>
              <w:right w:val="single" w:color="auto" w:sz="4" w:space="0"/>
            </w:tcBorders>
            <w:vAlign w:val="center"/>
          </w:tcPr>
          <w:p w14:paraId="3B7CAA1B">
            <w:pPr>
              <w:spacing w:line="360" w:lineRule="exact"/>
              <w:jc w:val="center"/>
              <w:rPr>
                <w:szCs w:val="21"/>
              </w:rPr>
            </w:pPr>
            <w:r>
              <w:rPr>
                <w:szCs w:val="21"/>
              </w:rPr>
              <w:t>验收标准</w:t>
            </w:r>
          </w:p>
        </w:tc>
        <w:tc>
          <w:tcPr>
            <w:tcW w:w="6181" w:type="dxa"/>
            <w:tcBorders>
              <w:top w:val="single" w:color="auto" w:sz="4" w:space="0"/>
              <w:left w:val="single" w:color="auto" w:sz="4" w:space="0"/>
              <w:bottom w:val="single" w:color="auto" w:sz="4" w:space="0"/>
              <w:right w:val="single" w:color="auto" w:sz="4" w:space="0"/>
            </w:tcBorders>
            <w:vAlign w:val="center"/>
          </w:tcPr>
          <w:p w14:paraId="3896B104">
            <w:pPr>
              <w:spacing w:line="300" w:lineRule="exact"/>
              <w:jc w:val="left"/>
              <w:rPr>
                <w:rFonts w:ascii="Arial" w:hAnsi="Arial" w:cs="Arial"/>
                <w:kern w:val="0"/>
                <w:szCs w:val="21"/>
              </w:rPr>
            </w:pPr>
            <w:r>
              <w:rPr>
                <w:rFonts w:ascii="Arial" w:hAnsi="Arial" w:cs="Arial"/>
                <w:kern w:val="0"/>
                <w:szCs w:val="21"/>
              </w:rPr>
              <w:t>1．检查供货范围或服务范围</w:t>
            </w:r>
          </w:p>
          <w:p w14:paraId="0811ACD1">
            <w:pPr>
              <w:spacing w:line="300" w:lineRule="exact"/>
              <w:jc w:val="left"/>
              <w:rPr>
                <w:rFonts w:ascii="Arial" w:hAnsi="Arial" w:cs="Arial"/>
                <w:kern w:val="0"/>
                <w:szCs w:val="21"/>
              </w:rPr>
            </w:pPr>
            <w:r>
              <w:rPr>
                <w:rFonts w:ascii="Arial" w:hAnsi="Arial" w:cs="Arial"/>
                <w:kern w:val="0"/>
                <w:szCs w:val="21"/>
              </w:rPr>
              <w:sym w:font="Wingdings 2" w:char="F052"/>
            </w:r>
            <w:r>
              <w:rPr>
                <w:rFonts w:ascii="Arial" w:hAnsi="Arial" w:cs="Arial"/>
                <w:kern w:val="0"/>
                <w:szCs w:val="21"/>
              </w:rPr>
              <w:t>货物类：产品到达现场后，成交供应商应在采购人单位人员在场情况下当面开箱，共同清点、检查外观，作出开箱记录，双方签字确认。成交供应商应保证货物到达采购人所在地完好无损，如有缺漏、损坏，由成交供应商负责调换、补齐或赔偿。</w:t>
            </w:r>
          </w:p>
          <w:p w14:paraId="291F708B">
            <w:pPr>
              <w:spacing w:line="300" w:lineRule="exact"/>
              <w:jc w:val="left"/>
              <w:rPr>
                <w:rFonts w:ascii="Arial" w:hAnsi="Arial" w:cs="Arial"/>
                <w:kern w:val="0"/>
                <w:szCs w:val="21"/>
              </w:rPr>
            </w:pPr>
            <w:r>
              <w:rPr>
                <w:szCs w:val="21"/>
              </w:rPr>
              <w:sym w:font="Wingdings 2" w:char="F0A3"/>
            </w:r>
            <w:r>
              <w:rPr>
                <w:rFonts w:ascii="Arial" w:hAnsi="Arial" w:cs="Arial"/>
                <w:kern w:val="0"/>
                <w:szCs w:val="21"/>
              </w:rPr>
              <w:t>服务类：根据谈判文件检查服务内容是否满足要求。</w:t>
            </w:r>
          </w:p>
          <w:p w14:paraId="362D5B30">
            <w:pPr>
              <w:spacing w:line="300" w:lineRule="exact"/>
              <w:jc w:val="left"/>
              <w:rPr>
                <w:rFonts w:ascii="Arial" w:hAnsi="Arial" w:cs="Arial"/>
                <w:kern w:val="0"/>
                <w:szCs w:val="21"/>
              </w:rPr>
            </w:pPr>
            <w:r>
              <w:rPr>
                <w:rFonts w:ascii="Arial" w:hAnsi="Arial" w:cs="Arial"/>
                <w:kern w:val="0"/>
                <w:szCs w:val="21"/>
              </w:rPr>
              <w:t>2．成交供应商应提供完备的技术或服务资料、装箱单和合格证等，并派遣专业人员进行现场安装调试。验收合格条件如下：</w:t>
            </w:r>
          </w:p>
          <w:p w14:paraId="0510205A">
            <w:pPr>
              <w:spacing w:line="300" w:lineRule="exact"/>
              <w:jc w:val="left"/>
              <w:rPr>
                <w:rFonts w:ascii="Arial" w:hAnsi="Arial" w:cs="Arial"/>
                <w:kern w:val="0"/>
                <w:szCs w:val="21"/>
              </w:rPr>
            </w:pPr>
            <w:r>
              <w:rPr>
                <w:rFonts w:ascii="Arial" w:hAnsi="Arial" w:cs="Arial"/>
                <w:kern w:val="0"/>
                <w:szCs w:val="21"/>
              </w:rPr>
              <w:t>2.1货物或服务技术参数与</w:t>
            </w:r>
            <w:r>
              <w:rPr>
                <w:rFonts w:hint="eastAsia" w:ascii="Arial" w:hAnsi="Arial" w:cs="Arial"/>
                <w:kern w:val="0"/>
                <w:szCs w:val="21"/>
              </w:rPr>
              <w:t>响应文件中响应表或证明材料</w:t>
            </w:r>
            <w:r>
              <w:rPr>
                <w:rFonts w:ascii="Arial" w:hAnsi="Arial" w:cs="Arial"/>
                <w:kern w:val="0"/>
                <w:szCs w:val="21"/>
              </w:rPr>
              <w:t>一致，性能或指标达到规定的标准。</w:t>
            </w:r>
            <w:r>
              <w:rPr>
                <w:rFonts w:hint="eastAsia" w:ascii="Arial" w:hAnsi="Arial" w:cs="Arial"/>
                <w:kern w:val="0"/>
                <w:szCs w:val="21"/>
              </w:rPr>
              <w:t>否则，以实际货物或服务技术参数与响应文件响应表参数或证明材料比较，按如下情况处理：</w:t>
            </w:r>
          </w:p>
          <w:p w14:paraId="56B5BCFD">
            <w:pPr>
              <w:spacing w:line="300" w:lineRule="exact"/>
              <w:jc w:val="left"/>
              <w:rPr>
                <w:rFonts w:ascii="Arial" w:hAnsi="Arial" w:cs="Arial"/>
                <w:kern w:val="0"/>
                <w:szCs w:val="21"/>
              </w:rPr>
            </w:pPr>
            <w:r>
              <w:rPr>
                <w:rFonts w:hint="eastAsia" w:ascii="Arial" w:hAnsi="Arial" w:cs="Arial"/>
                <w:kern w:val="0"/>
                <w:szCs w:val="21"/>
              </w:rPr>
              <w:t>（1）供应商响应文件响应表或证明材料中满足或优于的技术参数，在验收时实际不满足技术参数要求的，视为供货商违约，采购人有权终止合同拒收货物，并追究供应商责任，同时报财政部门备案。</w:t>
            </w:r>
          </w:p>
          <w:p w14:paraId="15201AC4">
            <w:pPr>
              <w:spacing w:line="300" w:lineRule="exact"/>
              <w:jc w:val="left"/>
              <w:rPr>
                <w:rFonts w:ascii="Arial" w:hAnsi="Arial" w:cs="Arial"/>
                <w:kern w:val="0"/>
                <w:szCs w:val="21"/>
              </w:rPr>
            </w:pPr>
            <w:r>
              <w:rPr>
                <w:rFonts w:hint="eastAsia" w:ascii="Arial" w:hAnsi="Arial" w:cs="Arial"/>
                <w:kern w:val="0"/>
                <w:szCs w:val="21"/>
              </w:rPr>
              <w:t>（2）供应商响应文件响应表或证明材料中优于的技术参数，在验收时实际仅满足并未优于技术参数要求的，视为供货商违约，采购人有权终止合同拒收货物，并追究供应商责任，同时报财政部门备案。</w:t>
            </w:r>
          </w:p>
          <w:p w14:paraId="0BAF976A">
            <w:pPr>
              <w:spacing w:line="300" w:lineRule="exact"/>
              <w:jc w:val="left"/>
              <w:rPr>
                <w:rFonts w:ascii="Arial" w:hAnsi="Arial" w:cs="Arial"/>
                <w:kern w:val="0"/>
                <w:szCs w:val="21"/>
              </w:rPr>
            </w:pPr>
            <w:r>
              <w:rPr>
                <w:rFonts w:hint="eastAsia" w:ascii="Arial" w:hAnsi="Arial" w:cs="Arial"/>
                <w:kern w:val="0"/>
                <w:szCs w:val="21"/>
              </w:rPr>
              <w:t xml:space="preserve">（3）供应商响应文件响应表或证明材料中不满足的技术参数，在验收时实际满足技术参数的要求，以满足技术参数的要求验收。 </w:t>
            </w:r>
          </w:p>
          <w:p w14:paraId="6A50788D">
            <w:pPr>
              <w:spacing w:line="300" w:lineRule="exact"/>
              <w:jc w:val="left"/>
              <w:rPr>
                <w:rFonts w:ascii="Arial" w:hAnsi="Arial" w:cs="Arial"/>
                <w:kern w:val="0"/>
                <w:szCs w:val="21"/>
              </w:rPr>
            </w:pPr>
            <w:r>
              <w:rPr>
                <w:rFonts w:hint="eastAsia" w:ascii="Arial" w:hAnsi="Arial" w:cs="Arial"/>
                <w:kern w:val="0"/>
                <w:szCs w:val="21"/>
              </w:rPr>
              <w:t>（</w:t>
            </w:r>
            <w:r>
              <w:rPr>
                <w:rFonts w:ascii="Arial" w:hAnsi="Arial" w:cs="Arial"/>
                <w:kern w:val="0"/>
                <w:szCs w:val="21"/>
              </w:rPr>
              <w:t>4</w:t>
            </w:r>
            <w:r>
              <w:rPr>
                <w:rFonts w:hint="eastAsia" w:ascii="Arial" w:hAnsi="Arial" w:cs="Arial"/>
                <w:kern w:val="0"/>
                <w:szCs w:val="21"/>
              </w:rPr>
              <w:t>）供应商响应文件响应表或证明材料中满足的技术参数，在验收时实际优于技术参数的要求，以满足技术参数的要求验收。</w:t>
            </w:r>
          </w:p>
          <w:p w14:paraId="2C2D9829">
            <w:pPr>
              <w:spacing w:line="300" w:lineRule="exact"/>
              <w:jc w:val="left"/>
              <w:rPr>
                <w:rFonts w:ascii="Arial" w:hAnsi="Arial" w:cs="Arial"/>
                <w:kern w:val="0"/>
                <w:szCs w:val="21"/>
              </w:rPr>
            </w:pPr>
            <w:r>
              <w:rPr>
                <w:rFonts w:hint="eastAsia" w:ascii="Arial" w:hAnsi="Arial" w:cs="Arial"/>
                <w:kern w:val="0"/>
                <w:szCs w:val="21"/>
              </w:rPr>
              <w:t>（5）供应商响应文件响应表或证明材料中优于的技术参数，在验收时实际也优于技术参数的要求；但没有达到响应表或证明材料中优于的程度，采购人将不予以验收通过。</w:t>
            </w:r>
          </w:p>
          <w:p w14:paraId="6C3315B0">
            <w:pPr>
              <w:spacing w:line="300" w:lineRule="exact"/>
              <w:jc w:val="left"/>
              <w:rPr>
                <w:rFonts w:ascii="Arial" w:hAnsi="Arial" w:cs="Arial"/>
                <w:kern w:val="0"/>
                <w:szCs w:val="21"/>
              </w:rPr>
            </w:pPr>
            <w:r>
              <w:rPr>
                <w:rFonts w:hint="eastAsia" w:ascii="Arial" w:hAnsi="Arial" w:cs="Arial"/>
                <w:kern w:val="0"/>
                <w:szCs w:val="21"/>
              </w:rPr>
              <w:t>（</w:t>
            </w:r>
            <w:r>
              <w:rPr>
                <w:rFonts w:ascii="Arial" w:hAnsi="Arial" w:cs="Arial"/>
                <w:kern w:val="0"/>
                <w:szCs w:val="21"/>
              </w:rPr>
              <w:t>6</w:t>
            </w:r>
            <w:r>
              <w:rPr>
                <w:rFonts w:hint="eastAsia" w:ascii="Arial" w:hAnsi="Arial" w:cs="Arial"/>
                <w:kern w:val="0"/>
                <w:szCs w:val="21"/>
              </w:rPr>
              <w:t>）实际货物与响应货物型号不一致的，验收时不论实际是优于还是满足技术参数的要求，采购人均有权终止合同拒收货物。如影响货物或服务的使用、质量、档次及采购人需求的，还可视为供货商违约，追究供应商责任，同时报财政部门备案。</w:t>
            </w:r>
          </w:p>
          <w:p w14:paraId="7ED3F4FF">
            <w:pPr>
              <w:spacing w:line="300" w:lineRule="exact"/>
              <w:jc w:val="left"/>
              <w:rPr>
                <w:rFonts w:ascii="Arial" w:hAnsi="Arial" w:cs="Arial"/>
                <w:kern w:val="0"/>
                <w:szCs w:val="21"/>
              </w:rPr>
            </w:pPr>
            <w:r>
              <w:rPr>
                <w:rFonts w:ascii="Arial" w:hAnsi="Arial" w:cs="Arial"/>
                <w:kern w:val="0"/>
                <w:szCs w:val="21"/>
              </w:rPr>
              <w:t>2.2技术或资料、装箱单、合格证等资料齐全。</w:t>
            </w:r>
          </w:p>
          <w:p w14:paraId="246AE8C7">
            <w:pPr>
              <w:spacing w:line="300" w:lineRule="exact"/>
              <w:jc w:val="left"/>
              <w:rPr>
                <w:rFonts w:ascii="Arial" w:hAnsi="Arial" w:cs="Arial"/>
                <w:kern w:val="0"/>
                <w:szCs w:val="21"/>
              </w:rPr>
            </w:pPr>
            <w:r>
              <w:rPr>
                <w:rFonts w:ascii="Arial" w:hAnsi="Arial" w:cs="Arial"/>
                <w:kern w:val="0"/>
                <w:szCs w:val="21"/>
              </w:rPr>
              <w:t>2.3在测试或试运行期间所出现的问题得到解决，并运行或工作正常。</w:t>
            </w:r>
          </w:p>
          <w:p w14:paraId="3470E3CC">
            <w:pPr>
              <w:spacing w:line="300" w:lineRule="exact"/>
              <w:jc w:val="left"/>
              <w:rPr>
                <w:rFonts w:ascii="Arial" w:hAnsi="Arial" w:cs="Arial"/>
                <w:kern w:val="0"/>
                <w:szCs w:val="21"/>
              </w:rPr>
            </w:pPr>
            <w:r>
              <w:rPr>
                <w:rFonts w:ascii="Arial" w:hAnsi="Arial" w:cs="Arial"/>
                <w:kern w:val="0"/>
                <w:szCs w:val="21"/>
              </w:rPr>
              <w:t>2.4在规定时间内完成交货及验收，并经采购人确认。</w:t>
            </w:r>
          </w:p>
          <w:p w14:paraId="69DFEA37">
            <w:pPr>
              <w:spacing w:line="300" w:lineRule="exact"/>
              <w:jc w:val="left"/>
              <w:rPr>
                <w:rFonts w:ascii="Arial" w:hAnsi="Arial" w:cs="Arial"/>
                <w:kern w:val="0"/>
                <w:szCs w:val="21"/>
              </w:rPr>
            </w:pPr>
            <w:r>
              <w:rPr>
                <w:rFonts w:ascii="Arial" w:hAnsi="Arial" w:cs="Arial"/>
                <w:kern w:val="0"/>
                <w:szCs w:val="21"/>
              </w:rPr>
              <w:t>3．产品或服务在安装调试并试运行符合要求后，才作为最终验收。</w:t>
            </w:r>
          </w:p>
          <w:p w14:paraId="4E292967">
            <w:pPr>
              <w:spacing w:line="300" w:lineRule="exact"/>
              <w:jc w:val="left"/>
              <w:rPr>
                <w:rFonts w:ascii="Arial" w:hAnsi="Arial" w:cs="Arial"/>
                <w:kern w:val="0"/>
                <w:szCs w:val="21"/>
              </w:rPr>
            </w:pPr>
            <w:r>
              <w:rPr>
                <w:rFonts w:ascii="Arial" w:hAnsi="Arial" w:cs="Arial"/>
                <w:kern w:val="0"/>
                <w:szCs w:val="21"/>
              </w:rPr>
              <w:t>4．成交供应商提供的货物或服务未达到谈判文件规定要求，且对采购人造成损失的，由成交供应商承担一切责任，并赔偿所造成的损失。</w:t>
            </w:r>
          </w:p>
          <w:p w14:paraId="1C264410">
            <w:pPr>
              <w:spacing w:line="300" w:lineRule="exact"/>
              <w:jc w:val="left"/>
              <w:rPr>
                <w:rFonts w:ascii="Arial" w:hAnsi="Arial" w:cs="Arial"/>
                <w:kern w:val="0"/>
                <w:szCs w:val="21"/>
              </w:rPr>
            </w:pPr>
            <w:r>
              <w:rPr>
                <w:rFonts w:ascii="Arial" w:hAnsi="Arial" w:cs="Arial"/>
                <w:kern w:val="0"/>
                <w:szCs w:val="21"/>
              </w:rPr>
              <w:t>5．采购人需要制造商对成交供应商交付的产品或服务（包括质量、参数等）进行确认的，制造商应予以配合并出具书面意见，相关配合事项由</w:t>
            </w:r>
            <w:r>
              <w:rPr>
                <w:rFonts w:hint="eastAsia" w:ascii="Arial" w:hAnsi="Arial" w:cs="Arial"/>
                <w:kern w:val="0"/>
                <w:szCs w:val="21"/>
              </w:rPr>
              <w:t>成交</w:t>
            </w:r>
            <w:r>
              <w:rPr>
                <w:rFonts w:ascii="Arial" w:hAnsi="Arial" w:cs="Arial"/>
                <w:kern w:val="0"/>
                <w:szCs w:val="21"/>
              </w:rPr>
              <w:t>供应商与制造商协调。</w:t>
            </w:r>
          </w:p>
          <w:p w14:paraId="030DE605">
            <w:pPr>
              <w:spacing w:line="300" w:lineRule="exact"/>
              <w:jc w:val="left"/>
              <w:rPr>
                <w:szCs w:val="21"/>
              </w:rPr>
            </w:pPr>
            <w:r>
              <w:rPr>
                <w:rFonts w:ascii="Arial" w:hAnsi="Arial" w:cs="Arial"/>
                <w:kern w:val="0"/>
                <w:szCs w:val="21"/>
              </w:rPr>
              <w:t>6．产品包装材料归采购人所有。</w:t>
            </w:r>
          </w:p>
        </w:tc>
      </w:tr>
      <w:tr w14:paraId="67886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14:paraId="2F34DDE6">
            <w:pPr>
              <w:jc w:val="center"/>
              <w:rPr>
                <w:szCs w:val="21"/>
              </w:rPr>
            </w:pPr>
            <w:r>
              <w:rPr>
                <w:rFonts w:hint="eastAsia"/>
                <w:szCs w:val="21"/>
              </w:rPr>
              <w:t>7</w:t>
            </w:r>
          </w:p>
        </w:tc>
        <w:tc>
          <w:tcPr>
            <w:tcW w:w="2613" w:type="dxa"/>
            <w:gridSpan w:val="2"/>
            <w:tcBorders>
              <w:top w:val="single" w:color="auto" w:sz="4" w:space="0"/>
              <w:left w:val="single" w:color="auto" w:sz="4" w:space="0"/>
              <w:bottom w:val="single" w:color="auto" w:sz="4" w:space="0"/>
              <w:right w:val="single" w:color="auto" w:sz="4" w:space="0"/>
            </w:tcBorders>
            <w:vAlign w:val="center"/>
          </w:tcPr>
          <w:p w14:paraId="1A3187F7">
            <w:pPr>
              <w:jc w:val="center"/>
              <w:rPr>
                <w:kern w:val="0"/>
                <w:szCs w:val="21"/>
                <w:shd w:val="pct10" w:color="auto" w:fill="FFFFFF"/>
              </w:rPr>
            </w:pPr>
            <w:r>
              <w:rPr>
                <w:szCs w:val="21"/>
              </w:rPr>
              <w:t>服务标准、期限、效率</w:t>
            </w:r>
          </w:p>
        </w:tc>
        <w:tc>
          <w:tcPr>
            <w:tcW w:w="6181" w:type="dxa"/>
            <w:tcBorders>
              <w:top w:val="single" w:color="auto" w:sz="4" w:space="0"/>
              <w:left w:val="single" w:color="auto" w:sz="4" w:space="0"/>
              <w:bottom w:val="single" w:color="auto" w:sz="4" w:space="0"/>
              <w:right w:val="single" w:color="auto" w:sz="4" w:space="0"/>
            </w:tcBorders>
            <w:vAlign w:val="center"/>
          </w:tcPr>
          <w:p w14:paraId="7939C62D">
            <w:pPr>
              <w:spacing w:line="300" w:lineRule="exact"/>
              <w:jc w:val="left"/>
              <w:rPr>
                <w:rFonts w:ascii="Arial" w:hAnsi="Arial" w:cs="Arial"/>
                <w:kern w:val="0"/>
                <w:szCs w:val="21"/>
              </w:rPr>
            </w:pPr>
            <w:r>
              <w:rPr>
                <w:rFonts w:ascii="Arial" w:hAnsi="Arial" w:cs="Arial"/>
                <w:kern w:val="0"/>
                <w:szCs w:val="21"/>
              </w:rPr>
              <w:t>1．成交供应商在质量保证期内应当为采购人提供以下技术支持和服务：</w:t>
            </w:r>
          </w:p>
          <w:p w14:paraId="38749613">
            <w:pPr>
              <w:spacing w:line="300" w:lineRule="exact"/>
              <w:jc w:val="left"/>
              <w:rPr>
                <w:rFonts w:ascii="Arial" w:hAnsi="Arial" w:cs="Arial"/>
                <w:kern w:val="0"/>
                <w:szCs w:val="21"/>
              </w:rPr>
            </w:pPr>
            <w:r>
              <w:rPr>
                <w:rFonts w:ascii="Arial" w:hAnsi="Arial" w:cs="Arial"/>
                <w:kern w:val="0"/>
                <w:szCs w:val="21"/>
              </w:rPr>
              <w:t>1.1电话咨询</w:t>
            </w:r>
          </w:p>
          <w:p w14:paraId="6BAE15C4">
            <w:pPr>
              <w:spacing w:line="300" w:lineRule="exact"/>
              <w:jc w:val="left"/>
              <w:rPr>
                <w:rFonts w:ascii="Arial" w:hAnsi="Arial" w:cs="Arial"/>
                <w:kern w:val="0"/>
                <w:szCs w:val="21"/>
              </w:rPr>
            </w:pPr>
            <w:r>
              <w:rPr>
                <w:rFonts w:ascii="Arial" w:hAnsi="Arial" w:cs="Arial"/>
                <w:kern w:val="0"/>
                <w:szCs w:val="21"/>
              </w:rPr>
              <w:t>成交供应商应当为采购人提供技术援助电话，解答采购人在使用中遇到的问题，及时为采购人提出解决问题的建议。</w:t>
            </w:r>
          </w:p>
          <w:p w14:paraId="1085E941">
            <w:pPr>
              <w:spacing w:line="300" w:lineRule="exact"/>
              <w:jc w:val="left"/>
              <w:rPr>
                <w:rFonts w:ascii="Arial" w:hAnsi="Arial" w:cs="Arial"/>
                <w:kern w:val="0"/>
                <w:szCs w:val="21"/>
              </w:rPr>
            </w:pPr>
            <w:r>
              <w:rPr>
                <w:rFonts w:ascii="Arial" w:hAnsi="Arial" w:cs="Arial"/>
                <w:kern w:val="0"/>
                <w:szCs w:val="21"/>
              </w:rPr>
              <w:t>1.2现场响应</w:t>
            </w:r>
          </w:p>
          <w:p w14:paraId="7C522F90">
            <w:pPr>
              <w:spacing w:line="300" w:lineRule="exact"/>
              <w:jc w:val="left"/>
              <w:rPr>
                <w:rFonts w:ascii="Arial" w:hAnsi="Arial" w:cs="Arial"/>
                <w:kern w:val="0"/>
                <w:szCs w:val="21"/>
              </w:rPr>
            </w:pPr>
            <w:r>
              <w:rPr>
                <w:rFonts w:ascii="Arial" w:hAnsi="Arial" w:cs="Arial"/>
                <w:kern w:val="0"/>
                <w:szCs w:val="21"/>
              </w:rPr>
              <w:t>采购人遇到使用或技术问题，电话咨询不能解决的，</w:t>
            </w:r>
            <w:r>
              <w:rPr>
                <w:rFonts w:hint="eastAsia" w:ascii="Arial" w:hAnsi="Arial" w:cs="Arial"/>
                <w:kern w:val="0"/>
                <w:szCs w:val="21"/>
              </w:rPr>
              <w:t>成交供应商</w:t>
            </w:r>
            <w:r>
              <w:rPr>
                <w:rFonts w:ascii="Arial" w:hAnsi="Arial" w:cs="Arial"/>
                <w:kern w:val="0"/>
                <w:szCs w:val="21"/>
              </w:rPr>
              <w:t>应在</w:t>
            </w:r>
            <w:r>
              <w:rPr>
                <w:rFonts w:hint="eastAsia" w:ascii="Arial" w:hAnsi="Arial" w:cs="Arial"/>
                <w:kern w:val="0"/>
                <w:szCs w:val="21"/>
              </w:rPr>
              <w:t>8</w:t>
            </w:r>
            <w:r>
              <w:rPr>
                <w:rFonts w:ascii="Arial" w:hAnsi="Arial" w:cs="Arial"/>
                <w:kern w:val="0"/>
                <w:szCs w:val="21"/>
              </w:rPr>
              <w:t>小时内到达现场进行处理，到达现场后</w:t>
            </w:r>
            <w:r>
              <w:rPr>
                <w:rFonts w:hint="eastAsia" w:ascii="Arial" w:hAnsi="Arial" w:cs="Arial"/>
                <w:kern w:val="0"/>
                <w:szCs w:val="21"/>
              </w:rPr>
              <w:t>24</w:t>
            </w:r>
            <w:r>
              <w:rPr>
                <w:rFonts w:ascii="Arial" w:hAnsi="Arial" w:cs="Arial"/>
                <w:kern w:val="0"/>
                <w:szCs w:val="21"/>
              </w:rPr>
              <w:t>小时内排除故障，恢复正常使用。</w:t>
            </w:r>
          </w:p>
          <w:p w14:paraId="77F7960E">
            <w:pPr>
              <w:spacing w:line="300" w:lineRule="exact"/>
              <w:jc w:val="left"/>
              <w:rPr>
                <w:rFonts w:ascii="Arial" w:hAnsi="Arial" w:cs="Arial"/>
                <w:kern w:val="0"/>
                <w:szCs w:val="21"/>
              </w:rPr>
            </w:pPr>
            <w:r>
              <w:rPr>
                <w:rFonts w:ascii="Arial" w:hAnsi="Arial" w:cs="Arial"/>
                <w:kern w:val="0"/>
                <w:szCs w:val="21"/>
              </w:rPr>
              <w:t>1.3技术升级</w:t>
            </w:r>
          </w:p>
          <w:p w14:paraId="704482E8">
            <w:pPr>
              <w:spacing w:line="300" w:lineRule="exact"/>
              <w:jc w:val="left"/>
              <w:rPr>
                <w:rFonts w:ascii="Arial" w:hAnsi="Arial" w:cs="Arial"/>
                <w:kern w:val="0"/>
                <w:szCs w:val="21"/>
              </w:rPr>
            </w:pPr>
            <w:r>
              <w:rPr>
                <w:rFonts w:ascii="Arial" w:hAnsi="Arial" w:cs="Arial"/>
                <w:kern w:val="0"/>
                <w:szCs w:val="21"/>
              </w:rPr>
              <w:t>在质保期内，如果</w:t>
            </w:r>
            <w:r>
              <w:rPr>
                <w:rFonts w:hint="eastAsia" w:ascii="Arial" w:hAnsi="Arial" w:cs="Arial"/>
                <w:kern w:val="0"/>
                <w:szCs w:val="21"/>
              </w:rPr>
              <w:t>成交供应商</w:t>
            </w:r>
            <w:r>
              <w:rPr>
                <w:rFonts w:ascii="Arial" w:hAnsi="Arial" w:cs="Arial"/>
                <w:kern w:val="0"/>
                <w:szCs w:val="21"/>
              </w:rPr>
              <w:t>的产品或服务升级，成交供应商应及时通知采购人，如采购人有相应要求，</w:t>
            </w:r>
            <w:r>
              <w:rPr>
                <w:rFonts w:hint="eastAsia" w:ascii="Arial" w:hAnsi="Arial" w:cs="Arial"/>
                <w:kern w:val="0"/>
                <w:szCs w:val="21"/>
              </w:rPr>
              <w:t>成交供应商</w:t>
            </w:r>
            <w:r>
              <w:rPr>
                <w:rFonts w:ascii="Arial" w:hAnsi="Arial" w:cs="Arial"/>
                <w:kern w:val="0"/>
                <w:szCs w:val="21"/>
              </w:rPr>
              <w:t>应对采购人购买的产品或服务进行升级。</w:t>
            </w:r>
          </w:p>
          <w:p w14:paraId="0F5EE6CF">
            <w:pPr>
              <w:spacing w:line="300" w:lineRule="exact"/>
              <w:rPr>
                <w:rFonts w:ascii="Arial" w:hAnsi="Arial" w:cs="Arial"/>
                <w:kern w:val="0"/>
                <w:szCs w:val="21"/>
              </w:rPr>
            </w:pPr>
            <w:r>
              <w:rPr>
                <w:rFonts w:ascii="Arial" w:hAnsi="Arial" w:cs="Arial"/>
                <w:kern w:val="0"/>
                <w:szCs w:val="21"/>
              </w:rPr>
              <w:t>1.</w:t>
            </w:r>
            <w:r>
              <w:rPr>
                <w:rFonts w:hint="eastAsia" w:ascii="Arial" w:hAnsi="Arial" w:cs="Arial"/>
                <w:kern w:val="0"/>
                <w:szCs w:val="21"/>
              </w:rPr>
              <w:t>4</w:t>
            </w:r>
            <w:r>
              <w:rPr>
                <w:rFonts w:ascii="Arial" w:hAnsi="Arial" w:cs="Arial"/>
                <w:kern w:val="0"/>
                <w:szCs w:val="21"/>
              </w:rPr>
              <w:t>质量保证期内的</w:t>
            </w:r>
            <w:r>
              <w:rPr>
                <w:rFonts w:hint="eastAsia" w:ascii="Arial" w:hAnsi="Arial" w:cs="Arial"/>
                <w:kern w:val="0"/>
                <w:szCs w:val="21"/>
              </w:rPr>
              <w:t>费用</w:t>
            </w:r>
          </w:p>
          <w:p w14:paraId="46C955A9">
            <w:pPr>
              <w:spacing w:line="300" w:lineRule="exact"/>
              <w:jc w:val="left"/>
              <w:rPr>
                <w:rFonts w:ascii="Arial" w:hAnsi="Arial" w:cs="Arial"/>
                <w:kern w:val="0"/>
                <w:szCs w:val="21"/>
              </w:rPr>
            </w:pPr>
            <w:r>
              <w:rPr>
                <w:rFonts w:ascii="Arial" w:hAnsi="Arial" w:cs="Arial"/>
                <w:kern w:val="0"/>
                <w:szCs w:val="21"/>
              </w:rPr>
              <w:t>质量保证期内供应商为采购人所提供的</w:t>
            </w:r>
            <w:r>
              <w:rPr>
                <w:rFonts w:hint="eastAsia" w:ascii="Arial" w:hAnsi="Arial" w:cs="Arial"/>
                <w:kern w:val="0"/>
                <w:szCs w:val="21"/>
              </w:rPr>
              <w:t>所有技术支持和</w:t>
            </w:r>
            <w:r>
              <w:rPr>
                <w:rFonts w:ascii="Arial" w:hAnsi="Arial" w:cs="Arial"/>
                <w:kern w:val="0"/>
                <w:szCs w:val="21"/>
              </w:rPr>
              <w:t>服务</w:t>
            </w:r>
            <w:r>
              <w:rPr>
                <w:rFonts w:hint="eastAsia" w:ascii="Arial" w:hAnsi="Arial" w:cs="Arial"/>
                <w:kern w:val="0"/>
                <w:szCs w:val="21"/>
              </w:rPr>
              <w:t>费用以及</w:t>
            </w:r>
            <w:r>
              <w:rPr>
                <w:rFonts w:ascii="Arial" w:hAnsi="Arial" w:cs="Arial"/>
                <w:kern w:val="0"/>
                <w:szCs w:val="21"/>
              </w:rPr>
              <w:t>上门维修、更换零部件费用</w:t>
            </w:r>
            <w:r>
              <w:rPr>
                <w:rFonts w:hint="eastAsia" w:ascii="Arial" w:hAnsi="Arial" w:cs="Arial"/>
                <w:kern w:val="0"/>
                <w:szCs w:val="21"/>
              </w:rPr>
              <w:t>均包含在响应报价中，</w:t>
            </w:r>
            <w:r>
              <w:rPr>
                <w:rFonts w:ascii="Arial" w:hAnsi="Arial" w:cs="Arial"/>
                <w:kern w:val="0"/>
                <w:szCs w:val="21"/>
              </w:rPr>
              <w:t>采购人不再另行支付</w:t>
            </w:r>
            <w:r>
              <w:rPr>
                <w:rFonts w:hint="eastAsia" w:ascii="Arial" w:hAnsi="Arial" w:cs="Arial"/>
                <w:kern w:val="0"/>
                <w:szCs w:val="21"/>
              </w:rPr>
              <w:t>。</w:t>
            </w:r>
          </w:p>
          <w:p w14:paraId="34E812A8">
            <w:pPr>
              <w:spacing w:line="300" w:lineRule="exact"/>
              <w:rPr>
                <w:rFonts w:ascii="Arial" w:hAnsi="Arial" w:cs="Arial"/>
                <w:kern w:val="0"/>
                <w:szCs w:val="21"/>
              </w:rPr>
            </w:pPr>
            <w:r>
              <w:rPr>
                <w:rFonts w:ascii="Arial" w:hAnsi="Arial" w:cs="Arial"/>
                <w:kern w:val="0"/>
                <w:szCs w:val="21"/>
              </w:rPr>
              <w:t>2．质保期</w:t>
            </w:r>
            <w:r>
              <w:rPr>
                <w:rFonts w:hint="eastAsia" w:ascii="Arial" w:hAnsi="Arial" w:cs="Arial"/>
                <w:kern w:val="0"/>
                <w:szCs w:val="21"/>
              </w:rPr>
              <w:t>过后</w:t>
            </w:r>
            <w:r>
              <w:rPr>
                <w:rFonts w:ascii="Arial" w:hAnsi="Arial" w:cs="Arial"/>
                <w:kern w:val="0"/>
                <w:szCs w:val="21"/>
              </w:rPr>
              <w:t>的服务要求</w:t>
            </w:r>
          </w:p>
          <w:p w14:paraId="46207DD7">
            <w:pPr>
              <w:spacing w:line="300" w:lineRule="exact"/>
              <w:rPr>
                <w:szCs w:val="21"/>
              </w:rPr>
            </w:pPr>
            <w:r>
              <w:rPr>
                <w:rFonts w:ascii="Arial" w:hAnsi="Arial" w:cs="Arial"/>
                <w:kern w:val="0"/>
                <w:szCs w:val="21"/>
              </w:rPr>
              <w:t>电话咨询</w:t>
            </w:r>
            <w:r>
              <w:rPr>
                <w:rFonts w:hint="eastAsia" w:ascii="Arial" w:hAnsi="Arial" w:cs="Arial"/>
                <w:kern w:val="0"/>
                <w:szCs w:val="21"/>
              </w:rPr>
              <w:t>：</w:t>
            </w:r>
            <w:r>
              <w:rPr>
                <w:rFonts w:ascii="Arial" w:hAnsi="Arial" w:cs="Arial"/>
                <w:kern w:val="0"/>
                <w:szCs w:val="21"/>
              </w:rPr>
              <w:t>产品质量保证期过后</w:t>
            </w:r>
            <w:r>
              <w:rPr>
                <w:rFonts w:hint="eastAsia" w:ascii="Arial" w:hAnsi="Arial" w:cs="Arial"/>
                <w:kern w:val="0"/>
                <w:szCs w:val="21"/>
              </w:rPr>
              <w:t>，</w:t>
            </w:r>
            <w:r>
              <w:rPr>
                <w:rFonts w:ascii="Arial" w:hAnsi="Arial" w:cs="Arial"/>
                <w:kern w:val="0"/>
                <w:szCs w:val="21"/>
              </w:rPr>
              <w:t>成交供应商应当为采购人提供技术援助电话，解答采购人在使用中遇到的问题，及时为采购人提出解决问题的建议</w:t>
            </w:r>
            <w:r>
              <w:rPr>
                <w:rFonts w:hint="eastAsia" w:ascii="Arial" w:hAnsi="Arial" w:cs="Arial"/>
                <w:kern w:val="0"/>
                <w:szCs w:val="21"/>
              </w:rPr>
              <w:t>，</w:t>
            </w:r>
            <w:r>
              <w:rPr>
                <w:rFonts w:ascii="Arial" w:hAnsi="Arial" w:cs="Arial"/>
                <w:kern w:val="0"/>
                <w:szCs w:val="21"/>
              </w:rPr>
              <w:t>并不予收费。</w:t>
            </w:r>
          </w:p>
        </w:tc>
      </w:tr>
      <w:tr w14:paraId="75073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14:paraId="77DEDEBB">
            <w:pPr>
              <w:jc w:val="center"/>
              <w:rPr>
                <w:rFonts w:ascii="Arial" w:hAnsi="Arial" w:cs="Arial"/>
                <w:szCs w:val="21"/>
              </w:rPr>
            </w:pPr>
            <w:r>
              <w:rPr>
                <w:rFonts w:hint="eastAsia" w:ascii="Arial" w:hAnsi="Arial" w:cs="Arial"/>
                <w:szCs w:val="21"/>
              </w:rPr>
              <w:t>8</w:t>
            </w:r>
          </w:p>
        </w:tc>
        <w:tc>
          <w:tcPr>
            <w:tcW w:w="2613" w:type="dxa"/>
            <w:gridSpan w:val="2"/>
            <w:tcBorders>
              <w:top w:val="single" w:color="auto" w:sz="4" w:space="0"/>
              <w:left w:val="single" w:color="auto" w:sz="4" w:space="0"/>
              <w:bottom w:val="single" w:color="auto" w:sz="4" w:space="0"/>
              <w:right w:val="single" w:color="auto" w:sz="4" w:space="0"/>
            </w:tcBorders>
            <w:vAlign w:val="center"/>
          </w:tcPr>
          <w:p w14:paraId="3C13B474">
            <w:pPr>
              <w:spacing w:line="360" w:lineRule="exact"/>
              <w:jc w:val="center"/>
              <w:rPr>
                <w:rFonts w:ascii="Arial" w:hAnsi="Arial" w:cs="Arial"/>
                <w:szCs w:val="21"/>
              </w:rPr>
            </w:pPr>
            <w:r>
              <w:rPr>
                <w:rFonts w:ascii="Arial" w:hAnsi="Arial" w:cs="Arial"/>
                <w:szCs w:val="21"/>
              </w:rPr>
              <w:t>培训</w:t>
            </w:r>
          </w:p>
        </w:tc>
        <w:tc>
          <w:tcPr>
            <w:tcW w:w="6181" w:type="dxa"/>
            <w:tcBorders>
              <w:top w:val="single" w:color="auto" w:sz="4" w:space="0"/>
              <w:left w:val="single" w:color="auto" w:sz="4" w:space="0"/>
              <w:bottom w:val="single" w:color="auto" w:sz="4" w:space="0"/>
              <w:right w:val="single" w:color="auto" w:sz="4" w:space="0"/>
            </w:tcBorders>
            <w:vAlign w:val="center"/>
          </w:tcPr>
          <w:p w14:paraId="5AFE9E2E">
            <w:pPr>
              <w:spacing w:line="300" w:lineRule="exact"/>
              <w:rPr>
                <w:rFonts w:ascii="Arial" w:hAnsi="Arial" w:cs="Arial"/>
                <w:szCs w:val="21"/>
              </w:rPr>
            </w:pPr>
            <w:r>
              <w:rPr>
                <w:rFonts w:hint="eastAsia" w:ascii="Arial" w:hAnsi="Arial" w:cs="Arial"/>
                <w:szCs w:val="21"/>
              </w:rPr>
              <w:t>供应商对其提供产品或服务的使用和操作应尽培训义务。供应商应提供对采购人的基本培训，使采购人使用人员熟练掌握所培训内容，熟练掌握全部功能，培训的相关费用包括在响应报价中，采购人不再另行支付。</w:t>
            </w:r>
          </w:p>
        </w:tc>
      </w:tr>
      <w:tr w14:paraId="34DC8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14:paraId="30878A93">
            <w:pPr>
              <w:jc w:val="center"/>
              <w:rPr>
                <w:rFonts w:ascii="Arial" w:hAnsi="Arial" w:cs="Arial"/>
                <w:szCs w:val="21"/>
              </w:rPr>
            </w:pPr>
            <w:r>
              <w:rPr>
                <w:rFonts w:hint="eastAsia" w:ascii="Arial" w:hAnsi="Arial" w:cs="Arial"/>
                <w:szCs w:val="21"/>
              </w:rPr>
              <w:t>9</w:t>
            </w:r>
          </w:p>
        </w:tc>
        <w:tc>
          <w:tcPr>
            <w:tcW w:w="2613" w:type="dxa"/>
            <w:gridSpan w:val="2"/>
            <w:tcBorders>
              <w:top w:val="single" w:color="auto" w:sz="4" w:space="0"/>
              <w:left w:val="single" w:color="auto" w:sz="4" w:space="0"/>
              <w:bottom w:val="single" w:color="auto" w:sz="4" w:space="0"/>
              <w:right w:val="single" w:color="auto" w:sz="4" w:space="0"/>
            </w:tcBorders>
            <w:vAlign w:val="center"/>
          </w:tcPr>
          <w:p w14:paraId="5ADBEEB6">
            <w:pPr>
              <w:spacing w:line="360" w:lineRule="exact"/>
              <w:jc w:val="center"/>
              <w:rPr>
                <w:rFonts w:ascii="Arial" w:hAnsi="Arial" w:cs="Arial"/>
                <w:szCs w:val="21"/>
              </w:rPr>
            </w:pPr>
            <w:r>
              <w:rPr>
                <w:rFonts w:ascii="Arial" w:hAnsi="Arial" w:cs="Arial"/>
                <w:szCs w:val="21"/>
              </w:rPr>
              <w:t>知识产权</w:t>
            </w:r>
          </w:p>
        </w:tc>
        <w:tc>
          <w:tcPr>
            <w:tcW w:w="6181" w:type="dxa"/>
            <w:tcBorders>
              <w:top w:val="single" w:color="auto" w:sz="4" w:space="0"/>
              <w:left w:val="single" w:color="auto" w:sz="4" w:space="0"/>
              <w:bottom w:val="single" w:color="auto" w:sz="4" w:space="0"/>
              <w:right w:val="single" w:color="auto" w:sz="4" w:space="0"/>
            </w:tcBorders>
            <w:vAlign w:val="center"/>
          </w:tcPr>
          <w:p w14:paraId="426196A1">
            <w:pPr>
              <w:spacing w:line="300" w:lineRule="exact"/>
              <w:rPr>
                <w:rFonts w:ascii="Arial" w:hAnsi="Arial" w:cs="Arial"/>
                <w:szCs w:val="21"/>
              </w:rPr>
            </w:pPr>
            <w:r>
              <w:rPr>
                <w:rFonts w:ascii="Arial" w:hAnsi="Arial" w:cs="Arial"/>
                <w:szCs w:val="21"/>
              </w:rPr>
              <w:t>采购人在中华人民共和国境内使用供应商提供的产品及服务时免受第三方提出的侵犯其专利权或其它知识产权的起诉。如果第三方提出侵权指控，成交供应商应承担由此而引起的一切法律责任和费用。供应商在响应文件中提供承诺或证明材料。</w:t>
            </w:r>
          </w:p>
        </w:tc>
      </w:tr>
      <w:tr w14:paraId="00403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14:paraId="0B6DE442">
            <w:pPr>
              <w:jc w:val="center"/>
              <w:rPr>
                <w:rFonts w:ascii="Arial" w:hAnsi="Arial" w:cs="Arial"/>
                <w:szCs w:val="21"/>
              </w:rPr>
            </w:pPr>
            <w:r>
              <w:rPr>
                <w:rFonts w:hint="eastAsia" w:ascii="Arial" w:hAnsi="Arial" w:cs="Arial"/>
                <w:szCs w:val="21"/>
              </w:rPr>
              <w:t>10</w:t>
            </w:r>
          </w:p>
        </w:tc>
        <w:tc>
          <w:tcPr>
            <w:tcW w:w="2613" w:type="dxa"/>
            <w:gridSpan w:val="2"/>
            <w:tcBorders>
              <w:top w:val="single" w:color="auto" w:sz="4" w:space="0"/>
              <w:left w:val="single" w:color="auto" w:sz="4" w:space="0"/>
              <w:bottom w:val="single" w:color="auto" w:sz="4" w:space="0"/>
              <w:right w:val="single" w:color="auto" w:sz="4" w:space="0"/>
            </w:tcBorders>
            <w:vAlign w:val="center"/>
          </w:tcPr>
          <w:p w14:paraId="11DA6337">
            <w:pPr>
              <w:jc w:val="center"/>
              <w:rPr>
                <w:rFonts w:ascii="Arial" w:hAnsi="Arial" w:cs="Arial"/>
                <w:kern w:val="0"/>
                <w:szCs w:val="21"/>
                <w:shd w:val="pct10" w:color="auto" w:fill="FFFFFF"/>
              </w:rPr>
            </w:pPr>
            <w:r>
              <w:rPr>
                <w:rFonts w:ascii="Arial" w:hAnsi="Arial" w:cs="Arial"/>
                <w:szCs w:val="21"/>
              </w:rPr>
              <w:t>付款方式、时间及条件</w:t>
            </w:r>
          </w:p>
        </w:tc>
        <w:tc>
          <w:tcPr>
            <w:tcW w:w="6181" w:type="dxa"/>
            <w:tcBorders>
              <w:top w:val="single" w:color="auto" w:sz="4" w:space="0"/>
              <w:left w:val="single" w:color="auto" w:sz="4" w:space="0"/>
              <w:bottom w:val="single" w:color="auto" w:sz="4" w:space="0"/>
              <w:right w:val="single" w:color="auto" w:sz="4" w:space="0"/>
            </w:tcBorders>
            <w:vAlign w:val="center"/>
          </w:tcPr>
          <w:p w14:paraId="021CE10B">
            <w:pPr>
              <w:spacing w:line="300" w:lineRule="exact"/>
              <w:rPr>
                <w:rFonts w:ascii="Arial" w:hAnsi="Arial" w:cs="Arial"/>
                <w:kern w:val="0"/>
                <w:szCs w:val="21"/>
              </w:rPr>
            </w:pPr>
            <w:r>
              <w:rPr>
                <w:rFonts w:ascii="Arial" w:hAnsi="Arial" w:cs="Arial"/>
                <w:kern w:val="0"/>
                <w:szCs w:val="21"/>
              </w:rPr>
              <w:t>1．供应商按采购合同交货并安装调试完成后或服务完成后，采购人签署项目验收书；</w:t>
            </w:r>
          </w:p>
          <w:p w14:paraId="28F20EFB">
            <w:pPr>
              <w:spacing w:line="300" w:lineRule="exact"/>
              <w:rPr>
                <w:rFonts w:ascii="Arial" w:hAnsi="Arial" w:cs="Arial"/>
                <w:kern w:val="0"/>
                <w:szCs w:val="21"/>
              </w:rPr>
            </w:pPr>
            <w:r>
              <w:rPr>
                <w:rFonts w:ascii="Arial" w:hAnsi="Arial" w:cs="Arial"/>
                <w:kern w:val="0"/>
                <w:szCs w:val="21"/>
              </w:rPr>
              <w:t>2．供应商向采购人开具全额发票和验收书向采购人提出付款申请；</w:t>
            </w:r>
          </w:p>
          <w:p w14:paraId="69357E90">
            <w:pPr>
              <w:spacing w:line="300" w:lineRule="exact"/>
              <w:rPr>
                <w:rFonts w:ascii="Arial" w:hAnsi="Arial" w:cs="Arial"/>
                <w:kern w:val="0"/>
                <w:szCs w:val="21"/>
              </w:rPr>
            </w:pPr>
            <w:r>
              <w:rPr>
                <w:rFonts w:ascii="Arial" w:hAnsi="Arial" w:cs="Arial"/>
                <w:kern w:val="0"/>
                <w:szCs w:val="21"/>
              </w:rPr>
              <w:t>3．票据要求：成交供应商必须按照采购人要求提供真实、有效、合法的正式发票。一旦发现成交供应商提供虚假发票，除须向采购人补开合法发票外，须赔偿采购人发票票面金额一倍的违约金。</w:t>
            </w:r>
          </w:p>
          <w:p w14:paraId="444540D1">
            <w:pPr>
              <w:spacing w:line="300" w:lineRule="exact"/>
              <w:rPr>
                <w:rFonts w:ascii="Arial" w:hAnsi="Arial" w:cs="Arial"/>
                <w:kern w:val="0"/>
                <w:szCs w:val="21"/>
              </w:rPr>
            </w:pPr>
            <w:r>
              <w:rPr>
                <w:rFonts w:hint="eastAsia" w:ascii="Arial" w:hAnsi="Arial" w:cs="Arial"/>
                <w:kern w:val="0"/>
                <w:szCs w:val="21"/>
              </w:rPr>
              <w:t>4.付款方式：</w:t>
            </w:r>
            <w:bookmarkStart w:id="0" w:name="_Hlk166745367"/>
            <w:r>
              <w:rPr>
                <w:rFonts w:hint="eastAsia" w:ascii="Arial" w:hAnsi="Arial" w:cs="Arial"/>
                <w:kern w:val="0"/>
                <w:szCs w:val="21"/>
              </w:rPr>
              <w:t>该项目无预付款，双方签订合同，项目验收合格后，</w:t>
            </w:r>
            <w:r>
              <w:rPr>
                <w:rFonts w:hint="eastAsia" w:ascii="Arial" w:hAnsi="Arial" w:cs="Arial"/>
                <w:kern w:val="0"/>
                <w:szCs w:val="21"/>
                <w:lang w:val="en-US" w:eastAsia="zh-CN"/>
              </w:rPr>
              <w:t>10个工作日内</w:t>
            </w:r>
            <w:r>
              <w:rPr>
                <w:rFonts w:hint="eastAsia" w:ascii="Arial" w:hAnsi="Arial" w:cs="Arial"/>
                <w:kern w:val="0"/>
                <w:szCs w:val="21"/>
              </w:rPr>
              <w:t>采购人一次性向成交人支付合同价100%的款项。</w:t>
            </w:r>
            <w:bookmarkEnd w:id="0"/>
          </w:p>
          <w:p w14:paraId="2FD457FC">
            <w:pPr>
              <w:spacing w:line="300" w:lineRule="exact"/>
              <w:rPr>
                <w:rFonts w:ascii="Arial" w:hAnsi="Arial" w:cs="Arial"/>
                <w:kern w:val="0"/>
                <w:szCs w:val="21"/>
              </w:rPr>
            </w:pPr>
            <w:r>
              <w:rPr>
                <w:rFonts w:ascii="Arial" w:hAnsi="Arial" w:cs="Arial"/>
                <w:kern w:val="0"/>
                <w:szCs w:val="21"/>
              </w:rPr>
              <w:t>5．本合同使用货币币制如未作特别说明均为人民币。</w:t>
            </w:r>
          </w:p>
        </w:tc>
      </w:tr>
      <w:tr w14:paraId="00129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14:paraId="39CBAAA1">
            <w:pPr>
              <w:jc w:val="center"/>
              <w:rPr>
                <w:szCs w:val="21"/>
              </w:rPr>
            </w:pPr>
            <w:r>
              <w:rPr>
                <w:szCs w:val="21"/>
              </w:rPr>
              <w:t>1</w:t>
            </w:r>
            <w:r>
              <w:rPr>
                <w:rFonts w:hint="eastAsia"/>
                <w:szCs w:val="21"/>
              </w:rPr>
              <w:t>1</w:t>
            </w:r>
          </w:p>
        </w:tc>
        <w:tc>
          <w:tcPr>
            <w:tcW w:w="2613" w:type="dxa"/>
            <w:gridSpan w:val="2"/>
            <w:tcBorders>
              <w:top w:val="single" w:color="auto" w:sz="4" w:space="0"/>
              <w:left w:val="single" w:color="auto" w:sz="4" w:space="0"/>
              <w:bottom w:val="single" w:color="auto" w:sz="4" w:space="0"/>
              <w:right w:val="single" w:color="auto" w:sz="4" w:space="0"/>
            </w:tcBorders>
            <w:vAlign w:val="center"/>
          </w:tcPr>
          <w:p w14:paraId="555DC0E6">
            <w:pPr>
              <w:spacing w:line="300" w:lineRule="exact"/>
              <w:jc w:val="center"/>
              <w:rPr>
                <w:szCs w:val="21"/>
              </w:rPr>
            </w:pPr>
            <w:r>
              <w:rPr>
                <w:szCs w:val="21"/>
              </w:rPr>
              <w:t>履约保证金</w:t>
            </w:r>
          </w:p>
        </w:tc>
        <w:tc>
          <w:tcPr>
            <w:tcW w:w="6181" w:type="dxa"/>
            <w:tcBorders>
              <w:top w:val="single" w:color="auto" w:sz="4" w:space="0"/>
              <w:left w:val="single" w:color="auto" w:sz="4" w:space="0"/>
              <w:bottom w:val="single" w:color="auto" w:sz="4" w:space="0"/>
              <w:right w:val="single" w:color="auto" w:sz="4" w:space="0"/>
            </w:tcBorders>
            <w:vAlign w:val="center"/>
          </w:tcPr>
          <w:p w14:paraId="08BE1AB0">
            <w:pPr>
              <w:spacing w:line="300" w:lineRule="exact"/>
              <w:jc w:val="left"/>
              <w:rPr>
                <w:szCs w:val="21"/>
              </w:rPr>
            </w:pPr>
            <w:r>
              <w:rPr>
                <w:rFonts w:hint="eastAsia"/>
                <w:szCs w:val="21"/>
              </w:rPr>
              <w:t>无。</w:t>
            </w:r>
          </w:p>
        </w:tc>
      </w:tr>
      <w:tr w14:paraId="2AB05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9464" w:type="dxa"/>
            <w:gridSpan w:val="4"/>
            <w:tcBorders>
              <w:top w:val="single" w:color="auto" w:sz="4" w:space="0"/>
              <w:left w:val="single" w:color="auto" w:sz="4" w:space="0"/>
              <w:bottom w:val="single" w:color="auto" w:sz="4" w:space="0"/>
              <w:right w:val="single" w:color="auto" w:sz="4" w:space="0"/>
            </w:tcBorders>
            <w:shd w:val="clear" w:color="auto" w:fill="D9D9D9"/>
            <w:vAlign w:val="center"/>
          </w:tcPr>
          <w:p w14:paraId="635E109D">
            <w:pPr>
              <w:widowControl/>
              <w:spacing w:line="240" w:lineRule="exact"/>
              <w:jc w:val="left"/>
              <w:rPr>
                <w:rFonts w:ascii="Arial" w:hAnsi="Arial" w:cs="Arial"/>
                <w:szCs w:val="21"/>
              </w:rPr>
            </w:pPr>
            <w:r>
              <w:rPr>
                <w:rFonts w:ascii="Arial" w:hAnsi="Arial" w:cs="Arial"/>
                <w:b/>
                <w:kern w:val="0"/>
                <w:szCs w:val="21"/>
              </w:rPr>
              <w:t>五、本项目其他要求及说明</w:t>
            </w:r>
          </w:p>
        </w:tc>
      </w:tr>
      <w:tr w14:paraId="4C3E8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14:paraId="4988848C">
            <w:pPr>
              <w:jc w:val="center"/>
              <w:rPr>
                <w:rFonts w:ascii="Arial" w:hAnsi="Arial" w:cs="Arial"/>
                <w:szCs w:val="21"/>
              </w:rPr>
            </w:pPr>
            <w:r>
              <w:rPr>
                <w:rFonts w:ascii="Arial" w:hAnsi="Arial" w:cs="Arial"/>
                <w:szCs w:val="21"/>
              </w:rPr>
              <w:t>1</w:t>
            </w:r>
          </w:p>
        </w:tc>
        <w:tc>
          <w:tcPr>
            <w:tcW w:w="2613" w:type="dxa"/>
            <w:gridSpan w:val="2"/>
            <w:tcBorders>
              <w:top w:val="single" w:color="auto" w:sz="4" w:space="0"/>
              <w:left w:val="single" w:color="auto" w:sz="4" w:space="0"/>
              <w:bottom w:val="single" w:color="auto" w:sz="4" w:space="0"/>
              <w:right w:val="single" w:color="auto" w:sz="4" w:space="0"/>
            </w:tcBorders>
            <w:vAlign w:val="center"/>
          </w:tcPr>
          <w:p w14:paraId="1551CC5F">
            <w:pPr>
              <w:spacing w:line="300" w:lineRule="exact"/>
              <w:jc w:val="center"/>
              <w:rPr>
                <w:rFonts w:ascii="Arial" w:hAnsi="Arial" w:cs="Arial"/>
                <w:szCs w:val="21"/>
              </w:rPr>
            </w:pPr>
            <w:r>
              <w:rPr>
                <w:rFonts w:ascii="Arial" w:hAnsi="Arial" w:cs="Arial"/>
                <w:szCs w:val="21"/>
              </w:rPr>
              <w:t>演示要求</w:t>
            </w:r>
          </w:p>
        </w:tc>
        <w:tc>
          <w:tcPr>
            <w:tcW w:w="6181" w:type="dxa"/>
            <w:tcBorders>
              <w:top w:val="single" w:color="auto" w:sz="4" w:space="0"/>
              <w:left w:val="single" w:color="auto" w:sz="4" w:space="0"/>
              <w:bottom w:val="single" w:color="auto" w:sz="4" w:space="0"/>
              <w:right w:val="single" w:color="auto" w:sz="4" w:space="0"/>
            </w:tcBorders>
            <w:vAlign w:val="center"/>
          </w:tcPr>
          <w:p w14:paraId="7E1A265C">
            <w:pPr>
              <w:spacing w:line="300" w:lineRule="exact"/>
              <w:jc w:val="left"/>
              <w:rPr>
                <w:szCs w:val="21"/>
              </w:rPr>
            </w:pPr>
            <w:r>
              <w:rPr>
                <w:szCs w:val="21"/>
              </w:rPr>
              <w:t>无要求</w:t>
            </w:r>
          </w:p>
        </w:tc>
      </w:tr>
      <w:tr w14:paraId="32717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14:paraId="16B6592F">
            <w:pPr>
              <w:jc w:val="center"/>
              <w:rPr>
                <w:rFonts w:ascii="Arial" w:hAnsi="Arial" w:cs="Arial"/>
                <w:szCs w:val="21"/>
              </w:rPr>
            </w:pPr>
            <w:r>
              <w:rPr>
                <w:rFonts w:ascii="Arial" w:hAnsi="Arial" w:cs="Arial"/>
                <w:szCs w:val="21"/>
              </w:rPr>
              <w:t>2</w:t>
            </w:r>
          </w:p>
        </w:tc>
        <w:tc>
          <w:tcPr>
            <w:tcW w:w="2613" w:type="dxa"/>
            <w:gridSpan w:val="2"/>
            <w:tcBorders>
              <w:top w:val="single" w:color="auto" w:sz="4" w:space="0"/>
              <w:left w:val="single" w:color="auto" w:sz="4" w:space="0"/>
              <w:bottom w:val="single" w:color="auto" w:sz="4" w:space="0"/>
              <w:right w:val="single" w:color="auto" w:sz="4" w:space="0"/>
            </w:tcBorders>
            <w:vAlign w:val="center"/>
          </w:tcPr>
          <w:p w14:paraId="6C8826A7">
            <w:pPr>
              <w:spacing w:line="300" w:lineRule="exact"/>
              <w:jc w:val="center"/>
              <w:rPr>
                <w:rFonts w:ascii="Arial" w:hAnsi="Arial" w:cs="Arial"/>
                <w:szCs w:val="21"/>
              </w:rPr>
            </w:pPr>
            <w:r>
              <w:rPr>
                <w:rFonts w:ascii="Arial" w:hAnsi="Arial" w:cs="Arial"/>
                <w:szCs w:val="21"/>
              </w:rPr>
              <w:t>样品要求</w:t>
            </w:r>
          </w:p>
        </w:tc>
        <w:tc>
          <w:tcPr>
            <w:tcW w:w="6181" w:type="dxa"/>
            <w:tcBorders>
              <w:top w:val="single" w:color="auto" w:sz="4" w:space="0"/>
              <w:left w:val="single" w:color="auto" w:sz="4" w:space="0"/>
              <w:bottom w:val="single" w:color="auto" w:sz="4" w:space="0"/>
              <w:right w:val="single" w:color="auto" w:sz="4" w:space="0"/>
            </w:tcBorders>
            <w:vAlign w:val="center"/>
          </w:tcPr>
          <w:p w14:paraId="3E3FD8EB">
            <w:pPr>
              <w:spacing w:line="300" w:lineRule="exact"/>
              <w:jc w:val="left"/>
              <w:rPr>
                <w:szCs w:val="21"/>
              </w:rPr>
            </w:pPr>
            <w:r>
              <w:rPr>
                <w:szCs w:val="21"/>
              </w:rPr>
              <w:t xml:space="preserve">无要求 </w:t>
            </w:r>
          </w:p>
        </w:tc>
      </w:tr>
      <w:tr w14:paraId="798CB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14:paraId="465988EE">
            <w:pPr>
              <w:jc w:val="center"/>
              <w:rPr>
                <w:rFonts w:ascii="Arial" w:hAnsi="Arial" w:cs="Arial"/>
                <w:szCs w:val="21"/>
              </w:rPr>
            </w:pPr>
            <w:r>
              <w:rPr>
                <w:rFonts w:hint="eastAsia" w:ascii="Arial" w:hAnsi="Arial" w:cs="Arial"/>
                <w:szCs w:val="21"/>
              </w:rPr>
              <w:t>3</w:t>
            </w:r>
          </w:p>
        </w:tc>
        <w:tc>
          <w:tcPr>
            <w:tcW w:w="2613" w:type="dxa"/>
            <w:gridSpan w:val="2"/>
            <w:tcBorders>
              <w:top w:val="single" w:color="auto" w:sz="4" w:space="0"/>
              <w:left w:val="single" w:color="auto" w:sz="4" w:space="0"/>
              <w:bottom w:val="single" w:color="auto" w:sz="4" w:space="0"/>
              <w:right w:val="single" w:color="auto" w:sz="4" w:space="0"/>
            </w:tcBorders>
            <w:vAlign w:val="center"/>
          </w:tcPr>
          <w:p w14:paraId="73E6F0CB">
            <w:pPr>
              <w:spacing w:line="300" w:lineRule="exact"/>
              <w:jc w:val="center"/>
              <w:rPr>
                <w:szCs w:val="21"/>
              </w:rPr>
            </w:pPr>
            <w:r>
              <w:rPr>
                <w:szCs w:val="21"/>
              </w:rPr>
              <w:t>本项目附件</w:t>
            </w:r>
          </w:p>
        </w:tc>
        <w:tc>
          <w:tcPr>
            <w:tcW w:w="6181" w:type="dxa"/>
            <w:tcBorders>
              <w:top w:val="single" w:color="auto" w:sz="4" w:space="0"/>
              <w:left w:val="single" w:color="auto" w:sz="4" w:space="0"/>
              <w:bottom w:val="single" w:color="auto" w:sz="4" w:space="0"/>
              <w:right w:val="single" w:color="auto" w:sz="4" w:space="0"/>
            </w:tcBorders>
            <w:vAlign w:val="center"/>
          </w:tcPr>
          <w:p w14:paraId="7DB08FE2">
            <w:pPr>
              <w:spacing w:line="300" w:lineRule="exact"/>
              <w:jc w:val="left"/>
              <w:rPr>
                <w:szCs w:val="21"/>
              </w:rPr>
            </w:pPr>
            <w:r>
              <w:rPr>
                <w:szCs w:val="21"/>
              </w:rPr>
              <w:sym w:font="Wingdings 2" w:char="F052"/>
            </w:r>
            <w:r>
              <w:rPr>
                <w:szCs w:val="21"/>
              </w:rPr>
              <w:t>无；</w:t>
            </w:r>
            <w:r>
              <w:rPr>
                <w:szCs w:val="21"/>
              </w:rPr>
              <w:sym w:font="Wingdings 2" w:char="F0A3"/>
            </w:r>
            <w:r>
              <w:rPr>
                <w:szCs w:val="21"/>
              </w:rPr>
              <w:t>有，详见</w:t>
            </w:r>
            <w:r>
              <w:rPr>
                <w:rFonts w:hint="eastAsia"/>
                <w:szCs w:val="21"/>
              </w:rPr>
              <w:t>：</w:t>
            </w:r>
          </w:p>
        </w:tc>
      </w:tr>
      <w:tr w14:paraId="15111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14:paraId="27AB8D17">
            <w:pPr>
              <w:jc w:val="center"/>
              <w:rPr>
                <w:rFonts w:ascii="Arial" w:hAnsi="Arial" w:cs="Arial"/>
                <w:szCs w:val="21"/>
              </w:rPr>
            </w:pPr>
            <w:r>
              <w:rPr>
                <w:rFonts w:hint="eastAsia" w:ascii="Arial" w:hAnsi="Arial" w:cs="Arial"/>
                <w:szCs w:val="21"/>
              </w:rPr>
              <w:t>4</w:t>
            </w:r>
          </w:p>
        </w:tc>
        <w:tc>
          <w:tcPr>
            <w:tcW w:w="2613" w:type="dxa"/>
            <w:gridSpan w:val="2"/>
            <w:tcBorders>
              <w:top w:val="single" w:color="auto" w:sz="4" w:space="0"/>
              <w:left w:val="single" w:color="auto" w:sz="4" w:space="0"/>
              <w:bottom w:val="single" w:color="auto" w:sz="4" w:space="0"/>
              <w:right w:val="single" w:color="auto" w:sz="4" w:space="0"/>
            </w:tcBorders>
            <w:vAlign w:val="center"/>
          </w:tcPr>
          <w:p w14:paraId="7B50626D">
            <w:pPr>
              <w:spacing w:line="300" w:lineRule="exact"/>
              <w:jc w:val="center"/>
              <w:rPr>
                <w:szCs w:val="21"/>
              </w:rPr>
            </w:pPr>
            <w:r>
              <w:rPr>
                <w:szCs w:val="21"/>
              </w:rPr>
              <w:t>本项目图纸</w:t>
            </w:r>
          </w:p>
        </w:tc>
        <w:tc>
          <w:tcPr>
            <w:tcW w:w="6181" w:type="dxa"/>
            <w:tcBorders>
              <w:top w:val="single" w:color="auto" w:sz="4" w:space="0"/>
              <w:left w:val="single" w:color="auto" w:sz="4" w:space="0"/>
              <w:bottom w:val="single" w:color="auto" w:sz="4" w:space="0"/>
              <w:right w:val="single" w:color="auto" w:sz="4" w:space="0"/>
            </w:tcBorders>
            <w:vAlign w:val="center"/>
          </w:tcPr>
          <w:p w14:paraId="55DCDCD8">
            <w:pPr>
              <w:spacing w:line="300" w:lineRule="exact"/>
              <w:jc w:val="left"/>
              <w:rPr>
                <w:szCs w:val="21"/>
              </w:rPr>
            </w:pPr>
            <w:r>
              <w:rPr>
                <w:szCs w:val="21"/>
              </w:rPr>
              <w:sym w:font="Wingdings 2" w:char="F052"/>
            </w:r>
            <w:r>
              <w:rPr>
                <w:szCs w:val="21"/>
              </w:rPr>
              <w:t>无；</w:t>
            </w:r>
            <w:r>
              <w:rPr>
                <w:szCs w:val="21"/>
              </w:rPr>
              <w:sym w:font="Wingdings 2" w:char="F0A3"/>
            </w:r>
            <w:r>
              <w:rPr>
                <w:szCs w:val="21"/>
              </w:rPr>
              <w:t>有，详见</w:t>
            </w:r>
            <w:r>
              <w:rPr>
                <w:rFonts w:hint="eastAsia"/>
                <w:szCs w:val="21"/>
              </w:rPr>
              <w:t>：</w:t>
            </w:r>
          </w:p>
        </w:tc>
      </w:tr>
      <w:tr w14:paraId="7008A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14:paraId="4CB9473C">
            <w:pPr>
              <w:jc w:val="center"/>
              <w:rPr>
                <w:rFonts w:ascii="Arial" w:hAnsi="Arial" w:cs="Arial"/>
                <w:szCs w:val="21"/>
              </w:rPr>
            </w:pPr>
            <w:r>
              <w:rPr>
                <w:rFonts w:ascii="Arial" w:hAnsi="Arial" w:cs="Arial"/>
                <w:szCs w:val="21"/>
              </w:rPr>
              <w:t>5</w:t>
            </w:r>
          </w:p>
        </w:tc>
        <w:tc>
          <w:tcPr>
            <w:tcW w:w="2613" w:type="dxa"/>
            <w:gridSpan w:val="2"/>
            <w:tcBorders>
              <w:top w:val="single" w:color="auto" w:sz="4" w:space="0"/>
              <w:left w:val="single" w:color="auto" w:sz="4" w:space="0"/>
              <w:bottom w:val="single" w:color="auto" w:sz="4" w:space="0"/>
              <w:right w:val="single" w:color="auto" w:sz="4" w:space="0"/>
            </w:tcBorders>
            <w:vAlign w:val="center"/>
          </w:tcPr>
          <w:p w14:paraId="7AEEA315">
            <w:pPr>
              <w:spacing w:line="360" w:lineRule="exact"/>
              <w:jc w:val="center"/>
              <w:rPr>
                <w:rFonts w:ascii="Arial" w:hAnsi="Arial" w:cs="Arial"/>
                <w:szCs w:val="21"/>
              </w:rPr>
            </w:pPr>
            <w:r>
              <w:rPr>
                <w:rFonts w:ascii="Arial" w:hAnsi="Arial" w:cs="Arial"/>
                <w:szCs w:val="21"/>
              </w:rPr>
              <w:t>其他</w:t>
            </w:r>
          </w:p>
        </w:tc>
        <w:tc>
          <w:tcPr>
            <w:tcW w:w="6181" w:type="dxa"/>
            <w:tcBorders>
              <w:top w:val="single" w:color="auto" w:sz="4" w:space="0"/>
              <w:left w:val="single" w:color="auto" w:sz="4" w:space="0"/>
              <w:bottom w:val="single" w:color="auto" w:sz="4" w:space="0"/>
              <w:right w:val="single" w:color="auto" w:sz="4" w:space="0"/>
            </w:tcBorders>
            <w:vAlign w:val="center"/>
          </w:tcPr>
          <w:p w14:paraId="2FF3581D">
            <w:pPr>
              <w:spacing w:line="300" w:lineRule="exact"/>
              <w:jc w:val="left"/>
              <w:rPr>
                <w:rFonts w:ascii="Arial" w:hAnsi="Arial" w:cs="Arial"/>
                <w:szCs w:val="21"/>
              </w:rPr>
            </w:pPr>
            <w:r>
              <w:rPr>
                <w:rFonts w:ascii="Arial" w:hAnsi="Arial" w:cs="Arial"/>
                <w:szCs w:val="21"/>
              </w:rPr>
              <w:t>（1）其他未尽事宜由供需双方在采购合同中详细约定。</w:t>
            </w:r>
          </w:p>
          <w:p w14:paraId="25881133">
            <w:pPr>
              <w:spacing w:line="300" w:lineRule="exact"/>
              <w:jc w:val="left"/>
              <w:rPr>
                <w:rFonts w:ascii="Arial" w:hAnsi="Arial" w:cs="Arial"/>
                <w:szCs w:val="21"/>
              </w:rPr>
            </w:pPr>
            <w:r>
              <w:rPr>
                <w:rFonts w:ascii="Arial" w:hAnsi="Arial" w:cs="Arial"/>
                <w:szCs w:val="21"/>
              </w:rPr>
              <w:t>（2）标注“</w:t>
            </w:r>
            <w:r>
              <w:rPr>
                <w:rFonts w:hint="eastAsia"/>
              </w:rPr>
              <w:t>★</w:t>
            </w:r>
            <w:r>
              <w:rPr>
                <w:rFonts w:ascii="Arial" w:hAnsi="Arial" w:cs="Arial"/>
                <w:szCs w:val="21"/>
              </w:rPr>
              <w:t>”的条款或要求系指实质性条款或实质性要求，必须满足，如存在负偏离将导致响应被否决。</w:t>
            </w:r>
          </w:p>
        </w:tc>
      </w:tr>
    </w:tbl>
    <w:p w14:paraId="2C863DE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450501"/>
    <w:rsid w:val="03582E82"/>
    <w:rsid w:val="04E1218F"/>
    <w:rsid w:val="13F53078"/>
    <w:rsid w:val="18450501"/>
    <w:rsid w:val="33A16FCA"/>
    <w:rsid w:val="3DF2575F"/>
    <w:rsid w:val="4144377E"/>
    <w:rsid w:val="43F651AE"/>
    <w:rsid w:val="70E35D65"/>
    <w:rsid w:val="7B884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3272</Words>
  <Characters>3497</Characters>
  <Lines>0</Lines>
  <Paragraphs>0</Paragraphs>
  <TotalTime>20</TotalTime>
  <ScaleCrop>false</ScaleCrop>
  <LinksUpToDate>false</LinksUpToDate>
  <CharactersWithSpaces>3516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2025-05-16T08:20:00Z</dcterms:created>
  <dc:creator>得肉</dc:creator>
  <cp:lastModifiedBy>得肉</cp:lastModifiedBy>
  <dcterms:modified xsi:type="dcterms:W3CDTF">2025-05-17T04:35:40Z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026BAAE63C9F49C5A76C0F684967C3FC_13</vt:lpwstr>
  </property>
  <property fmtid="{D5CDD505-2E9C-101B-9397-08002B2CF9AE}" pid="4" name="KSOTemplateDocerSaveRecord">
    <vt:lpwstr>eyJoZGlkIjoiYWY4ZTEzMjljYzJmNzg2MmU1NWQ2YjY3ZDg5ZmJiODciLCJ1c2VySWQiOiI3MDcyNjg3NTMifQ==</vt:lpwstr>
  </property>
</Properties>
</file>