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CF1A">
      <w:pPr>
        <w:jc w:val="center"/>
        <w:rPr>
          <w:rFonts w:ascii="方正小标宋简体" w:hAnsi="方正小标宋简体" w:eastAsia="方正小标宋简体" w:cs="方正小标宋简体"/>
          <w:color w:val="000000"/>
          <w:kern w:val="0"/>
          <w:sz w:val="44"/>
          <w:szCs w:val="44"/>
          <w:lang w:val="zh-TW" w:bidi="zh-TW"/>
        </w:rPr>
      </w:pPr>
      <w:r>
        <w:rPr>
          <w:rFonts w:hint="eastAsia" w:ascii="方正小标宋简体" w:hAnsi="方正小标宋简体" w:eastAsia="方正小标宋简体" w:cs="方正小标宋简体"/>
          <w:color w:val="000000"/>
          <w:kern w:val="0"/>
          <w:sz w:val="44"/>
          <w:szCs w:val="44"/>
          <w:lang w:val="zh-TW" w:eastAsia="zh-TW" w:bidi="zh-TW"/>
        </w:rPr>
        <w:t>大学生活动中心综合报告厅LED显示系统采购需求</w:t>
      </w:r>
      <w:r>
        <w:rPr>
          <w:rFonts w:hint="eastAsia" w:ascii="方正小标宋简体" w:hAnsi="方正小标宋简体" w:eastAsia="方正小标宋简体" w:cs="方正小标宋简体"/>
          <w:color w:val="000000"/>
          <w:kern w:val="0"/>
          <w:sz w:val="44"/>
          <w:szCs w:val="44"/>
          <w:lang w:val="zh-TW" w:bidi="zh-TW"/>
        </w:rPr>
        <w:t>文件</w:t>
      </w:r>
    </w:p>
    <w:p w14:paraId="60A7A9A4">
      <w:pPr>
        <w:pStyle w:val="12"/>
        <w:numPr>
          <w:ilvl w:val="0"/>
          <w:numId w:val="1"/>
        </w:numPr>
        <w:autoSpaceDE w:val="0"/>
        <w:spacing w:line="600" w:lineRule="exact"/>
        <w:ind w:firstLineChars="0"/>
        <w:outlineLvl w:val="0"/>
        <w:rPr>
          <w:rFonts w:ascii="Times New Roman" w:hAnsi="Times New Roman" w:cs="Times New Roman"/>
          <w:b/>
          <w:sz w:val="32"/>
          <w:szCs w:val="32"/>
        </w:rPr>
      </w:pPr>
      <w:r>
        <w:rPr>
          <w:rFonts w:ascii="方正小标宋_GBK" w:hAnsi="方正小标宋_GBK" w:eastAsia="方正小标宋_GBK"/>
          <w:b/>
          <w:sz w:val="32"/>
          <w:szCs w:val="32"/>
        </w:rPr>
        <w:t>项目名</w:t>
      </w:r>
      <w:r>
        <w:rPr>
          <w:rFonts w:hint="eastAsia" w:ascii="宋体" w:hAnsi="宋体" w:eastAsia="宋体" w:cs="宋体"/>
          <w:b/>
          <w:sz w:val="32"/>
          <w:szCs w:val="32"/>
        </w:rPr>
        <w:t>称</w:t>
      </w:r>
    </w:p>
    <w:p w14:paraId="77F673FD">
      <w:pPr>
        <w:autoSpaceDE w:val="0"/>
        <w:spacing w:line="600" w:lineRule="exact"/>
        <w:ind w:left="640"/>
        <w:outlineLvl w:val="0"/>
        <w:rPr>
          <w:rFonts w:ascii="Times New Roman" w:hAnsi="Times New Roman" w:cs="Times New Roman"/>
          <w:sz w:val="32"/>
          <w:szCs w:val="32"/>
        </w:rPr>
      </w:pPr>
      <w:r>
        <w:rPr>
          <w:rFonts w:hint="eastAsia" w:ascii="方正小标宋_GBK" w:hAnsi="方正小标宋_GBK" w:eastAsia="方正小标宋_GBK"/>
          <w:sz w:val="32"/>
          <w:szCs w:val="32"/>
        </w:rPr>
        <w:t>大学生活动中心综合报告厅LED显示系统</w:t>
      </w:r>
    </w:p>
    <w:p w14:paraId="02C307BB">
      <w:pPr>
        <w:autoSpaceDE w:val="0"/>
        <w:spacing w:line="600" w:lineRule="exact"/>
        <w:ind w:left="640"/>
        <w:outlineLvl w:val="0"/>
        <w:rPr>
          <w:rFonts w:ascii="Times New Roman" w:hAnsi="Times New Roman" w:eastAsia="方正小标宋_GBK" w:cs="Times New Roman"/>
          <w:b/>
          <w:sz w:val="32"/>
          <w:szCs w:val="32"/>
        </w:rPr>
      </w:pPr>
      <w:r>
        <w:rPr>
          <w:rFonts w:ascii="方正小标宋_GBK" w:hAnsi="方正小标宋_GBK" w:eastAsia="方正小标宋_GBK"/>
          <w:b/>
          <w:sz w:val="32"/>
          <w:szCs w:val="32"/>
        </w:rPr>
        <w:t>二、项目预算</w:t>
      </w:r>
      <w:r>
        <w:rPr>
          <w:rFonts w:hint="eastAsia" w:ascii="宋体" w:hAnsi="宋体" w:eastAsia="宋体" w:cs="宋体"/>
          <w:b/>
          <w:sz w:val="32"/>
          <w:szCs w:val="32"/>
        </w:rPr>
        <w:t>：2</w:t>
      </w:r>
      <w:r>
        <w:rPr>
          <w:rFonts w:ascii="宋体" w:hAnsi="宋体" w:eastAsia="宋体" w:cs="宋体"/>
          <w:b/>
          <w:sz w:val="32"/>
          <w:szCs w:val="32"/>
        </w:rPr>
        <w:t>9万</w:t>
      </w:r>
    </w:p>
    <w:p w14:paraId="434D5623">
      <w:pPr>
        <w:pStyle w:val="5"/>
        <w:widowControl/>
        <w:shd w:val="clear" w:color="auto" w:fill="FFFFFF"/>
        <w:autoSpaceDE w:val="0"/>
        <w:spacing w:before="0" w:beforeAutospacing="0" w:after="0" w:afterAutospacing="0" w:line="60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项目预算总金额为人民币</w:t>
      </w:r>
      <w:r>
        <w:rPr>
          <w:rFonts w:ascii="Times New Roman" w:hAnsi="Times New Roman" w:eastAsia="仿宋"/>
          <w:sz w:val="32"/>
          <w:szCs w:val="32"/>
          <w:shd w:val="clear" w:color="auto" w:fill="FFFFFF"/>
        </w:rPr>
        <w:t>290000.00</w:t>
      </w:r>
      <w:r>
        <w:rPr>
          <w:rFonts w:ascii="仿宋" w:hAnsi="仿宋" w:eastAsia="仿宋"/>
          <w:sz w:val="32"/>
          <w:szCs w:val="32"/>
          <w:shd w:val="clear" w:color="auto" w:fill="FFFFFF"/>
        </w:rPr>
        <w:t>元（大写</w:t>
      </w:r>
      <w:r>
        <w:rPr>
          <w:rFonts w:hint="eastAsia" w:ascii="仿宋" w:hAnsi="仿宋" w:eastAsia="仿宋"/>
          <w:sz w:val="32"/>
          <w:szCs w:val="32"/>
          <w:shd w:val="clear" w:color="auto" w:fill="FFFFFF"/>
        </w:rPr>
        <w:t>贰拾玖万元整</w:t>
      </w:r>
      <w:r>
        <w:rPr>
          <w:rFonts w:ascii="仿宋" w:hAnsi="仿宋" w:eastAsia="仿宋"/>
          <w:sz w:val="32"/>
          <w:szCs w:val="32"/>
          <w:shd w:val="clear" w:color="auto" w:fill="FFFFFF"/>
        </w:rPr>
        <w:t>）。供应商的报价不得超出项目预算，否则按无效报价文件处理。</w:t>
      </w:r>
    </w:p>
    <w:p w14:paraId="4199B61D">
      <w:pPr>
        <w:pStyle w:val="5"/>
        <w:widowControl/>
        <w:shd w:val="clear" w:color="auto" w:fill="FFFFFF"/>
        <w:autoSpaceDE w:val="0"/>
        <w:spacing w:before="0" w:beforeAutospacing="0" w:after="0" w:afterAutospacing="0" w:line="600" w:lineRule="exact"/>
        <w:ind w:firstLine="640" w:firstLineChars="200"/>
        <w:jc w:val="both"/>
        <w:rPr>
          <w:rFonts w:ascii="方正小标宋_GBK" w:hAnsi="方正小标宋_GBK" w:eastAsia="方正小标宋_GBK" w:cstheme="minorBidi"/>
          <w:b/>
          <w:kern w:val="2"/>
          <w:sz w:val="32"/>
          <w:szCs w:val="32"/>
        </w:rPr>
      </w:pPr>
      <w:r>
        <w:rPr>
          <w:rFonts w:ascii="方正小标宋_GBK" w:hAnsi="方正小标宋_GBK" w:eastAsia="方正小标宋_GBK" w:cstheme="minorBidi"/>
          <w:b/>
          <w:kern w:val="2"/>
          <w:sz w:val="32"/>
          <w:szCs w:val="32"/>
        </w:rPr>
        <w:t>三</w:t>
      </w:r>
      <w:r>
        <w:rPr>
          <w:rFonts w:hint="eastAsia" w:ascii="方正小标宋_GBK" w:hAnsi="方正小标宋_GBK" w:eastAsia="方正小标宋_GBK" w:cstheme="minorBidi"/>
          <w:b/>
          <w:kern w:val="2"/>
          <w:sz w:val="32"/>
          <w:szCs w:val="32"/>
        </w:rPr>
        <w:t>、项目需求</w:t>
      </w:r>
    </w:p>
    <w:p w14:paraId="046AE3E5">
      <w:pPr>
        <w:ind w:firstLine="640" w:firstLineChars="200"/>
        <w:jc w:val="left"/>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在货物质保期限内，成交供应商应严格遵守需求文件要求及合同约定，保证采购人产品合格及正常使用。</w:t>
      </w:r>
    </w:p>
    <w:p w14:paraId="4BA8D201">
      <w:pPr>
        <w:ind w:firstLine="643" w:firstLineChars="200"/>
        <w:jc w:val="left"/>
        <w:rPr>
          <w:rFonts w:ascii="仿宋" w:hAnsi="仿宋" w:eastAsia="仿宋" w:cs="Times New Roman"/>
          <w:b/>
          <w:kern w:val="0"/>
          <w:sz w:val="32"/>
          <w:szCs w:val="32"/>
          <w:shd w:val="clear" w:color="auto" w:fill="FFFFFF"/>
        </w:rPr>
      </w:pPr>
      <w:r>
        <w:rPr>
          <w:rFonts w:hint="eastAsia" w:ascii="仿宋" w:hAnsi="仿宋" w:eastAsia="仿宋" w:cs="Times New Roman"/>
          <w:b/>
          <w:kern w:val="0"/>
          <w:sz w:val="32"/>
          <w:szCs w:val="32"/>
          <w:shd w:val="clear" w:color="auto" w:fill="FFFFFF"/>
        </w:rPr>
        <w:t>1.技术要求：</w:t>
      </w:r>
    </w:p>
    <w:p w14:paraId="01A8D955">
      <w:pPr>
        <w:ind w:firstLine="640" w:firstLineChars="200"/>
        <w:jc w:val="left"/>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采购广西电力职业技术学院五象校区大学生活动中心综合报告厅LED显示屏。具体参数如下</w:t>
      </w:r>
    </w:p>
    <w:p w14:paraId="45A63B77">
      <w:pPr>
        <w:jc w:val="left"/>
        <w:rPr>
          <w:rFonts w:ascii="方正小标宋简体" w:hAnsi="方正小标宋简体" w:eastAsia="PMingLiU" w:cs="方正小标宋简体"/>
          <w:color w:val="000000"/>
          <w:kern w:val="0"/>
          <w:sz w:val="44"/>
          <w:szCs w:val="44"/>
          <w:lang w:eastAsia="zh-TW" w:bidi="zh-TW"/>
        </w:rPr>
      </w:pPr>
    </w:p>
    <w:p w14:paraId="1CDB946C">
      <w:pPr>
        <w:jc w:val="left"/>
        <w:rPr>
          <w:rFonts w:ascii="方正小标宋简体" w:hAnsi="方正小标宋简体" w:eastAsia="PMingLiU" w:cs="方正小标宋简体"/>
          <w:color w:val="000000"/>
          <w:kern w:val="0"/>
          <w:sz w:val="44"/>
          <w:szCs w:val="44"/>
          <w:lang w:eastAsia="zh-TW" w:bidi="zh-TW"/>
        </w:rPr>
      </w:pPr>
    </w:p>
    <w:p w14:paraId="2ED9C356">
      <w:pPr>
        <w:jc w:val="left"/>
        <w:rPr>
          <w:rFonts w:ascii="方正小标宋简体" w:hAnsi="方正小标宋简体" w:eastAsia="PMingLiU" w:cs="方正小标宋简体"/>
          <w:color w:val="000000"/>
          <w:kern w:val="0"/>
          <w:sz w:val="44"/>
          <w:szCs w:val="44"/>
          <w:lang w:eastAsia="zh-TW" w:bidi="zh-TW"/>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040"/>
        <w:gridCol w:w="709"/>
        <w:gridCol w:w="992"/>
        <w:gridCol w:w="6383"/>
        <w:gridCol w:w="709"/>
        <w:gridCol w:w="850"/>
        <w:gridCol w:w="851"/>
        <w:gridCol w:w="850"/>
        <w:gridCol w:w="770"/>
      </w:tblGrid>
      <w:tr w14:paraId="62C2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98" w:type="dxa"/>
            <w:vAlign w:val="center"/>
          </w:tcPr>
          <w:p w14:paraId="254BF090">
            <w:pPr>
              <w:spacing w:line="320" w:lineRule="exact"/>
              <w:jc w:val="center"/>
              <w:rPr>
                <w:rFonts w:ascii="仿宋" w:hAnsi="仿宋" w:eastAsia="仿宋" w:cs="方正小标宋简体"/>
                <w:kern w:val="0"/>
                <w:sz w:val="28"/>
                <w:szCs w:val="28"/>
                <w:lang w:bidi="zh-TW"/>
              </w:rPr>
            </w:pPr>
            <w:r>
              <w:rPr>
                <w:rFonts w:hint="eastAsia" w:ascii="仿宋" w:hAnsi="仿宋" w:eastAsia="仿宋" w:cs="方正小标宋简体"/>
                <w:kern w:val="0"/>
                <w:sz w:val="28"/>
                <w:szCs w:val="28"/>
                <w:lang w:bidi="zh-TW"/>
              </w:rPr>
              <w:t>项号</w:t>
            </w:r>
          </w:p>
        </w:tc>
        <w:tc>
          <w:tcPr>
            <w:tcW w:w="1040" w:type="dxa"/>
            <w:vAlign w:val="center"/>
          </w:tcPr>
          <w:p w14:paraId="6D588F2A">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货物名称</w:t>
            </w:r>
          </w:p>
        </w:tc>
        <w:tc>
          <w:tcPr>
            <w:tcW w:w="1697" w:type="dxa"/>
            <w:gridSpan w:val="2"/>
            <w:vMerge w:val="restart"/>
            <w:vAlign w:val="center"/>
          </w:tcPr>
          <w:p w14:paraId="797929B4">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bidi="zh-TW"/>
              </w:rPr>
              <w:t>参考品牌</w:t>
            </w:r>
          </w:p>
        </w:tc>
        <w:tc>
          <w:tcPr>
            <w:tcW w:w="6383" w:type="dxa"/>
            <w:vMerge w:val="restart"/>
            <w:vAlign w:val="center"/>
          </w:tcPr>
          <w:p w14:paraId="648BBE61">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主要技术参数及性能（配置）要求</w:t>
            </w:r>
          </w:p>
        </w:tc>
        <w:tc>
          <w:tcPr>
            <w:tcW w:w="709" w:type="dxa"/>
            <w:vAlign w:val="center"/>
          </w:tcPr>
          <w:p w14:paraId="3841CA83">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数量</w:t>
            </w:r>
          </w:p>
        </w:tc>
        <w:tc>
          <w:tcPr>
            <w:tcW w:w="850" w:type="dxa"/>
            <w:vAlign w:val="center"/>
          </w:tcPr>
          <w:p w14:paraId="4F02E1A0">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计量</w:t>
            </w:r>
          </w:p>
          <w:p w14:paraId="3C968F64">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单位</w:t>
            </w:r>
          </w:p>
        </w:tc>
        <w:tc>
          <w:tcPr>
            <w:tcW w:w="851" w:type="dxa"/>
            <w:vAlign w:val="center"/>
          </w:tcPr>
          <w:p w14:paraId="7707C81D">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单价(元)</w:t>
            </w:r>
          </w:p>
        </w:tc>
        <w:tc>
          <w:tcPr>
            <w:tcW w:w="850" w:type="dxa"/>
            <w:vAlign w:val="center"/>
          </w:tcPr>
          <w:p w14:paraId="00950A1C">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eastAsia="zh-TW" w:bidi="zh-TW"/>
              </w:rPr>
              <w:t>小计</w:t>
            </w:r>
          </w:p>
        </w:tc>
        <w:tc>
          <w:tcPr>
            <w:tcW w:w="770" w:type="dxa"/>
            <w:vAlign w:val="center"/>
          </w:tcPr>
          <w:p w14:paraId="70B1742A">
            <w:pPr>
              <w:spacing w:line="320" w:lineRule="exact"/>
              <w:jc w:val="center"/>
              <w:rPr>
                <w:rFonts w:ascii="仿宋" w:hAnsi="仿宋" w:eastAsia="仿宋" w:cs="方正小标宋简体"/>
                <w:kern w:val="0"/>
                <w:sz w:val="28"/>
                <w:szCs w:val="28"/>
                <w:lang w:val="zh-TW" w:eastAsia="zh-TW" w:bidi="zh-TW"/>
              </w:rPr>
            </w:pPr>
            <w:r>
              <w:rPr>
                <w:rFonts w:hint="eastAsia" w:ascii="仿宋" w:hAnsi="仿宋" w:eastAsia="仿宋" w:cs="方正小标宋简体"/>
                <w:kern w:val="0"/>
                <w:sz w:val="28"/>
                <w:szCs w:val="28"/>
                <w:lang w:val="zh-TW" w:bidi="zh-TW"/>
              </w:rPr>
              <w:t>备注</w:t>
            </w:r>
          </w:p>
        </w:tc>
      </w:tr>
      <w:tr w14:paraId="3136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F325B5E">
            <w:pPr>
              <w:spacing w:line="320" w:lineRule="exact"/>
              <w:jc w:val="center"/>
              <w:rPr>
                <w:rFonts w:ascii="仿宋" w:hAnsi="仿宋" w:eastAsia="仿宋" w:cs="方正小标宋简体"/>
                <w:kern w:val="0"/>
                <w:szCs w:val="21"/>
                <w:lang w:val="zh-TW" w:bidi="zh-TW"/>
              </w:rPr>
            </w:pPr>
            <w:r>
              <w:rPr>
                <w:rFonts w:hint="eastAsia" w:ascii="仿宋" w:hAnsi="仿宋" w:eastAsia="仿宋" w:cs="方正小标宋简体"/>
                <w:kern w:val="0"/>
                <w:szCs w:val="21"/>
                <w:lang w:bidi="zh-TW"/>
              </w:rPr>
              <w:t>1</w:t>
            </w:r>
          </w:p>
        </w:tc>
        <w:tc>
          <w:tcPr>
            <w:tcW w:w="1040" w:type="dxa"/>
            <w:vAlign w:val="center"/>
          </w:tcPr>
          <w:p w14:paraId="69E7EC41">
            <w:pPr>
              <w:spacing w:line="320" w:lineRule="exact"/>
              <w:jc w:val="left"/>
              <w:rPr>
                <w:rFonts w:ascii="仿宋" w:hAnsi="仿宋" w:eastAsia="PMingLiU" w:cs="方正小标宋简体"/>
                <w:kern w:val="0"/>
                <w:szCs w:val="21"/>
                <w:lang w:val="zh-TW" w:eastAsia="zh-TW" w:bidi="zh-TW"/>
              </w:rPr>
            </w:pPr>
          </w:p>
          <w:p w14:paraId="015F61EB">
            <w:pPr>
              <w:spacing w:line="320" w:lineRule="exact"/>
              <w:jc w:val="left"/>
              <w:rPr>
                <w:rFonts w:ascii="仿宋" w:hAnsi="仿宋" w:eastAsia="PMingLiU" w:cs="方正小标宋简体"/>
                <w:kern w:val="0"/>
                <w:szCs w:val="21"/>
                <w:lang w:val="zh-TW" w:eastAsia="zh-TW" w:bidi="zh-TW"/>
              </w:rPr>
            </w:pPr>
          </w:p>
          <w:p w14:paraId="74EB8BD9">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全彩色舞台LED显示系统</w:t>
            </w:r>
          </w:p>
          <w:p w14:paraId="26BB4512">
            <w:pPr>
              <w:spacing w:line="320" w:lineRule="exact"/>
              <w:jc w:val="left"/>
              <w:rPr>
                <w:rFonts w:ascii="仿宋" w:hAnsi="仿宋" w:eastAsia="仿宋" w:cs="方正小标宋简体"/>
                <w:kern w:val="0"/>
                <w:szCs w:val="21"/>
                <w:lang w:val="zh-TW" w:eastAsia="zh-TW" w:bidi="zh-TW"/>
              </w:rPr>
            </w:pPr>
          </w:p>
        </w:tc>
        <w:tc>
          <w:tcPr>
            <w:tcW w:w="1701" w:type="dxa"/>
            <w:gridSpan w:val="2"/>
            <w:vAlign w:val="center"/>
          </w:tcPr>
          <w:p w14:paraId="644706A0">
            <w:pPr>
              <w:spacing w:line="320" w:lineRule="exact"/>
              <w:jc w:val="left"/>
              <w:rPr>
                <w:rFonts w:ascii="仿宋" w:hAnsi="仿宋" w:eastAsia="仿宋" w:cs="方正小标宋简体"/>
                <w:kern w:val="0"/>
                <w:szCs w:val="21"/>
                <w:lang w:bidi="zh-TW"/>
              </w:rPr>
            </w:pPr>
            <w:r>
              <w:rPr>
                <w:rFonts w:hint="eastAsia" w:ascii="仿宋" w:hAnsi="仿宋" w:eastAsia="仿宋" w:cs="方正小标宋简体"/>
                <w:kern w:val="0"/>
                <w:szCs w:val="21"/>
                <w:lang w:val="zh-TW" w:eastAsia="zh-TW" w:bidi="zh-TW"/>
              </w:rPr>
              <w:t>雷曼</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bidi="zh-TW"/>
              </w:rPr>
              <w:t>利亚德、洲明等同档次及以上品牌</w:t>
            </w:r>
          </w:p>
        </w:tc>
        <w:tc>
          <w:tcPr>
            <w:tcW w:w="6379" w:type="dxa"/>
            <w:vAlign w:val="center"/>
          </w:tcPr>
          <w:p w14:paraId="5134A513">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本项货物整套设备组件包含室内全彩LED屏、视频处理器、发送卡、屏体框架等组成部件，需现场包工包料进行安装与调试，具体组件技术参数要求如下：</w:t>
            </w:r>
          </w:p>
          <w:p w14:paraId="1580621C">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b/>
                <w:bCs/>
                <w:kern w:val="0"/>
                <w:szCs w:val="21"/>
                <w:lang w:val="zh-TW" w:eastAsia="zh-TW" w:bidi="zh-TW"/>
              </w:rPr>
              <w:t>一、LED显示模组</w:t>
            </w:r>
            <w:r>
              <w:rPr>
                <w:rFonts w:hint="eastAsia" w:ascii="仿宋" w:hAnsi="仿宋" w:eastAsia="仿宋" w:cs="方正小标宋简体"/>
                <w:kern w:val="0"/>
                <w:szCs w:val="21"/>
                <w:lang w:val="zh-TW" w:eastAsia="zh-TW" w:bidi="zh-TW"/>
              </w:rPr>
              <w:t xml:space="preserve">                                                                            </w:t>
            </w:r>
          </w:p>
          <w:p w14:paraId="79409107">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1.显示屏面积≥49.254㎡，其中，长≥11.84m ，高≥4.16m；</w:t>
            </w:r>
          </w:p>
          <w:p w14:paraId="3D08B6F9">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2.点间距≤2.5mm，像素密度≥160000点/㎡；</w:t>
            </w:r>
          </w:p>
          <w:p w14:paraId="12604AFF">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3.封装方式：采用SMD三合一封装工艺，三合一表面贴装LED管芯的方式；</w:t>
            </w:r>
          </w:p>
          <w:p w14:paraId="1329D8A1">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4.发光点中心距偏差≤1%，反光率≤1%；</w:t>
            </w:r>
          </w:p>
          <w:p w14:paraId="4768509C">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5.色度均匀性±0.001 Cx,Cy之内，色域≥120%NTSC,且可知在不同色域标准转换；</w:t>
            </w:r>
          </w:p>
          <w:p w14:paraId="07E94C63">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6.失控率：1/1000000；</w:t>
            </w:r>
          </w:p>
          <w:p w14:paraId="1C243208">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7.刷新率：≥3840Hz；</w:t>
            </w:r>
          </w:p>
          <w:p w14:paraId="33A01BFF">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8.亮度：显示单元亮度≥600nits,亮度调节0～100%极可调；</w:t>
            </w:r>
          </w:p>
          <w:p w14:paraId="64C0C0C3">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9.对比度：10000:1；动态对比度：≥2000000:1；</w:t>
            </w:r>
          </w:p>
          <w:p w14:paraId="761025E3">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bidi="zh-TW"/>
              </w:rPr>
              <w:t>10.</w:t>
            </w:r>
            <w:r>
              <w:rPr>
                <w:rFonts w:hint="eastAsia" w:ascii="仿宋" w:hAnsi="仿宋" w:eastAsia="仿宋" w:cs="方正小标宋简体"/>
                <w:kern w:val="0"/>
                <w:szCs w:val="21"/>
                <w:lang w:val="zh-TW" w:eastAsia="zh-TW" w:bidi="zh-TW"/>
              </w:rPr>
              <w:t>响应国家节能减排环境保护的相关政策，所投LED显示屏制造商自我环境声明符合GB/T24021—2001idt ISO14021:1999《环境管理环境标志与声明自我环境声明（II型环境标志）》的要求，LED显示屏（全彩）产品符合欧盟RoHS指令2011/65/EU附录II的修正指令(EU)2015/863的限值要求</w:t>
            </w:r>
            <w:r>
              <w:rPr>
                <w:rFonts w:hint="eastAsia" w:ascii="仿宋" w:hAnsi="仿宋" w:eastAsia="仿宋" w:cs="方正小标宋简体"/>
                <w:kern w:val="0"/>
                <w:szCs w:val="21"/>
                <w:highlight w:val="none"/>
                <w:lang w:val="zh-TW" w:eastAsia="zh-TW" w:bidi="zh-TW"/>
              </w:rPr>
              <w:t>（</w:t>
            </w:r>
            <w:r>
              <w:rPr>
                <w:rFonts w:hint="eastAsia" w:ascii="仿宋" w:hAnsi="仿宋" w:eastAsia="仿宋" w:cs="方正小标宋简体"/>
                <w:b/>
                <w:bCs/>
                <w:kern w:val="0"/>
                <w:szCs w:val="21"/>
                <w:highlight w:val="none"/>
                <w:lang w:bidi="zh-TW"/>
              </w:rPr>
              <w:t>竞标</w:t>
            </w:r>
            <w:r>
              <w:rPr>
                <w:rFonts w:hint="eastAsia" w:ascii="仿宋" w:hAnsi="仿宋" w:eastAsia="仿宋" w:cs="方正小标宋简体"/>
                <w:b/>
                <w:bCs/>
                <w:kern w:val="0"/>
                <w:szCs w:val="21"/>
                <w:highlight w:val="none"/>
                <w:lang w:val="zh-TW" w:eastAsia="zh-TW" w:bidi="zh-TW"/>
              </w:rPr>
              <w:t>时，供应商提供产品符合该项要求的承诺函，并加盖供应商的单位公章</w:t>
            </w:r>
            <w:r>
              <w:rPr>
                <w:rFonts w:hint="eastAsia" w:ascii="仿宋" w:hAnsi="仿宋" w:eastAsia="仿宋" w:cs="方正小标宋简体"/>
                <w:b/>
                <w:bCs/>
                <w:kern w:val="0"/>
                <w:szCs w:val="21"/>
                <w:lang w:val="zh-TW" w:eastAsia="zh-TW" w:bidi="zh-TW"/>
              </w:rPr>
              <w:t>。</w:t>
            </w:r>
            <w:r>
              <w:rPr>
                <w:rFonts w:hint="eastAsia" w:ascii="仿宋" w:hAnsi="仿宋" w:eastAsia="仿宋" w:cs="方正小标宋简体"/>
                <w:b/>
                <w:bCs/>
                <w:kern w:val="0"/>
                <w:szCs w:val="21"/>
                <w:lang w:val="zh-TW" w:bidi="zh-TW"/>
              </w:rPr>
              <w:t>合同签订后</w:t>
            </w:r>
            <w:r>
              <w:rPr>
                <w:rFonts w:ascii="仿宋" w:hAnsi="仿宋" w:eastAsia="PMingLiU" w:cs="方正小标宋简体"/>
                <w:b/>
                <w:bCs/>
                <w:kern w:val="0"/>
                <w:szCs w:val="21"/>
                <w:lang w:val="zh-TW" w:eastAsia="zh-TW" w:bidi="zh-TW"/>
              </w:rPr>
              <w:t>3个工作日内</w:t>
            </w:r>
            <w:r>
              <w:rPr>
                <w:rFonts w:hint="eastAsia" w:ascii="仿宋" w:hAnsi="仿宋" w:eastAsia="仿宋" w:cs="方正小标宋简体"/>
                <w:b/>
                <w:bCs/>
                <w:kern w:val="0"/>
                <w:szCs w:val="21"/>
                <w:lang w:val="zh-TW" w:eastAsia="zh-TW" w:bidi="zh-TW"/>
              </w:rPr>
              <w:t>，</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需提供中国环境标志(II型)产品认证证书，并加盖LED显示屏制造商公章</w:t>
            </w:r>
            <w:r>
              <w:rPr>
                <w:rFonts w:hint="eastAsia" w:ascii="仿宋" w:hAnsi="仿宋" w:eastAsia="仿宋" w:cs="方正小标宋简体"/>
                <w:kern w:val="0"/>
                <w:szCs w:val="21"/>
                <w:highlight w:val="none"/>
                <w:lang w:val="zh-TW" w:eastAsia="zh-TW" w:bidi="zh-TW"/>
              </w:rPr>
              <w:t>）</w:t>
            </w:r>
          </w:p>
          <w:p w14:paraId="0C2073FD">
            <w:pPr>
              <w:spacing w:line="320" w:lineRule="exact"/>
              <w:jc w:val="left"/>
              <w:rPr>
                <w:rFonts w:ascii="仿宋" w:hAnsi="仿宋" w:eastAsia="仿宋" w:cs="方正小标宋简体"/>
                <w:kern w:val="0"/>
                <w:szCs w:val="21"/>
                <w:highlight w:val="none"/>
                <w:lang w:val="zh-TW" w:eastAsia="zh-TW" w:bidi="zh-TW"/>
              </w:rPr>
            </w:pPr>
            <w:r>
              <w:rPr>
                <w:rFonts w:hint="eastAsia" w:ascii="仿宋" w:hAnsi="仿宋" w:eastAsia="仿宋" w:cs="方正小标宋简体"/>
                <w:kern w:val="0"/>
                <w:szCs w:val="21"/>
                <w:lang w:bidi="zh-TW"/>
              </w:rPr>
              <w:t>11.</w:t>
            </w:r>
            <w:r>
              <w:rPr>
                <w:rFonts w:hint="eastAsia" w:ascii="仿宋" w:hAnsi="仿宋" w:eastAsia="仿宋" w:cs="方正小标宋简体"/>
                <w:kern w:val="0"/>
                <w:szCs w:val="21"/>
                <w:lang w:val="zh-TW" w:eastAsia="zh-TW" w:bidi="zh-TW"/>
              </w:rPr>
              <w:t>投标产品LED封装结构及工艺为LED显示屏制造商自主研发</w:t>
            </w:r>
            <w:r>
              <w:rPr>
                <w:rFonts w:hint="eastAsia" w:ascii="仿宋" w:hAnsi="仿宋" w:eastAsia="仿宋" w:cs="方正小标宋简体"/>
                <w:kern w:val="0"/>
                <w:szCs w:val="21"/>
                <w:highlight w:val="none"/>
                <w:lang w:val="zh-TW" w:eastAsia="zh-TW"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需提供相关证明文件，并加盖LED显示屏制造商公章</w:t>
            </w:r>
            <w:r>
              <w:rPr>
                <w:rFonts w:hint="eastAsia" w:ascii="仿宋" w:hAnsi="仿宋" w:eastAsia="仿宋" w:cs="方正小标宋简体"/>
                <w:kern w:val="0"/>
                <w:szCs w:val="21"/>
                <w:highlight w:val="none"/>
                <w:lang w:val="zh-TW" w:eastAsia="zh-TW" w:bidi="zh-TW"/>
              </w:rPr>
              <w:t>）；</w:t>
            </w:r>
          </w:p>
          <w:p w14:paraId="7FFE8A68">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bidi="zh-TW"/>
              </w:rPr>
              <w:t>12.</w:t>
            </w:r>
            <w:r>
              <w:rPr>
                <w:rFonts w:hint="eastAsia" w:ascii="仿宋" w:hAnsi="仿宋" w:eastAsia="仿宋" w:cs="方正小标宋简体"/>
                <w:kern w:val="0"/>
                <w:szCs w:val="21"/>
                <w:lang w:val="zh-TW" w:eastAsia="zh-TW" w:bidi="zh-TW"/>
              </w:rPr>
              <w:t>LED显示屏采用完全</w:t>
            </w:r>
            <w:r>
              <w:rPr>
                <w:rFonts w:hint="eastAsia" w:ascii="仿宋" w:hAnsi="仿宋" w:eastAsia="仿宋" w:cs="方正小标宋简体"/>
                <w:kern w:val="0"/>
                <w:szCs w:val="21"/>
                <w:lang w:bidi="zh-TW"/>
              </w:rPr>
              <w:t>国产</w:t>
            </w:r>
            <w:r>
              <w:rPr>
                <w:rFonts w:hint="eastAsia" w:ascii="仿宋" w:hAnsi="仿宋" w:eastAsia="仿宋" w:cs="方正小标宋简体"/>
                <w:kern w:val="0"/>
                <w:szCs w:val="21"/>
                <w:lang w:val="zh-TW" w:eastAsia="zh-TW" w:bidi="zh-TW"/>
              </w:rPr>
              <w:t>自主PCB板、LED封装结构、显示模组和显示屏技术</w:t>
            </w:r>
            <w:r>
              <w:rPr>
                <w:rFonts w:hint="eastAsia" w:ascii="仿宋" w:hAnsi="仿宋" w:eastAsia="仿宋" w:cs="方正小标宋简体"/>
                <w:kern w:val="0"/>
                <w:szCs w:val="21"/>
                <w:highlight w:val="none"/>
                <w:lang w:val="zh-TW" w:eastAsia="zh-TW"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需提供相关证明文件，并加盖LED显示屏制造商公章</w:t>
            </w:r>
            <w:r>
              <w:rPr>
                <w:rFonts w:hint="eastAsia" w:ascii="仿宋" w:hAnsi="仿宋" w:eastAsia="仿宋" w:cs="方正小标宋简体"/>
                <w:kern w:val="0"/>
                <w:szCs w:val="21"/>
                <w:highlight w:val="none"/>
                <w:lang w:val="zh-TW" w:eastAsia="zh-TW" w:bidi="zh-TW"/>
              </w:rPr>
              <w:t>）</w:t>
            </w:r>
            <w:r>
              <w:rPr>
                <w:rFonts w:hint="eastAsia" w:ascii="仿宋" w:hAnsi="仿宋" w:eastAsia="仿宋" w:cs="方正小标宋简体"/>
                <w:kern w:val="0"/>
                <w:szCs w:val="21"/>
                <w:lang w:val="zh-TW" w:eastAsia="zh-TW" w:bidi="zh-TW"/>
              </w:rPr>
              <w:t xml:space="preserve">；   </w:t>
            </w:r>
          </w:p>
          <w:p w14:paraId="1F23586D">
            <w:pPr>
              <w:spacing w:line="320" w:lineRule="exact"/>
              <w:jc w:val="left"/>
              <w:rPr>
                <w:rFonts w:ascii="仿宋" w:hAnsi="仿宋" w:eastAsia="仿宋" w:cs="方正小标宋简体"/>
                <w:kern w:val="0"/>
                <w:szCs w:val="21"/>
                <w:lang w:bidi="zh-TW"/>
              </w:rPr>
            </w:pPr>
            <w:r>
              <w:rPr>
                <w:rFonts w:hint="eastAsia" w:ascii="仿宋" w:hAnsi="仿宋" w:eastAsia="仿宋" w:cs="方正小标宋简体"/>
                <w:kern w:val="0"/>
                <w:szCs w:val="21"/>
                <w:lang w:bidi="zh-TW"/>
              </w:rPr>
              <w:t>13.需为项目产品和项目实施等方面提供更高的保障，所投显示屏产品制造商已购买产品责任险（每次事故责任限额不小于1500万元）、商业综合责任保险（每次事故责任限额不小于1500万）、公众责任险（每次事故责任限额不小于1000万元）、财产一切险（总保险金额不小于100万）、雇主责任险（每次事故责任限额不小于900万）(</w:t>
            </w:r>
            <w:r>
              <w:rPr>
                <w:rFonts w:hint="eastAsia" w:ascii="仿宋" w:hAnsi="仿宋" w:eastAsia="仿宋" w:cs="方正小标宋简体"/>
                <w:b/>
                <w:bCs/>
                <w:kern w:val="0"/>
                <w:szCs w:val="21"/>
                <w:highlight w:val="none"/>
                <w:lang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w:t>
            </w:r>
            <w:r>
              <w:rPr>
                <w:rFonts w:hint="eastAsia" w:ascii="仿宋" w:hAnsi="仿宋" w:eastAsia="仿宋" w:cs="方正小标宋简体"/>
                <w:b/>
                <w:bCs/>
                <w:kern w:val="0"/>
                <w:szCs w:val="21"/>
                <w:highlight w:val="none"/>
                <w:lang w:bidi="zh-TW"/>
              </w:rPr>
              <w:t>以上5项保单</w:t>
            </w:r>
            <w:r>
              <w:rPr>
                <w:rFonts w:hint="eastAsia" w:ascii="仿宋" w:hAnsi="仿宋" w:eastAsia="仿宋" w:cs="方正小标宋简体"/>
                <w:b/>
                <w:bCs/>
                <w:kern w:val="0"/>
                <w:szCs w:val="21"/>
                <w:highlight w:val="none"/>
                <w:lang w:eastAsia="zh-CN" w:bidi="zh-TW"/>
              </w:rPr>
              <w:t>，</w:t>
            </w:r>
            <w:r>
              <w:rPr>
                <w:rFonts w:hint="eastAsia" w:ascii="仿宋" w:hAnsi="仿宋" w:eastAsia="仿宋" w:cs="方正小标宋简体"/>
                <w:b/>
                <w:bCs/>
                <w:kern w:val="0"/>
                <w:szCs w:val="21"/>
                <w:highlight w:val="none"/>
                <w:lang w:bidi="zh-TW"/>
              </w:rPr>
              <w:t>并加盖显示屏制造商公章</w:t>
            </w:r>
            <w:r>
              <w:rPr>
                <w:rFonts w:hint="eastAsia" w:ascii="仿宋" w:hAnsi="仿宋" w:eastAsia="仿宋" w:cs="方正小标宋简体"/>
                <w:kern w:val="0"/>
                <w:szCs w:val="21"/>
                <w:lang w:bidi="zh-TW"/>
              </w:rPr>
              <w:t>);</w:t>
            </w:r>
          </w:p>
          <w:p w14:paraId="1E846AE8">
            <w:pPr>
              <w:spacing w:line="320" w:lineRule="exact"/>
              <w:jc w:val="left"/>
              <w:rPr>
                <w:rFonts w:ascii="仿宋" w:hAnsi="仿宋" w:eastAsia="PMingLiU" w:cs="方正小标宋简体"/>
                <w:kern w:val="0"/>
                <w:szCs w:val="21"/>
                <w:lang w:val="zh-TW" w:eastAsia="zh-TW" w:bidi="zh-TW"/>
              </w:rPr>
            </w:pPr>
            <w:r>
              <w:rPr>
                <w:rFonts w:hint="eastAsia" w:ascii="仿宋" w:hAnsi="仿宋" w:eastAsia="仿宋" w:cs="方正小标宋简体"/>
                <w:kern w:val="0"/>
                <w:szCs w:val="21"/>
                <w:lang w:bidi="zh-TW"/>
              </w:rPr>
              <w:t>14.供应商或者报价产品LED生产商取得IECQ证书有害物质过程管理认证证书、GB/T27922-2011《商品售后服务评价体系》五星级认证证书；GB/T 23001-2017两化融合管理体系评定证书，ISO 50001能源管理体系认证证书、GJB9001C武器装备质量管理体系认证证书;</w:t>
            </w:r>
            <w:r>
              <w:rPr>
                <w:rFonts w:hint="eastAsia" w:ascii="仿宋" w:hAnsi="仿宋" w:eastAsia="仿宋" w:cs="方正小标宋简体"/>
                <w:kern w:val="0"/>
                <w:szCs w:val="21"/>
                <w:lang w:val="zh-TW" w:eastAsia="zh-TW" w:bidi="zh-TW"/>
              </w:rPr>
              <w:t xml:space="preserve"> </w:t>
            </w:r>
          </w:p>
          <w:p w14:paraId="7259E0DF">
            <w:pPr>
              <w:spacing w:line="320" w:lineRule="exact"/>
              <w:jc w:val="left"/>
              <w:rPr>
                <w:rFonts w:ascii="仿宋" w:hAnsi="仿宋" w:eastAsia="仿宋" w:cs="方正小标宋简体"/>
                <w:kern w:val="0"/>
                <w:szCs w:val="21"/>
                <w:lang w:val="zh-TW" w:eastAsia="zh-TW" w:bidi="zh-TW"/>
              </w:rPr>
            </w:pPr>
            <w:r>
              <w:rPr>
                <w:rFonts w:hint="eastAsia" w:ascii="仿宋" w:hAnsi="仿宋" w:cs="方正小标宋简体"/>
                <w:kern w:val="0"/>
                <w:szCs w:val="21"/>
                <w:lang w:val="zh-TW" w:bidi="zh-TW"/>
              </w:rPr>
              <w:t>1</w:t>
            </w:r>
            <w:r>
              <w:rPr>
                <w:rFonts w:ascii="仿宋" w:hAnsi="仿宋" w:eastAsia="PMingLiU" w:cs="方正小标宋简体"/>
                <w:kern w:val="0"/>
                <w:szCs w:val="21"/>
                <w:lang w:val="zh-TW" w:eastAsia="zh-TW" w:bidi="zh-TW"/>
              </w:rPr>
              <w:t>5.</w:t>
            </w:r>
            <w:r>
              <w:rPr>
                <w:rFonts w:hint="eastAsia" w:ascii="仿宋" w:hAnsi="仿宋" w:eastAsia="仿宋" w:cs="方正小标宋简体"/>
                <w:kern w:val="0"/>
                <w:szCs w:val="21"/>
                <w:lang w:val="zh-TW" w:eastAsia="zh-TW" w:bidi="zh-TW"/>
              </w:rPr>
              <w:t xml:space="preserve"> 提供配套的接收卡，除提供</w:t>
            </w:r>
            <w:r>
              <w:rPr>
                <w:rFonts w:ascii="仿宋" w:hAnsi="仿宋" w:eastAsia="仿宋" w:cs="方正小标宋简体"/>
                <w:kern w:val="0"/>
                <w:szCs w:val="21"/>
                <w:lang w:val="zh-TW" w:eastAsia="zh-TW" w:bidi="zh-TW"/>
              </w:rPr>
              <w:t>49.254m2的LED模组外，还需要提供</w:t>
            </w:r>
            <w:r>
              <w:rPr>
                <w:rFonts w:hint="eastAsia" w:ascii="仿宋" w:hAnsi="仿宋" w:eastAsia="仿宋" w:cs="方正小标宋简体"/>
                <w:kern w:val="0"/>
                <w:szCs w:val="21"/>
                <w:lang w:val="zh-TW" w:eastAsia="zh-TW" w:bidi="zh-TW"/>
              </w:rPr>
              <w:t xml:space="preserve">同批次的LED备用模组20张。                                                                                    </w:t>
            </w:r>
            <w:r>
              <w:rPr>
                <w:rFonts w:hint="eastAsia" w:ascii="仿宋" w:hAnsi="仿宋" w:eastAsia="仿宋" w:cs="方正小标宋简体"/>
                <w:b/>
                <w:kern w:val="0"/>
                <w:szCs w:val="21"/>
                <w:lang w:val="zh-TW" w:eastAsia="zh-TW" w:bidi="zh-TW"/>
              </w:rPr>
              <w:t>二、视频处理器</w:t>
            </w:r>
            <w:r>
              <w:rPr>
                <w:rFonts w:hint="eastAsia" w:ascii="仿宋" w:hAnsi="仿宋" w:eastAsia="仿宋" w:cs="方正小标宋简体"/>
                <w:kern w:val="0"/>
                <w:szCs w:val="21"/>
                <w:lang w:val="zh-TW" w:eastAsia="zh-TW" w:bidi="zh-TW"/>
              </w:rPr>
              <w:t xml:space="preserve">                                                                           </w:t>
            </w:r>
          </w:p>
          <w:p w14:paraId="7D14ACF1">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1.3U机箱，标配一个电源；最大支持7张输入卡，最大尺寸4张输出卡。</w:t>
            </w:r>
          </w:p>
          <w:p w14:paraId="1D3B82FA">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2.输入卡1张，4×HDMI，单路支持1080P，可以设置HDMI1.3/HDMI1.4， HDMI1.4支持4K×1K</w:t>
            </w:r>
          </w:p>
          <w:p w14:paraId="57636489">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3.输出卡1张，4×HDMI输出，单路输出最宽2048，最高2048，单卡支持8图层</w:t>
            </w:r>
          </w:p>
          <w:p w14:paraId="09D86F5A">
            <w:pPr>
              <w:spacing w:line="320" w:lineRule="exact"/>
              <w:jc w:val="left"/>
              <w:rPr>
                <w:rFonts w:ascii="仿宋" w:hAnsi="仿宋" w:eastAsia="仿宋" w:cs="方正小标宋简体"/>
                <w:b/>
                <w:kern w:val="0"/>
                <w:szCs w:val="21"/>
                <w:lang w:bidi="zh-TW"/>
              </w:rPr>
            </w:pPr>
            <w:r>
              <w:rPr>
                <w:rFonts w:hint="eastAsia" w:ascii="仿宋" w:hAnsi="仿宋" w:eastAsia="仿宋" w:cs="方正小标宋简体"/>
                <w:b/>
                <w:kern w:val="0"/>
                <w:szCs w:val="21"/>
                <w:lang w:bidi="zh-TW"/>
              </w:rPr>
              <w:t>三</w:t>
            </w:r>
            <w:r>
              <w:rPr>
                <w:rFonts w:hint="eastAsia" w:ascii="仿宋" w:hAnsi="仿宋" w:eastAsia="仿宋" w:cs="方正小标宋简体"/>
                <w:b/>
                <w:kern w:val="0"/>
                <w:szCs w:val="21"/>
                <w:lang w:val="zh-TW" w:eastAsia="zh-TW" w:bidi="zh-TW"/>
              </w:rPr>
              <w:t>、</w:t>
            </w:r>
            <w:r>
              <w:rPr>
                <w:rFonts w:hint="eastAsia" w:ascii="仿宋" w:hAnsi="仿宋" w:eastAsia="仿宋" w:cs="方正小标宋简体"/>
                <w:b/>
                <w:kern w:val="0"/>
                <w:szCs w:val="21"/>
                <w:lang w:bidi="zh-TW"/>
              </w:rPr>
              <w:t>发送盒</w:t>
            </w:r>
          </w:p>
          <w:p w14:paraId="58FCB132">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1.发送盒支持自定义分辨率，最宽3840，最高3840；支持HDMI输入*1、DVI输入*1，支持上下左右及混合型任意拼接。</w:t>
            </w:r>
          </w:p>
          <w:p w14:paraId="2F362C8D">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2.支持高位阶视频源输入支持12bit/10bit/8bit ，视频源位深支持8bit/10bit/12bit。</w:t>
            </w:r>
          </w:p>
          <w:p w14:paraId="37448921">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3.输出接口不少于4路千兆网口.</w:t>
            </w:r>
          </w:p>
          <w:p w14:paraId="22E2EEE1">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4.发送盒支持DVI或HDMI高清信号传输内容加密协议，满足HDCP2.2协议标准，无外部视频源接入下，能完成生成多种测试模式，60</w:t>
            </w:r>
            <w:r>
              <w:rPr>
                <w:rFonts w:hint="eastAsia" w:ascii="仿宋" w:hAnsi="仿宋" w:eastAsia="仿宋" w:cs="方正小标宋简体"/>
                <w:kern w:val="0"/>
                <w:szCs w:val="21"/>
                <w:lang w:bidi="zh-TW"/>
              </w:rPr>
              <w:t>HZ</w:t>
            </w:r>
            <w:r>
              <w:rPr>
                <w:rFonts w:hint="eastAsia" w:ascii="仿宋" w:hAnsi="仿宋" w:eastAsia="仿宋" w:cs="方正小标宋简体"/>
                <w:kern w:val="0"/>
                <w:szCs w:val="21"/>
                <w:lang w:val="zh-TW" w:eastAsia="zh-TW" w:bidi="zh-TW"/>
              </w:rPr>
              <w:t>纯色、渐变色、竖条、横条、左右斜条、花点。</w:t>
            </w:r>
            <w:r>
              <w:rPr>
                <w:rFonts w:hint="eastAsia" w:ascii="仿宋" w:hAnsi="仿宋" w:eastAsia="仿宋" w:cs="方正小标宋简体"/>
                <w:kern w:val="0"/>
                <w:szCs w:val="21"/>
                <w:lang w:val="zh-TW" w:eastAsia="zh-CN"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需提供首页具有CMA、CNAS和ilac-MRA标识的检测报告证明，并加盖LED显示屏制造商公章</w:t>
            </w:r>
            <w:r>
              <w:rPr>
                <w:rFonts w:hint="eastAsia" w:ascii="仿宋" w:hAnsi="仿宋" w:eastAsia="仿宋" w:cs="方正小标宋简体"/>
                <w:kern w:val="0"/>
                <w:szCs w:val="21"/>
                <w:lang w:val="zh-TW" w:eastAsia="zh-CN" w:bidi="zh-TW"/>
              </w:rPr>
              <w:t>）</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val="zh-TW" w:eastAsia="zh-TW" w:bidi="zh-TW"/>
              </w:rPr>
              <w:t xml:space="preserve">  </w:t>
            </w:r>
          </w:p>
          <w:p w14:paraId="5DBA1180">
            <w:pPr>
              <w:widowControl/>
              <w:jc w:val="left"/>
              <w:rPr>
                <w:rFonts w:ascii="仿宋" w:hAnsi="仿宋" w:eastAsia="仿宋" w:cs="方正小标宋简体"/>
                <w:kern w:val="0"/>
                <w:szCs w:val="21"/>
                <w:highlight w:val="yellow"/>
                <w:lang w:val="zh-TW" w:eastAsia="zh-TW" w:bidi="zh-TW"/>
              </w:rPr>
            </w:pPr>
            <w:r>
              <w:rPr>
                <w:rFonts w:hint="eastAsia" w:ascii="仿宋" w:hAnsi="仿宋" w:eastAsia="仿宋" w:cs="方正小标宋简体"/>
                <w:kern w:val="0"/>
                <w:szCs w:val="21"/>
                <w:lang w:bidi="zh-TW"/>
              </w:rPr>
              <w:t>5.支持光电转换模式切换，可以远距离接收传输的光纤信号,采用 G4引擎，画面稳定无闪烁、无扫描线、图 像细腻、层次感好。</w:t>
            </w:r>
            <w:r>
              <w:rPr>
                <w:rFonts w:hint="eastAsia" w:ascii="仿宋" w:hAnsi="仿宋" w:eastAsia="仿宋" w:cs="方正小标宋简体"/>
                <w:kern w:val="0"/>
                <w:szCs w:val="21"/>
                <w:lang w:eastAsia="zh-CN"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需提供首页具有CMA、CNAS和ilac-MRA标识的检测报告证明，并加盖LED显示屏制造商公章</w:t>
            </w:r>
            <w:r>
              <w:rPr>
                <w:rFonts w:hint="eastAsia" w:ascii="仿宋" w:hAnsi="仿宋" w:eastAsia="仿宋" w:cs="方正小标宋简体"/>
                <w:kern w:val="0"/>
                <w:szCs w:val="21"/>
                <w:lang w:eastAsia="zh-CN" w:bidi="zh-TW"/>
              </w:rPr>
              <w:t>）</w:t>
            </w:r>
            <w:r>
              <w:rPr>
                <w:rFonts w:hint="eastAsia" w:ascii="仿宋" w:hAnsi="仿宋" w:eastAsia="仿宋" w:cs="方正小标宋简体"/>
                <w:kern w:val="0"/>
                <w:szCs w:val="21"/>
                <w:highlight w:val="yellow"/>
                <w:lang w:val="zh-TW" w:bidi="zh-TW"/>
              </w:rPr>
              <w:t>；</w:t>
            </w:r>
            <w:r>
              <w:rPr>
                <w:rFonts w:hint="eastAsia" w:ascii="仿宋" w:hAnsi="仿宋" w:eastAsia="仿宋" w:cs="方正小标宋简体"/>
                <w:kern w:val="0"/>
                <w:szCs w:val="21"/>
                <w:highlight w:val="yellow"/>
                <w:lang w:val="zh-TW" w:eastAsia="zh-TW" w:bidi="zh-TW"/>
              </w:rPr>
              <w:t xml:space="preserve">  </w:t>
            </w:r>
          </w:p>
          <w:p w14:paraId="0F1C7A2E">
            <w:pPr>
              <w:widowControl/>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bidi="zh-TW"/>
              </w:rPr>
              <w:t>6.为确保项目整体兼容性和稳定性，发送盒需与LED显示屏必须为同一品牌，并提供CCC认证证书。</w:t>
            </w:r>
            <w:r>
              <w:rPr>
                <w:rFonts w:hint="eastAsia" w:ascii="仿宋" w:hAnsi="仿宋" w:eastAsia="仿宋" w:cs="方正小标宋简体"/>
                <w:kern w:val="0"/>
                <w:szCs w:val="21"/>
                <w:lang w:val="zh-TW" w:eastAsia="zh-TW" w:bidi="zh-TW"/>
              </w:rPr>
              <w:t xml:space="preserve">                                                                              </w:t>
            </w:r>
          </w:p>
          <w:p w14:paraId="5287E384">
            <w:pPr>
              <w:spacing w:line="320" w:lineRule="exact"/>
              <w:jc w:val="left"/>
              <w:rPr>
                <w:rFonts w:ascii="仿宋" w:hAnsi="仿宋" w:eastAsia="仿宋" w:cs="方正小标宋简体"/>
                <w:b/>
                <w:kern w:val="0"/>
                <w:szCs w:val="21"/>
                <w:lang w:val="zh-TW" w:eastAsia="zh-TW" w:bidi="zh-TW"/>
              </w:rPr>
            </w:pPr>
            <w:r>
              <w:rPr>
                <w:rFonts w:hint="eastAsia" w:ascii="仿宋" w:hAnsi="仿宋" w:eastAsia="仿宋" w:cs="方正小标宋简体"/>
                <w:b/>
                <w:kern w:val="0"/>
                <w:szCs w:val="21"/>
                <w:lang w:bidi="zh-TW"/>
              </w:rPr>
              <w:t>四</w:t>
            </w:r>
            <w:r>
              <w:rPr>
                <w:rFonts w:hint="eastAsia" w:ascii="仿宋" w:hAnsi="仿宋" w:eastAsia="仿宋" w:cs="方正小标宋简体"/>
                <w:b/>
                <w:kern w:val="0"/>
                <w:szCs w:val="21"/>
                <w:lang w:val="zh-TW" w:eastAsia="zh-TW" w:bidi="zh-TW"/>
              </w:rPr>
              <w:t xml:space="preserve">、配电柜                                                                             </w:t>
            </w:r>
          </w:p>
          <w:p w14:paraId="4230309F">
            <w:pPr>
              <w:spacing w:line="320" w:lineRule="exact"/>
              <w:jc w:val="left"/>
              <w:rPr>
                <w:rFonts w:ascii="仿宋" w:hAnsi="仿宋" w:eastAsia="仿宋" w:cs="方正小标宋简体"/>
                <w:kern w:val="0"/>
                <w:szCs w:val="21"/>
                <w:highlight w:val="yellow"/>
                <w:lang w:val="zh-TW" w:eastAsia="zh-TW" w:bidi="zh-TW"/>
              </w:rPr>
            </w:pPr>
            <w:r>
              <w:rPr>
                <w:rFonts w:hint="eastAsia" w:ascii="仿宋" w:hAnsi="仿宋" w:eastAsia="仿宋" w:cs="方正小标宋简体"/>
                <w:kern w:val="0"/>
                <w:szCs w:val="21"/>
                <w:lang w:val="zh-TW" w:eastAsia="zh-TW" w:bidi="zh-TW"/>
              </w:rPr>
              <w:t>1.配电柜功率50KW；具备LED显示屏控制软件显示配电系统PLC智能远程控制软件计算机软件著作权登记证书</w:t>
            </w:r>
            <w:r>
              <w:rPr>
                <w:rFonts w:hint="eastAsia" w:ascii="仿宋" w:hAnsi="仿宋" w:eastAsia="仿宋" w:cs="方正小标宋简体"/>
                <w:kern w:val="0"/>
                <w:szCs w:val="21"/>
                <w:lang w:val="zh-TW" w:eastAsia="zh-CN"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需提供证明，并加盖LED显示屏制造商公章</w:t>
            </w:r>
            <w:r>
              <w:rPr>
                <w:rFonts w:hint="eastAsia" w:ascii="仿宋" w:hAnsi="仿宋" w:eastAsia="仿宋" w:cs="方正小标宋简体"/>
                <w:kern w:val="0"/>
                <w:szCs w:val="21"/>
                <w:lang w:val="zh-TW" w:eastAsia="zh-CN" w:bidi="zh-TW"/>
              </w:rPr>
              <w:t>）</w:t>
            </w:r>
            <w:r>
              <w:rPr>
                <w:rFonts w:hint="eastAsia" w:ascii="仿宋" w:hAnsi="仿宋" w:eastAsia="仿宋" w:cs="方正小标宋简体"/>
                <w:kern w:val="0"/>
                <w:szCs w:val="21"/>
                <w:highlight w:val="yellow"/>
                <w:lang w:val="zh-TW" w:eastAsia="zh-TW" w:bidi="zh-TW"/>
              </w:rPr>
              <w:t>；</w:t>
            </w:r>
          </w:p>
          <w:p w14:paraId="654494DA">
            <w:pPr>
              <w:numPr>
                <w:ilvl w:val="0"/>
                <w:numId w:val="2"/>
              </w:num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高集成度：集保护、控制、监视、通信等多种功能于一体，元器件布局整齐，走线规范，便于使用和维护；</w:t>
            </w:r>
          </w:p>
          <w:p w14:paraId="2B746DDD">
            <w:pPr>
              <w:numPr>
                <w:ilvl w:val="0"/>
                <w:numId w:val="2"/>
              </w:num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电气间隙相与相之间：≥5.5mm</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val="zh-TW" w:eastAsia="zh-TW" w:bidi="zh-TW"/>
              </w:rPr>
              <w:t>带电部件与裸露导电部件之间：≥5.5mm</w:t>
            </w:r>
            <w:r>
              <w:rPr>
                <w:rFonts w:hint="eastAsia" w:ascii="仿宋" w:hAnsi="仿宋" w:eastAsia="仿宋" w:cs="方正小标宋简体"/>
                <w:kern w:val="0"/>
                <w:szCs w:val="21"/>
                <w:lang w:val="zh-TW" w:eastAsia="zh-CN"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需提供首页具有CMA、CNAS和ilac-MRA标识的检测报告证明，并加盖LED显示屏制造商公章</w:t>
            </w:r>
            <w:r>
              <w:rPr>
                <w:rFonts w:hint="eastAsia" w:ascii="仿宋" w:hAnsi="仿宋" w:eastAsia="仿宋" w:cs="方正小标宋简体"/>
                <w:kern w:val="0"/>
                <w:szCs w:val="21"/>
                <w:lang w:val="zh-TW" w:eastAsia="zh-CN" w:bidi="zh-TW"/>
              </w:rPr>
              <w:t>）</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val="zh-TW" w:eastAsia="zh-TW" w:bidi="zh-TW"/>
              </w:rPr>
              <w:t xml:space="preserve">   </w:t>
            </w:r>
          </w:p>
          <w:p w14:paraId="4DC60C4B">
            <w:pPr>
              <w:numPr>
                <w:ilvl w:val="0"/>
                <w:numId w:val="2"/>
              </w:num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bidi="zh-TW"/>
              </w:rPr>
              <w:t>为确保项目整体兼容性和稳定性，配电柜需与LED显示屏必须为同一品牌</w:t>
            </w:r>
            <w:r>
              <w:rPr>
                <w:rFonts w:hint="eastAsia" w:ascii="仿宋" w:hAnsi="仿宋" w:eastAsia="仿宋" w:cs="方正小标宋简体"/>
                <w:kern w:val="0"/>
                <w:szCs w:val="21"/>
                <w:lang w:val="zh-TW" w:eastAsia="zh-TW" w:bidi="zh-TW"/>
              </w:rPr>
              <w:t xml:space="preserve">                                 </w:t>
            </w:r>
          </w:p>
          <w:p w14:paraId="41D26C7E">
            <w:pPr>
              <w:spacing w:line="320" w:lineRule="exact"/>
              <w:jc w:val="left"/>
              <w:rPr>
                <w:rFonts w:ascii="仿宋" w:hAnsi="仿宋" w:eastAsia="仿宋" w:cs="方正小标宋简体"/>
                <w:b/>
                <w:kern w:val="0"/>
                <w:szCs w:val="21"/>
                <w:lang w:val="zh-TW" w:eastAsia="zh-TW" w:bidi="zh-TW"/>
              </w:rPr>
            </w:pPr>
            <w:r>
              <w:rPr>
                <w:rFonts w:hint="eastAsia" w:ascii="仿宋" w:hAnsi="仿宋" w:eastAsia="仿宋" w:cs="方正小标宋简体"/>
                <w:b/>
                <w:kern w:val="0"/>
                <w:szCs w:val="21"/>
                <w:lang w:bidi="zh-TW"/>
              </w:rPr>
              <w:t>五</w:t>
            </w:r>
            <w:r>
              <w:rPr>
                <w:rFonts w:hint="eastAsia" w:ascii="仿宋" w:hAnsi="仿宋" w:eastAsia="仿宋" w:cs="方正小标宋简体"/>
                <w:b/>
                <w:kern w:val="0"/>
                <w:szCs w:val="21"/>
                <w:lang w:val="zh-TW" w:eastAsia="zh-TW" w:bidi="zh-TW"/>
              </w:rPr>
              <w:t>、显示屏结构</w:t>
            </w:r>
            <w:r>
              <w:rPr>
                <w:rFonts w:hint="eastAsia" w:ascii="仿宋" w:hAnsi="仿宋" w:eastAsia="仿宋" w:cs="方正小标宋简体"/>
                <w:b/>
                <w:kern w:val="0"/>
                <w:szCs w:val="21"/>
                <w:lang w:val="zh-TW" w:bidi="zh-TW"/>
              </w:rPr>
              <w:t>框架</w:t>
            </w:r>
            <w:r>
              <w:rPr>
                <w:rFonts w:hint="eastAsia" w:ascii="仿宋" w:hAnsi="仿宋" w:eastAsia="仿宋" w:cs="方正小标宋简体"/>
                <w:b/>
                <w:kern w:val="0"/>
                <w:szCs w:val="21"/>
                <w:lang w:val="zh-TW" w:eastAsia="zh-TW" w:bidi="zh-TW"/>
              </w:rPr>
              <w:t xml:space="preserve">                                                         </w:t>
            </w:r>
          </w:p>
          <w:p w14:paraId="4098F00C">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1.挂墙安装方式，采用钢材料结构框架，四周</w:t>
            </w:r>
            <w:r>
              <w:rPr>
                <w:rFonts w:hint="eastAsia" w:ascii="仿宋" w:hAnsi="仿宋" w:eastAsia="仿宋" w:cs="方正小标宋简体"/>
                <w:kern w:val="0"/>
                <w:szCs w:val="21"/>
                <w:lang w:bidi="zh-TW"/>
              </w:rPr>
              <w:t>不锈钢</w:t>
            </w:r>
            <w:r>
              <w:rPr>
                <w:rFonts w:hint="eastAsia" w:ascii="仿宋" w:hAnsi="仿宋" w:eastAsia="仿宋" w:cs="方正小标宋简体"/>
                <w:kern w:val="0"/>
                <w:szCs w:val="21"/>
                <w:lang w:val="zh-TW" w:eastAsia="zh-TW" w:bidi="zh-TW"/>
              </w:rPr>
              <w:t>包边。</w:t>
            </w:r>
          </w:p>
          <w:p w14:paraId="463DC0C5">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2.镀锌钢管，型号包括：40*80*2.0、40*40*2.0、20*40*2.0、30*40*2.0、40*40*3.0、20*40*3.0、30*40*3.0、40*40*5.0、20*40*5.0、30*40*5.0符合中国ROHS GB/T26572-2011电子电气产品中限用物质的限量要求。</w:t>
            </w:r>
            <w:r>
              <w:rPr>
                <w:rFonts w:hint="eastAsia" w:ascii="仿宋" w:hAnsi="仿宋" w:eastAsia="仿宋" w:cs="方正小标宋简体"/>
                <w:kern w:val="0"/>
                <w:szCs w:val="21"/>
                <w:lang w:val="zh-TW" w:eastAsia="zh-CN" w:bidi="zh-TW"/>
              </w:rPr>
              <w:t>（</w:t>
            </w:r>
            <w:r>
              <w:rPr>
                <w:rFonts w:hint="eastAsia" w:ascii="仿宋" w:hAnsi="仿宋" w:eastAsia="仿宋" w:cs="方正小标宋简体"/>
                <w:b/>
                <w:bCs/>
                <w:kern w:val="0"/>
                <w:szCs w:val="21"/>
                <w:highlight w:val="none"/>
                <w:lang w:val="zh-TW" w:eastAsia="zh-TW"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val="zh-TW" w:eastAsia="zh-TW" w:bidi="zh-TW"/>
              </w:rPr>
              <w:t>需提供首页具有CMA、CNAS和ilac-MRA标识的检测报告证明，并加盖LED显示屏制造商公章</w:t>
            </w:r>
            <w:r>
              <w:rPr>
                <w:rFonts w:hint="eastAsia" w:ascii="仿宋" w:hAnsi="仿宋" w:eastAsia="仿宋" w:cs="方正小标宋简体"/>
                <w:kern w:val="0"/>
                <w:szCs w:val="21"/>
                <w:lang w:val="zh-TW" w:eastAsia="zh-CN" w:bidi="zh-TW"/>
              </w:rPr>
              <w:t>）</w:t>
            </w:r>
            <w:r>
              <w:rPr>
                <w:rFonts w:hint="eastAsia" w:ascii="仿宋" w:hAnsi="仿宋" w:eastAsia="仿宋" w:cs="方正小标宋简体"/>
                <w:kern w:val="0"/>
                <w:szCs w:val="21"/>
                <w:highlight w:val="yellow"/>
                <w:lang w:val="zh-TW" w:eastAsia="zh-TW" w:bidi="zh-TW"/>
              </w:rPr>
              <w:t>；</w:t>
            </w:r>
          </w:p>
          <w:p w14:paraId="2BA25912">
            <w:pPr>
              <w:spacing w:line="320" w:lineRule="exact"/>
              <w:jc w:val="left"/>
              <w:rPr>
                <w:rFonts w:ascii="仿宋" w:hAnsi="仿宋" w:eastAsia="仿宋" w:cs="方正小标宋简体"/>
                <w:kern w:val="0"/>
                <w:szCs w:val="21"/>
                <w:lang w:bidi="zh-TW"/>
              </w:rPr>
            </w:pPr>
            <w:r>
              <w:rPr>
                <w:rFonts w:hint="eastAsia" w:ascii="仿宋" w:hAnsi="仿宋" w:eastAsia="仿宋" w:cs="方正小标宋简体"/>
                <w:kern w:val="0"/>
                <w:szCs w:val="21"/>
                <w:lang w:bidi="zh-TW"/>
              </w:rPr>
              <w:t>3.结构检测结果：铅（Pb）含量不超5mg/kg，镉（Cd）含量不超5mg/kg，汞（Hg）含量不超5mg/kg，六价铬（Cr VI）非金属含量不超10mg/kg、金属呈阴性，多溴联苯、多溴二苯醚单类均不超5mg/kg，均未超限；</w:t>
            </w:r>
            <w:r>
              <w:rPr>
                <w:rFonts w:hint="eastAsia" w:ascii="仿宋" w:hAnsi="仿宋" w:eastAsia="仿宋" w:cs="方正小标宋简体"/>
                <w:kern w:val="0"/>
                <w:szCs w:val="21"/>
                <w:lang w:eastAsia="zh-CN" w:bidi="zh-TW"/>
              </w:rPr>
              <w:t>（</w:t>
            </w:r>
            <w:r>
              <w:rPr>
                <w:rFonts w:hint="eastAsia" w:ascii="仿宋" w:hAnsi="仿宋" w:eastAsia="仿宋" w:cs="方正小标宋简体"/>
                <w:b/>
                <w:bCs/>
                <w:kern w:val="0"/>
                <w:szCs w:val="21"/>
                <w:highlight w:val="none"/>
                <w:lang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bidi="zh-TW"/>
              </w:rPr>
              <w:t>需提供首页具有CMA、CNAS和ilac-MRA标识的检测报告证明，并加盖LED显示屏制造商公章</w:t>
            </w:r>
            <w:r>
              <w:rPr>
                <w:rFonts w:hint="eastAsia" w:ascii="仿宋" w:hAnsi="仿宋" w:eastAsia="仿宋" w:cs="方正小标宋简体"/>
                <w:kern w:val="0"/>
                <w:szCs w:val="21"/>
                <w:lang w:eastAsia="zh-CN" w:bidi="zh-TW"/>
              </w:rPr>
              <w:t>）</w:t>
            </w:r>
            <w:r>
              <w:rPr>
                <w:rFonts w:hint="eastAsia" w:ascii="仿宋" w:hAnsi="仿宋" w:eastAsia="仿宋" w:cs="方正小标宋简体"/>
                <w:kern w:val="0"/>
                <w:szCs w:val="21"/>
                <w:highlight w:val="red"/>
                <w:lang w:bidi="zh-TW"/>
              </w:rPr>
              <w:t>；</w:t>
            </w:r>
          </w:p>
          <w:p w14:paraId="0B319774">
            <w:pPr>
              <w:spacing w:line="320" w:lineRule="exact"/>
              <w:jc w:val="left"/>
              <w:rPr>
                <w:rFonts w:ascii="仿宋" w:hAnsi="仿宋" w:eastAsia="仿宋" w:cs="方正小标宋简体"/>
                <w:kern w:val="0"/>
                <w:szCs w:val="21"/>
                <w:lang w:bidi="zh-TW"/>
              </w:rPr>
            </w:pPr>
            <w:r>
              <w:rPr>
                <w:rFonts w:hint="eastAsia" w:ascii="仿宋" w:hAnsi="仿宋" w:eastAsia="仿宋" w:cs="方正小标宋简体"/>
                <w:kern w:val="0"/>
                <w:szCs w:val="21"/>
                <w:lang w:bidi="zh-TW"/>
              </w:rPr>
              <w:t>4、</w:t>
            </w:r>
            <w:r>
              <w:rPr>
                <w:rFonts w:hint="eastAsia" w:ascii="仿宋" w:hAnsi="仿宋" w:eastAsia="仿宋" w:cs="方正小标宋简体"/>
                <w:b/>
                <w:bCs/>
                <w:kern w:val="0"/>
                <w:szCs w:val="21"/>
                <w:highlight w:val="none"/>
                <w:lang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bidi="zh-TW"/>
              </w:rPr>
              <w:t>需提供三方检测机构出具的带RoHS标志的合格证书，页面需含二维码，扫描输入证书编号可在线查询证书有效性，加盖LED显示屏制造商公章</w:t>
            </w:r>
            <w:r>
              <w:rPr>
                <w:rFonts w:hint="eastAsia" w:ascii="仿宋" w:hAnsi="仿宋" w:eastAsia="仿宋" w:cs="方正小标宋简体"/>
                <w:kern w:val="0"/>
                <w:szCs w:val="21"/>
                <w:highlight w:val="none"/>
                <w:lang w:bidi="zh-TW"/>
              </w:rPr>
              <w:t>；</w:t>
            </w:r>
          </w:p>
          <w:p w14:paraId="56A001A4">
            <w:pPr>
              <w:spacing w:line="320" w:lineRule="exact"/>
              <w:jc w:val="left"/>
              <w:rPr>
                <w:rFonts w:ascii="仿宋" w:hAnsi="仿宋" w:eastAsia="仿宋" w:cs="方正小标宋简体"/>
                <w:kern w:val="0"/>
                <w:szCs w:val="21"/>
                <w:lang w:bidi="zh-TW"/>
              </w:rPr>
            </w:pPr>
            <w:r>
              <w:rPr>
                <w:rFonts w:hint="eastAsia" w:ascii="仿宋" w:hAnsi="仿宋" w:eastAsia="仿宋" w:cs="方正小标宋简体"/>
                <w:kern w:val="0"/>
                <w:szCs w:val="21"/>
                <w:lang w:bidi="zh-TW"/>
              </w:rPr>
              <w:t>5.中性盐雾测试，满足GB/T 2423.17-2008测试标准，测试后样品外观无明显腐蚀</w:t>
            </w:r>
            <w:r>
              <w:rPr>
                <w:rFonts w:hint="eastAsia" w:ascii="仿宋" w:hAnsi="仿宋" w:eastAsia="仿宋" w:cs="方正小标宋简体"/>
                <w:kern w:val="0"/>
                <w:szCs w:val="21"/>
                <w:lang w:eastAsia="zh-CN" w:bidi="zh-TW"/>
              </w:rPr>
              <w:t>（</w:t>
            </w:r>
            <w:r>
              <w:rPr>
                <w:rFonts w:hint="eastAsia" w:ascii="仿宋" w:hAnsi="仿宋" w:eastAsia="仿宋" w:cs="方正小标宋简体"/>
                <w:b/>
                <w:bCs/>
                <w:kern w:val="0"/>
                <w:szCs w:val="21"/>
                <w:highlight w:val="none"/>
                <w:lang w:bidi="zh-TW"/>
              </w:rPr>
              <w:t>竞标时，供应商提供产品符合该项要求的承诺函，并加盖供应商的单位公章。合同签订后3个工作日内，</w:t>
            </w:r>
            <w:r>
              <w:rPr>
                <w:rFonts w:hint="eastAsia" w:ascii="仿宋" w:hAnsi="仿宋" w:eastAsia="仿宋" w:cs="方正小标宋简体"/>
                <w:b/>
                <w:bCs/>
                <w:kern w:val="0"/>
                <w:szCs w:val="21"/>
                <w:highlight w:val="none"/>
                <w:lang w:val="en-US" w:eastAsia="zh-CN" w:bidi="zh-TW"/>
              </w:rPr>
              <w:t>成交供应商</w:t>
            </w:r>
            <w:r>
              <w:rPr>
                <w:rFonts w:hint="eastAsia" w:ascii="仿宋" w:hAnsi="仿宋" w:eastAsia="仿宋" w:cs="方正小标宋简体"/>
                <w:b/>
                <w:bCs/>
                <w:kern w:val="0"/>
                <w:szCs w:val="21"/>
                <w:highlight w:val="none"/>
                <w:lang w:bidi="zh-TW"/>
              </w:rPr>
              <w:t>需提供首页具有CMA、CNAS和ilac-MRA标识的检测报告证明，并加盖LED显示屏制造商公章</w:t>
            </w:r>
            <w:r>
              <w:rPr>
                <w:rFonts w:hint="eastAsia" w:ascii="仿宋" w:hAnsi="仿宋" w:eastAsia="仿宋" w:cs="方正小标宋简体"/>
                <w:kern w:val="0"/>
                <w:szCs w:val="21"/>
                <w:lang w:eastAsia="zh-CN" w:bidi="zh-TW"/>
              </w:rPr>
              <w:t>）</w:t>
            </w:r>
            <w:r>
              <w:rPr>
                <w:rFonts w:hint="eastAsia" w:ascii="仿宋" w:hAnsi="仿宋" w:eastAsia="仿宋" w:cs="方正小标宋简体"/>
                <w:b/>
                <w:bCs/>
                <w:kern w:val="0"/>
                <w:szCs w:val="21"/>
                <w:highlight w:val="none"/>
                <w:lang w:bidi="zh-TW"/>
              </w:rPr>
              <w:t>；</w:t>
            </w:r>
          </w:p>
        </w:tc>
        <w:tc>
          <w:tcPr>
            <w:tcW w:w="709" w:type="dxa"/>
            <w:vAlign w:val="center"/>
          </w:tcPr>
          <w:p w14:paraId="4A191930">
            <w:pPr>
              <w:spacing w:line="320" w:lineRule="exact"/>
              <w:jc w:val="center"/>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1</w:t>
            </w:r>
          </w:p>
        </w:tc>
        <w:tc>
          <w:tcPr>
            <w:tcW w:w="850" w:type="dxa"/>
            <w:vAlign w:val="center"/>
          </w:tcPr>
          <w:p w14:paraId="3FE81530">
            <w:pPr>
              <w:spacing w:line="320" w:lineRule="exact"/>
              <w:jc w:val="center"/>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套</w:t>
            </w:r>
          </w:p>
        </w:tc>
        <w:tc>
          <w:tcPr>
            <w:tcW w:w="851" w:type="dxa"/>
            <w:vAlign w:val="center"/>
          </w:tcPr>
          <w:p w14:paraId="4581A89B">
            <w:pPr>
              <w:spacing w:line="320" w:lineRule="exact"/>
              <w:jc w:val="center"/>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w:t>
            </w:r>
            <w:r>
              <w:rPr>
                <w:rFonts w:ascii="仿宋" w:hAnsi="仿宋" w:eastAsia="仿宋" w:cs="方正小标宋简体"/>
                <w:kern w:val="0"/>
                <w:szCs w:val="21"/>
                <w:lang w:val="zh-TW" w:eastAsia="zh-TW" w:bidi="zh-TW"/>
              </w:rPr>
              <w:t>72000</w:t>
            </w:r>
          </w:p>
        </w:tc>
        <w:tc>
          <w:tcPr>
            <w:tcW w:w="850" w:type="dxa"/>
            <w:vAlign w:val="center"/>
          </w:tcPr>
          <w:p w14:paraId="1A2E17CE">
            <w:pPr>
              <w:spacing w:line="320" w:lineRule="exact"/>
              <w:jc w:val="center"/>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2</w:t>
            </w:r>
            <w:r>
              <w:rPr>
                <w:rFonts w:ascii="仿宋" w:hAnsi="仿宋" w:eastAsia="仿宋" w:cs="方正小标宋简体"/>
                <w:kern w:val="0"/>
                <w:szCs w:val="21"/>
                <w:lang w:val="zh-TW" w:eastAsia="zh-TW" w:bidi="zh-TW"/>
              </w:rPr>
              <w:t>72000</w:t>
            </w:r>
          </w:p>
        </w:tc>
        <w:tc>
          <w:tcPr>
            <w:tcW w:w="770" w:type="dxa"/>
            <w:vAlign w:val="center"/>
          </w:tcPr>
          <w:p w14:paraId="7553F6F9">
            <w:pPr>
              <w:spacing w:line="320" w:lineRule="exact"/>
              <w:jc w:val="center"/>
              <w:rPr>
                <w:rFonts w:ascii="仿宋" w:hAnsi="仿宋" w:eastAsia="仿宋" w:cs="方正小标宋简体"/>
                <w:kern w:val="0"/>
                <w:szCs w:val="21"/>
                <w:lang w:val="zh-TW" w:bidi="zh-TW"/>
              </w:rPr>
            </w:pPr>
          </w:p>
        </w:tc>
      </w:tr>
      <w:tr w14:paraId="728E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B194CA9">
            <w:pPr>
              <w:spacing w:line="320" w:lineRule="exact"/>
              <w:jc w:val="center"/>
              <w:rPr>
                <w:rFonts w:ascii="仿宋" w:hAnsi="仿宋" w:eastAsia="仿宋" w:cs="方正小标宋简体"/>
                <w:kern w:val="0"/>
                <w:szCs w:val="21"/>
                <w:lang w:val="zh-TW" w:bidi="zh-TW"/>
              </w:rPr>
            </w:pPr>
            <w:r>
              <w:rPr>
                <w:rFonts w:hint="eastAsia" w:ascii="仿宋" w:hAnsi="仿宋" w:eastAsia="仿宋" w:cs="方正小标宋简体"/>
                <w:kern w:val="0"/>
                <w:szCs w:val="21"/>
                <w:lang w:val="zh-TW" w:bidi="zh-TW"/>
              </w:rPr>
              <w:t>2</w:t>
            </w:r>
          </w:p>
        </w:tc>
        <w:tc>
          <w:tcPr>
            <w:tcW w:w="1040" w:type="dxa"/>
            <w:vAlign w:val="center"/>
          </w:tcPr>
          <w:p w14:paraId="349EA831">
            <w:pPr>
              <w:spacing w:line="320" w:lineRule="exact"/>
              <w:jc w:val="center"/>
              <w:rPr>
                <w:rFonts w:ascii="仿宋" w:hAnsi="仿宋" w:eastAsia="仿宋" w:cs="方正小标宋简体"/>
                <w:kern w:val="0"/>
                <w:szCs w:val="21"/>
                <w:lang w:val="zh-TW" w:eastAsia="zh-TW" w:bidi="zh-TW"/>
              </w:rPr>
            </w:pPr>
            <w:r>
              <w:rPr>
                <w:rFonts w:hint="eastAsia" w:ascii="仿宋" w:hAnsi="仿宋" w:eastAsia="仿宋"/>
                <w:szCs w:val="21"/>
              </w:rPr>
              <w:t>单色LED显示系统</w:t>
            </w:r>
          </w:p>
        </w:tc>
        <w:tc>
          <w:tcPr>
            <w:tcW w:w="1701" w:type="dxa"/>
            <w:gridSpan w:val="2"/>
            <w:vAlign w:val="center"/>
          </w:tcPr>
          <w:p w14:paraId="39896F34">
            <w:pPr>
              <w:widowControl/>
              <w:jc w:val="center"/>
              <w:rPr>
                <w:rFonts w:ascii="仿宋" w:hAnsi="仿宋" w:eastAsia="仿宋"/>
                <w:szCs w:val="21"/>
              </w:rPr>
            </w:pPr>
            <w:r>
              <w:rPr>
                <w:rFonts w:hint="eastAsia" w:ascii="仿宋" w:hAnsi="仿宋" w:eastAsia="仿宋" w:cs="方正小标宋简体"/>
                <w:kern w:val="0"/>
                <w:szCs w:val="21"/>
                <w:lang w:val="zh-TW" w:eastAsia="zh-TW" w:bidi="zh-TW"/>
              </w:rPr>
              <w:t>维合丰</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val="zh-TW" w:eastAsia="zh-TW" w:bidi="zh-TW"/>
              </w:rPr>
              <w:t>雷曼</w:t>
            </w:r>
            <w:r>
              <w:rPr>
                <w:rFonts w:hint="eastAsia" w:ascii="仿宋" w:hAnsi="仿宋" w:eastAsia="仿宋" w:cs="方正小标宋简体"/>
                <w:kern w:val="0"/>
                <w:szCs w:val="21"/>
                <w:lang w:val="zh-TW" w:bidi="zh-TW"/>
              </w:rPr>
              <w:t>、</w:t>
            </w:r>
            <w:r>
              <w:rPr>
                <w:rFonts w:hint="eastAsia" w:ascii="仿宋" w:hAnsi="仿宋" w:eastAsia="仿宋" w:cs="方正小标宋简体"/>
                <w:kern w:val="0"/>
                <w:szCs w:val="21"/>
                <w:lang w:bidi="zh-TW"/>
              </w:rPr>
              <w:t>洲明等同档次及以上品牌</w:t>
            </w:r>
          </w:p>
        </w:tc>
        <w:tc>
          <w:tcPr>
            <w:tcW w:w="6379" w:type="dxa"/>
            <w:vAlign w:val="center"/>
          </w:tcPr>
          <w:p w14:paraId="204A21D6">
            <w:pPr>
              <w:spacing w:line="320" w:lineRule="exact"/>
              <w:jc w:val="left"/>
              <w:rPr>
                <w:rFonts w:ascii="仿宋" w:hAnsi="仿宋" w:eastAsia="PMingLiU" w:cs="方正小标宋简体"/>
                <w:kern w:val="0"/>
                <w:szCs w:val="21"/>
                <w:lang w:val="zh-TW" w:eastAsia="zh-TW" w:bidi="zh-TW"/>
              </w:rPr>
            </w:pPr>
            <w:r>
              <w:rPr>
                <w:rFonts w:hint="eastAsia" w:ascii="仿宋" w:hAnsi="仿宋" w:eastAsia="仿宋" w:cs="方正小标宋简体"/>
                <w:kern w:val="0"/>
                <w:szCs w:val="21"/>
                <w:lang w:val="zh-TW" w:eastAsia="zh-TW" w:bidi="zh-TW"/>
              </w:rPr>
              <w:t>本项货物整套设备组件包含室内全彩LED屏、</w:t>
            </w:r>
            <w:r>
              <w:rPr>
                <w:rFonts w:hint="eastAsia" w:ascii="仿宋" w:hAnsi="仿宋" w:eastAsia="仿宋" w:cs="方正小标宋简体"/>
                <w:kern w:val="0"/>
                <w:szCs w:val="21"/>
                <w:lang w:val="zh-TW" w:bidi="zh-TW"/>
              </w:rPr>
              <w:t>接收卡</w:t>
            </w:r>
            <w:r>
              <w:rPr>
                <w:rFonts w:hint="eastAsia" w:ascii="仿宋" w:hAnsi="仿宋" w:eastAsia="仿宋" w:cs="方正小标宋简体"/>
                <w:kern w:val="0"/>
                <w:szCs w:val="21"/>
                <w:lang w:val="zh-TW" w:eastAsia="zh-TW" w:bidi="zh-TW"/>
              </w:rPr>
              <w:t>、屏体框架等组成部件，需现场包工包料进行安装与调试，具体技术参数要求如下：</w:t>
            </w:r>
          </w:p>
          <w:p w14:paraId="687BE05A">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 xml:space="preserve">LED显示区域大小7.07平米 。尺寸：长15.50MX0.456M                                                             </w:t>
            </w:r>
          </w:p>
          <w:p w14:paraId="735ABAF4">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b/>
                <w:kern w:val="0"/>
                <w:szCs w:val="21"/>
                <w:lang w:val="zh-TW" w:eastAsia="zh-TW" w:bidi="zh-TW"/>
              </w:rPr>
              <w:t>一、显示模组</w:t>
            </w:r>
            <w:r>
              <w:rPr>
                <w:rFonts w:hint="eastAsia" w:ascii="仿宋" w:hAnsi="仿宋" w:eastAsia="仿宋" w:cs="方正小标宋简体"/>
                <w:kern w:val="0"/>
                <w:szCs w:val="21"/>
                <w:lang w:val="zh-TW" w:eastAsia="zh-TW" w:bidi="zh-TW"/>
              </w:rPr>
              <w:t xml:space="preserve">：                                                                 </w:t>
            </w:r>
          </w:p>
          <w:p w14:paraId="7AC30FCF">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 xml:space="preserve">1 单元板尺寸 304mm*152mm </w:t>
            </w:r>
          </w:p>
          <w:p w14:paraId="28426B11">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 xml:space="preserve">2 点间距离 4.75MM </w:t>
            </w:r>
          </w:p>
          <w:p w14:paraId="17123030">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3 单元板分辨率 64*32</w:t>
            </w:r>
          </w:p>
          <w:p w14:paraId="2FCF6014">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b/>
                <w:kern w:val="0"/>
                <w:szCs w:val="21"/>
                <w:lang w:val="zh-TW" w:eastAsia="zh-TW" w:bidi="zh-TW"/>
              </w:rPr>
              <w:t>二、接收卡</w:t>
            </w:r>
            <w:r>
              <w:rPr>
                <w:rFonts w:hint="eastAsia" w:ascii="仿宋" w:hAnsi="仿宋" w:eastAsia="仿宋" w:cs="方正小标宋简体"/>
                <w:kern w:val="0"/>
                <w:szCs w:val="21"/>
                <w:lang w:val="zh-TW" w:eastAsia="zh-TW" w:bidi="zh-TW"/>
              </w:rPr>
              <w:t>：</w:t>
            </w:r>
          </w:p>
          <w:p w14:paraId="41A5B369">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单色接收卡，网络+U盘+WIFI</w:t>
            </w:r>
          </w:p>
          <w:p w14:paraId="0CE09C50">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三、显示屏结构框架</w:t>
            </w:r>
          </w:p>
          <w:p w14:paraId="1FD96263">
            <w:pPr>
              <w:spacing w:line="320" w:lineRule="exact"/>
              <w:jc w:val="left"/>
              <w:rPr>
                <w:rFonts w:ascii="仿宋" w:hAnsi="仿宋" w:eastAsia="仿宋" w:cs="方正小标宋简体"/>
                <w:kern w:val="0"/>
                <w:szCs w:val="21"/>
                <w:lang w:val="zh-TW" w:eastAsia="zh-TW" w:bidi="zh-TW"/>
              </w:rPr>
            </w:pPr>
            <w:r>
              <w:rPr>
                <w:rFonts w:hint="eastAsia" w:ascii="仿宋" w:hAnsi="仿宋" w:eastAsia="仿宋" w:cs="方正小标宋简体"/>
                <w:kern w:val="0"/>
                <w:szCs w:val="21"/>
                <w:lang w:val="zh-TW" w:eastAsia="zh-TW" w:bidi="zh-TW"/>
              </w:rPr>
              <w:t>常规吊装安装方式，采用钢材料结构框架，四边铝合金包边均为：4.5cm</w:t>
            </w:r>
          </w:p>
        </w:tc>
        <w:tc>
          <w:tcPr>
            <w:tcW w:w="709" w:type="dxa"/>
            <w:vAlign w:val="center"/>
          </w:tcPr>
          <w:p w14:paraId="71A021B7">
            <w:pPr>
              <w:widowControl/>
              <w:jc w:val="center"/>
              <w:rPr>
                <w:rFonts w:ascii="仿宋" w:hAnsi="仿宋" w:eastAsia="仿宋"/>
                <w:szCs w:val="21"/>
              </w:rPr>
            </w:pPr>
            <w:r>
              <w:rPr>
                <w:rFonts w:hint="eastAsia" w:ascii="仿宋" w:hAnsi="仿宋" w:eastAsia="仿宋"/>
                <w:szCs w:val="21"/>
              </w:rPr>
              <w:t>1</w:t>
            </w:r>
          </w:p>
        </w:tc>
        <w:tc>
          <w:tcPr>
            <w:tcW w:w="850" w:type="dxa"/>
            <w:vAlign w:val="center"/>
          </w:tcPr>
          <w:p w14:paraId="273A5AB3">
            <w:pPr>
              <w:widowControl/>
              <w:jc w:val="center"/>
              <w:rPr>
                <w:rFonts w:ascii="仿宋" w:hAnsi="仿宋" w:eastAsia="仿宋"/>
                <w:szCs w:val="21"/>
              </w:rPr>
            </w:pPr>
            <w:r>
              <w:rPr>
                <w:rFonts w:hint="eastAsia" w:ascii="仿宋" w:hAnsi="仿宋" w:eastAsia="仿宋"/>
                <w:szCs w:val="21"/>
              </w:rPr>
              <w:t>套</w:t>
            </w:r>
          </w:p>
        </w:tc>
        <w:tc>
          <w:tcPr>
            <w:tcW w:w="851" w:type="dxa"/>
            <w:vAlign w:val="center"/>
          </w:tcPr>
          <w:p w14:paraId="04B64A31">
            <w:pPr>
              <w:widowControl/>
              <w:jc w:val="center"/>
              <w:rPr>
                <w:rFonts w:ascii="仿宋" w:hAnsi="仿宋" w:eastAsia="仿宋"/>
                <w:szCs w:val="21"/>
              </w:rPr>
            </w:pPr>
            <w:r>
              <w:rPr>
                <w:rFonts w:hint="eastAsia" w:ascii="仿宋" w:hAnsi="仿宋" w:eastAsia="仿宋"/>
                <w:szCs w:val="21"/>
              </w:rPr>
              <w:t>1</w:t>
            </w:r>
            <w:r>
              <w:rPr>
                <w:rFonts w:ascii="仿宋" w:hAnsi="仿宋" w:eastAsia="仿宋"/>
                <w:szCs w:val="21"/>
              </w:rPr>
              <w:t>8000</w:t>
            </w:r>
          </w:p>
        </w:tc>
        <w:tc>
          <w:tcPr>
            <w:tcW w:w="850" w:type="dxa"/>
            <w:vAlign w:val="center"/>
          </w:tcPr>
          <w:p w14:paraId="6048E003">
            <w:pPr>
              <w:widowControl/>
              <w:jc w:val="center"/>
              <w:rPr>
                <w:rFonts w:ascii="仿宋" w:hAnsi="仿宋" w:eastAsia="仿宋"/>
                <w:szCs w:val="21"/>
              </w:rPr>
            </w:pPr>
            <w:r>
              <w:rPr>
                <w:rFonts w:hint="eastAsia" w:ascii="仿宋" w:hAnsi="仿宋" w:eastAsia="仿宋"/>
                <w:szCs w:val="21"/>
              </w:rPr>
              <w:t>1</w:t>
            </w:r>
            <w:r>
              <w:rPr>
                <w:rFonts w:ascii="仿宋" w:hAnsi="仿宋" w:eastAsia="仿宋"/>
                <w:szCs w:val="21"/>
              </w:rPr>
              <w:t>8000</w:t>
            </w:r>
          </w:p>
        </w:tc>
        <w:tc>
          <w:tcPr>
            <w:tcW w:w="770" w:type="dxa"/>
            <w:vAlign w:val="center"/>
          </w:tcPr>
          <w:p w14:paraId="66C6C55A">
            <w:pPr>
              <w:spacing w:line="320" w:lineRule="exact"/>
              <w:jc w:val="center"/>
              <w:rPr>
                <w:rFonts w:ascii="仿宋" w:hAnsi="仿宋" w:eastAsia="仿宋" w:cs="方正小标宋简体"/>
                <w:kern w:val="0"/>
                <w:szCs w:val="21"/>
                <w:lang w:val="zh-TW" w:bidi="zh-TW"/>
              </w:rPr>
            </w:pPr>
          </w:p>
        </w:tc>
      </w:tr>
      <w:tr w14:paraId="04EB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8" w:type="dxa"/>
            <w:vAlign w:val="center"/>
          </w:tcPr>
          <w:p w14:paraId="4EBAE219">
            <w:pPr>
              <w:spacing w:line="320" w:lineRule="exact"/>
              <w:jc w:val="center"/>
              <w:rPr>
                <w:rFonts w:ascii="仿宋" w:hAnsi="仿宋" w:eastAsia="仿宋" w:cs="方正小标宋简体"/>
                <w:kern w:val="0"/>
                <w:szCs w:val="21"/>
                <w:lang w:val="zh-TW" w:bidi="zh-TW"/>
              </w:rPr>
            </w:pPr>
          </w:p>
        </w:tc>
        <w:tc>
          <w:tcPr>
            <w:tcW w:w="1040" w:type="dxa"/>
            <w:vAlign w:val="center"/>
          </w:tcPr>
          <w:p w14:paraId="7280AE6C">
            <w:pPr>
              <w:spacing w:line="320" w:lineRule="exact"/>
              <w:jc w:val="center"/>
              <w:rPr>
                <w:rFonts w:ascii="仿宋" w:hAnsi="仿宋" w:eastAsia="仿宋" w:cs="方正小标宋简体"/>
                <w:kern w:val="0"/>
                <w:szCs w:val="21"/>
                <w:lang w:val="zh-TW" w:eastAsia="zh-TW" w:bidi="zh-TW"/>
              </w:rPr>
            </w:pPr>
          </w:p>
        </w:tc>
        <w:tc>
          <w:tcPr>
            <w:tcW w:w="709" w:type="dxa"/>
            <w:vAlign w:val="center"/>
          </w:tcPr>
          <w:p w14:paraId="4DB0612A">
            <w:pPr>
              <w:spacing w:line="320" w:lineRule="exact"/>
              <w:jc w:val="center"/>
              <w:rPr>
                <w:rFonts w:ascii="仿宋" w:hAnsi="仿宋" w:eastAsia="仿宋" w:cs="方正小标宋简体"/>
                <w:kern w:val="0"/>
                <w:szCs w:val="21"/>
                <w:lang w:val="zh-TW" w:bidi="zh-TW"/>
              </w:rPr>
            </w:pPr>
          </w:p>
        </w:tc>
        <w:tc>
          <w:tcPr>
            <w:tcW w:w="992" w:type="dxa"/>
            <w:vAlign w:val="center"/>
          </w:tcPr>
          <w:p w14:paraId="028C72E3">
            <w:pPr>
              <w:widowControl/>
              <w:jc w:val="center"/>
              <w:rPr>
                <w:rFonts w:ascii="仿宋" w:hAnsi="仿宋" w:eastAsia="仿宋"/>
                <w:szCs w:val="21"/>
              </w:rPr>
            </w:pPr>
          </w:p>
        </w:tc>
        <w:tc>
          <w:tcPr>
            <w:tcW w:w="6379" w:type="dxa"/>
            <w:vAlign w:val="center"/>
          </w:tcPr>
          <w:p w14:paraId="61200DC8">
            <w:pPr>
              <w:spacing w:line="320" w:lineRule="exact"/>
              <w:jc w:val="center"/>
              <w:rPr>
                <w:rFonts w:ascii="仿宋" w:hAnsi="仿宋" w:eastAsia="仿宋" w:cs="方正小标宋简体"/>
                <w:kern w:val="0"/>
                <w:szCs w:val="21"/>
                <w:lang w:val="zh-TW" w:eastAsia="zh-TW" w:bidi="zh-TW"/>
              </w:rPr>
            </w:pPr>
          </w:p>
        </w:tc>
        <w:tc>
          <w:tcPr>
            <w:tcW w:w="1559" w:type="dxa"/>
            <w:gridSpan w:val="2"/>
            <w:vAlign w:val="center"/>
          </w:tcPr>
          <w:p w14:paraId="25BDAF04">
            <w:pPr>
              <w:widowControl/>
              <w:jc w:val="center"/>
              <w:rPr>
                <w:rFonts w:ascii="仿宋" w:hAnsi="仿宋" w:eastAsia="仿宋"/>
                <w:szCs w:val="21"/>
              </w:rPr>
            </w:pPr>
            <w:r>
              <w:rPr>
                <w:rFonts w:hint="eastAsia" w:ascii="仿宋" w:hAnsi="仿宋" w:eastAsia="仿宋" w:cs="方正小标宋简体"/>
                <w:kern w:val="0"/>
                <w:szCs w:val="21"/>
                <w:lang w:val="zh-TW" w:eastAsia="zh-TW" w:bidi="zh-TW"/>
              </w:rPr>
              <w:t>LED显示系统</w:t>
            </w:r>
          </w:p>
        </w:tc>
        <w:tc>
          <w:tcPr>
            <w:tcW w:w="851" w:type="dxa"/>
            <w:vAlign w:val="center"/>
          </w:tcPr>
          <w:p w14:paraId="78EFF282">
            <w:pPr>
              <w:widowControl/>
              <w:jc w:val="center"/>
              <w:rPr>
                <w:rFonts w:ascii="仿宋" w:hAnsi="仿宋" w:eastAsia="仿宋"/>
                <w:szCs w:val="21"/>
              </w:rPr>
            </w:pPr>
            <w:r>
              <w:rPr>
                <w:rFonts w:hint="eastAsia" w:ascii="仿宋" w:hAnsi="仿宋" w:eastAsia="仿宋"/>
                <w:szCs w:val="21"/>
              </w:rPr>
              <w:t>小计：</w:t>
            </w:r>
          </w:p>
        </w:tc>
        <w:tc>
          <w:tcPr>
            <w:tcW w:w="850" w:type="dxa"/>
            <w:vAlign w:val="center"/>
          </w:tcPr>
          <w:p w14:paraId="28375F10">
            <w:pPr>
              <w:widowControl/>
              <w:jc w:val="center"/>
              <w:rPr>
                <w:rFonts w:ascii="仿宋" w:hAnsi="仿宋" w:eastAsia="仿宋"/>
                <w:szCs w:val="21"/>
              </w:rPr>
            </w:pPr>
            <w:r>
              <w:rPr>
                <w:rFonts w:hint="eastAsia" w:ascii="仿宋" w:hAnsi="仿宋" w:eastAsia="仿宋"/>
                <w:szCs w:val="21"/>
              </w:rPr>
              <w:t>2</w:t>
            </w:r>
            <w:r>
              <w:rPr>
                <w:rFonts w:ascii="仿宋" w:hAnsi="仿宋" w:eastAsia="仿宋"/>
                <w:szCs w:val="21"/>
              </w:rPr>
              <w:t>90000</w:t>
            </w:r>
          </w:p>
        </w:tc>
        <w:tc>
          <w:tcPr>
            <w:tcW w:w="770" w:type="dxa"/>
            <w:vAlign w:val="center"/>
          </w:tcPr>
          <w:p w14:paraId="6F46A9C6">
            <w:pPr>
              <w:spacing w:line="320" w:lineRule="exact"/>
              <w:jc w:val="center"/>
              <w:rPr>
                <w:rFonts w:ascii="仿宋" w:hAnsi="仿宋" w:eastAsia="仿宋" w:cs="方正小标宋简体"/>
                <w:kern w:val="0"/>
                <w:szCs w:val="21"/>
                <w:lang w:val="zh-TW" w:bidi="zh-TW"/>
              </w:rPr>
            </w:pPr>
          </w:p>
        </w:tc>
      </w:tr>
    </w:tbl>
    <w:p w14:paraId="34782B2F">
      <w:pPr>
        <w:jc w:val="left"/>
        <w:rPr>
          <w:rFonts w:ascii="方正小标宋简体" w:hAnsi="方正小标宋简体" w:eastAsia="PMingLiU" w:cs="方正小标宋简体"/>
          <w:b/>
          <w:color w:val="000000"/>
          <w:kern w:val="0"/>
          <w:sz w:val="44"/>
          <w:szCs w:val="44"/>
          <w:lang w:val="zh-TW" w:eastAsia="zh-TW" w:bidi="zh-TW"/>
        </w:rPr>
      </w:pPr>
      <w:r>
        <w:rPr>
          <w:rFonts w:ascii="仿宋" w:hAnsi="仿宋" w:eastAsia="仿宋" w:cs="Times New Roman"/>
          <w:kern w:val="0"/>
          <w:sz w:val="32"/>
          <w:szCs w:val="32"/>
          <w:shd w:val="clear" w:color="auto" w:fill="FFFFFF"/>
        </w:rPr>
        <w:br w:type="textWrapping"/>
      </w:r>
      <w:r>
        <w:rPr>
          <w:rFonts w:hint="eastAsia" w:ascii="仿宋" w:hAnsi="仿宋" w:eastAsia="仿宋" w:cs="Times New Roman"/>
          <w:b/>
          <w:kern w:val="0"/>
          <w:sz w:val="32"/>
          <w:szCs w:val="32"/>
          <w:shd w:val="clear" w:color="auto" w:fill="FFFFFF"/>
        </w:rPr>
        <w:t>2</w:t>
      </w:r>
      <w:r>
        <w:rPr>
          <w:rFonts w:ascii="仿宋" w:hAnsi="仿宋" w:eastAsia="仿宋" w:cs="Times New Roman"/>
          <w:b/>
          <w:kern w:val="0"/>
          <w:sz w:val="32"/>
          <w:szCs w:val="32"/>
          <w:shd w:val="clear" w:color="auto" w:fill="FFFFFF"/>
        </w:rPr>
        <w:t>.商务要求</w:t>
      </w:r>
    </w:p>
    <w:tbl>
      <w:tblPr>
        <w:tblStyle w:val="6"/>
        <w:tblW w:w="5101" w:type="pct"/>
        <w:jc w:val="center"/>
        <w:tblLayout w:type="autofit"/>
        <w:tblCellMar>
          <w:top w:w="0" w:type="dxa"/>
          <w:left w:w="108" w:type="dxa"/>
          <w:bottom w:w="0" w:type="dxa"/>
          <w:right w:w="108" w:type="dxa"/>
        </w:tblCellMar>
      </w:tblPr>
      <w:tblGrid>
        <w:gridCol w:w="1698"/>
        <w:gridCol w:w="12762"/>
      </w:tblGrid>
      <w:tr w14:paraId="27F2F0A5">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14:paraId="0E4FD6DF">
            <w:pPr>
              <w:widowControl/>
              <w:snapToGrid w:val="0"/>
              <w:spacing w:line="400" w:lineRule="exact"/>
              <w:jc w:val="center"/>
              <w:textAlignment w:val="center"/>
              <w:rPr>
                <w:rFonts w:ascii="宋体" w:hAnsi="宋体" w:eastAsia="宋体" w:cs="宋体"/>
                <w:b/>
                <w:bCs/>
                <w:szCs w:val="21"/>
              </w:rPr>
            </w:pPr>
            <w:r>
              <w:rPr>
                <w:rFonts w:hint="eastAsia" w:ascii="宋体" w:hAnsi="宋体"/>
                <w:b/>
                <w:bCs/>
                <w:kern w:val="0"/>
              </w:rPr>
              <w:t>商务服务要求表</w:t>
            </w:r>
          </w:p>
        </w:tc>
      </w:tr>
      <w:tr w14:paraId="1A4E0030">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796500EF">
            <w:pPr>
              <w:widowControl/>
              <w:snapToGrid w:val="0"/>
              <w:spacing w:line="400" w:lineRule="exact"/>
              <w:jc w:val="center"/>
              <w:textAlignment w:val="center"/>
              <w:rPr>
                <w:kern w:val="0"/>
              </w:rPr>
            </w:pPr>
            <w:r>
              <w:rPr>
                <w:rFonts w:hint="eastAsia"/>
                <w:kern w:val="0"/>
              </w:rPr>
              <w:t>报价要求</w:t>
            </w:r>
          </w:p>
        </w:tc>
        <w:tc>
          <w:tcPr>
            <w:tcW w:w="4412" w:type="pct"/>
            <w:tcBorders>
              <w:top w:val="single" w:color="000000" w:sz="4" w:space="0"/>
              <w:left w:val="nil"/>
              <w:bottom w:val="single" w:color="000000" w:sz="4" w:space="0"/>
              <w:right w:val="single" w:color="000000" w:sz="4" w:space="0"/>
            </w:tcBorders>
            <w:vAlign w:val="center"/>
          </w:tcPr>
          <w:p w14:paraId="0D819878">
            <w:pPr>
              <w:widowControl/>
              <w:snapToGrid w:val="0"/>
              <w:spacing w:line="400" w:lineRule="exact"/>
              <w:jc w:val="left"/>
              <w:textAlignment w:val="center"/>
              <w:rPr>
                <w:kern w:val="0"/>
              </w:rPr>
            </w:pPr>
            <w:r>
              <w:rPr>
                <w:rFonts w:hint="eastAsia"/>
                <w:kern w:val="0"/>
              </w:rPr>
              <w:t>1</w:t>
            </w:r>
            <w:r>
              <w:rPr>
                <w:kern w:val="0"/>
              </w:rPr>
              <w:t xml:space="preserve">.  </w:t>
            </w:r>
            <w:r>
              <w:rPr>
                <w:rFonts w:hint="eastAsia"/>
                <w:kern w:val="0"/>
              </w:rPr>
              <w:t>本项目为在线询价，内容均为实质性条款，不允许出现负偏离。</w:t>
            </w:r>
          </w:p>
          <w:p w14:paraId="0CBAB390">
            <w:pPr>
              <w:widowControl/>
              <w:snapToGrid w:val="0"/>
              <w:spacing w:line="400" w:lineRule="exact"/>
              <w:jc w:val="left"/>
              <w:textAlignment w:val="center"/>
              <w:rPr>
                <w:kern w:val="0"/>
              </w:rPr>
            </w:pPr>
            <w:r>
              <w:rPr>
                <w:rFonts w:hint="eastAsia"/>
                <w:kern w:val="0"/>
              </w:rPr>
              <w:t>2.</w:t>
            </w:r>
            <w:r>
              <w:rPr>
                <w:rFonts w:hint="eastAsia"/>
                <w:kern w:val="0"/>
              </w:rPr>
              <w:tab/>
            </w:r>
            <w:r>
              <w:rPr>
                <w:rFonts w:hint="eastAsia"/>
                <w:kern w:val="0"/>
              </w:rPr>
              <w:t>竞标时，供应商提供产品符合技术要求中所有需要提供的产品符合要求的承诺函，并加盖供应商的单位公章。合同签订后3个工作日内，</w:t>
            </w:r>
            <w:r>
              <w:rPr>
                <w:rFonts w:hint="eastAsia"/>
                <w:kern w:val="0"/>
                <w:lang w:val="en-US" w:eastAsia="zh-CN"/>
              </w:rPr>
              <w:t>成交供应商需</w:t>
            </w:r>
            <w:r>
              <w:rPr>
                <w:rFonts w:hint="eastAsia"/>
                <w:kern w:val="0"/>
              </w:rPr>
              <w:t>按要求提供相关资质材料证明加盖</w:t>
            </w:r>
            <w:r>
              <w:rPr>
                <w:rFonts w:hint="eastAsia"/>
                <w:kern w:val="0"/>
                <w:lang w:val="en-US" w:eastAsia="zh-CN"/>
              </w:rPr>
              <w:t>制造商</w:t>
            </w:r>
            <w:r>
              <w:rPr>
                <w:rFonts w:hint="eastAsia"/>
                <w:kern w:val="0"/>
              </w:rPr>
              <w:t>公章，否则</w:t>
            </w:r>
            <w:r>
              <w:rPr>
                <w:rFonts w:hint="eastAsia"/>
                <w:kern w:val="0"/>
                <w:lang w:val="en-US" w:eastAsia="zh-CN"/>
              </w:rPr>
              <w:t>采购人</w:t>
            </w:r>
            <w:r>
              <w:rPr>
                <w:rFonts w:hint="eastAsia"/>
                <w:kern w:val="0"/>
              </w:rPr>
              <w:t>有权终止合同。</w:t>
            </w:r>
          </w:p>
          <w:p w14:paraId="32E1C4F7">
            <w:pPr>
              <w:widowControl/>
              <w:snapToGrid w:val="0"/>
              <w:spacing w:line="400" w:lineRule="exact"/>
              <w:jc w:val="left"/>
              <w:textAlignment w:val="center"/>
              <w:rPr>
                <w:kern w:val="0"/>
              </w:rPr>
            </w:pPr>
            <w:r>
              <w:rPr>
                <w:rFonts w:hint="eastAsia"/>
                <w:kern w:val="0"/>
              </w:rPr>
              <w:t>3.</w:t>
            </w:r>
            <w:r>
              <w:rPr>
                <w:rFonts w:hint="eastAsia"/>
                <w:kern w:val="0"/>
              </w:rPr>
              <w:tab/>
            </w:r>
            <w:r>
              <w:rPr>
                <w:rFonts w:hint="eastAsia"/>
                <w:kern w:val="0"/>
              </w:rPr>
              <w:t>投标产品必须为全新原厂原装产品，不接受出厂后加装。成交供应商所提供的产品、资料等要满足采购需求相应标准，投标时出具</w:t>
            </w:r>
            <w:r>
              <w:rPr>
                <w:rFonts w:hint="eastAsia"/>
                <w:kern w:val="0"/>
                <w:lang w:val="en-US" w:eastAsia="zh-CN"/>
              </w:rPr>
              <w:t>制造商</w:t>
            </w:r>
            <w:r>
              <w:rPr>
                <w:rFonts w:hint="eastAsia"/>
                <w:kern w:val="0"/>
              </w:rPr>
              <w:t>针对本项目的产品售后服务承诺函以及供货证明原件，避免假冒伪劣产品。对不能满足参数要求虚假响应，或者无法正常交货影响</w:t>
            </w:r>
            <w:r>
              <w:rPr>
                <w:rFonts w:hint="eastAsia"/>
                <w:kern w:val="0"/>
                <w:lang w:val="en-US" w:eastAsia="zh-CN"/>
              </w:rPr>
              <w:t>采购人</w:t>
            </w:r>
            <w:r>
              <w:rPr>
                <w:rFonts w:hint="eastAsia"/>
                <w:kern w:val="0"/>
              </w:rPr>
              <w:t>办公使用的，</w:t>
            </w:r>
            <w:r>
              <w:rPr>
                <w:rFonts w:hint="eastAsia"/>
                <w:kern w:val="0"/>
                <w:lang w:val="en-US" w:eastAsia="zh-CN"/>
              </w:rPr>
              <w:t>采购人</w:t>
            </w:r>
            <w:r>
              <w:rPr>
                <w:rFonts w:hint="eastAsia"/>
                <w:kern w:val="0"/>
              </w:rPr>
              <w:t>可不予验收</w:t>
            </w:r>
            <w:r>
              <w:rPr>
                <w:rFonts w:hint="eastAsia"/>
                <w:kern w:val="0"/>
                <w:lang w:val="en-US" w:eastAsia="zh-CN"/>
              </w:rPr>
              <w:t>并</w:t>
            </w:r>
            <w:r>
              <w:rPr>
                <w:rFonts w:hint="eastAsia"/>
                <w:kern w:val="0"/>
              </w:rPr>
              <w:t>将上报监督管理部门处理，所造成的损失由成交供应商自行承担。</w:t>
            </w:r>
          </w:p>
        </w:tc>
      </w:tr>
      <w:tr w14:paraId="7172EA01">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2E06B64B">
            <w:pPr>
              <w:widowControl/>
              <w:snapToGrid w:val="0"/>
              <w:spacing w:line="400" w:lineRule="exact"/>
              <w:jc w:val="center"/>
              <w:textAlignment w:val="center"/>
              <w:rPr>
                <w:rFonts w:ascii="宋体" w:hAnsi="宋体"/>
                <w:kern w:val="0"/>
              </w:rPr>
            </w:pPr>
            <w:r>
              <w:rPr>
                <w:kern w:val="0"/>
              </w:rPr>
              <w:t>交货时间及地点</w:t>
            </w:r>
          </w:p>
        </w:tc>
        <w:tc>
          <w:tcPr>
            <w:tcW w:w="4412" w:type="pct"/>
            <w:tcBorders>
              <w:top w:val="single" w:color="000000" w:sz="4" w:space="0"/>
              <w:left w:val="nil"/>
              <w:bottom w:val="single" w:color="000000" w:sz="4" w:space="0"/>
              <w:right w:val="single" w:color="000000" w:sz="4" w:space="0"/>
            </w:tcBorders>
            <w:vAlign w:val="center"/>
          </w:tcPr>
          <w:p w14:paraId="528C389B">
            <w:pPr>
              <w:widowControl/>
              <w:snapToGrid w:val="0"/>
              <w:spacing w:line="400" w:lineRule="exact"/>
              <w:jc w:val="left"/>
              <w:textAlignment w:val="center"/>
              <w:rPr>
                <w:rFonts w:ascii="宋体" w:hAnsi="宋体"/>
                <w:kern w:val="0"/>
              </w:rPr>
            </w:pPr>
            <w:r>
              <w:rPr>
                <w:rFonts w:hint="eastAsia" w:ascii="宋体" w:hAnsi="宋体"/>
                <w:kern w:val="0"/>
              </w:rPr>
              <w:t>1.交货期：合同签订之日起</w:t>
            </w:r>
            <w:r>
              <w:rPr>
                <w:rFonts w:ascii="宋体" w:hAnsi="宋体"/>
                <w:kern w:val="0"/>
              </w:rPr>
              <w:t>3</w:t>
            </w:r>
            <w:r>
              <w:rPr>
                <w:rFonts w:hint="eastAsia" w:ascii="宋体" w:hAnsi="宋体"/>
                <w:kern w:val="0"/>
              </w:rPr>
              <w:t>个日历日内提供所有货品，项目施工后在</w:t>
            </w:r>
            <w:r>
              <w:rPr>
                <w:rFonts w:ascii="宋体" w:hAnsi="宋体"/>
                <w:kern w:val="0"/>
              </w:rPr>
              <w:t>5个日历日内完成</w:t>
            </w:r>
            <w:r>
              <w:rPr>
                <w:rFonts w:hint="eastAsia" w:ascii="宋体" w:hAnsi="宋体"/>
                <w:kern w:val="0"/>
              </w:rPr>
              <w:t>安装调试。</w:t>
            </w:r>
          </w:p>
          <w:p w14:paraId="68647895">
            <w:pPr>
              <w:widowControl/>
              <w:snapToGrid w:val="0"/>
              <w:spacing w:line="400" w:lineRule="exact"/>
              <w:jc w:val="left"/>
              <w:textAlignment w:val="center"/>
              <w:rPr>
                <w:rFonts w:ascii="宋体" w:hAnsi="宋体"/>
                <w:kern w:val="0"/>
              </w:rPr>
            </w:pPr>
            <w:r>
              <w:rPr>
                <w:kern w:val="0"/>
              </w:rPr>
              <w:t>2.交货地点：</w:t>
            </w:r>
            <w:r>
              <w:rPr>
                <w:rFonts w:hint="eastAsia" w:ascii="宋体" w:hAnsi="宋体"/>
                <w:kern w:val="0"/>
              </w:rPr>
              <w:t>广西电力职业技术学院</w:t>
            </w:r>
            <w:r>
              <w:rPr>
                <w:rFonts w:hint="eastAsia" w:ascii="宋体" w:hAnsi="宋体"/>
                <w:kern w:val="0"/>
                <w:lang w:eastAsia="zh-CN"/>
              </w:rPr>
              <w:t>（</w:t>
            </w:r>
            <w:r>
              <w:rPr>
                <w:rFonts w:hint="eastAsia" w:ascii="宋体" w:hAnsi="宋体"/>
                <w:kern w:val="0"/>
              </w:rPr>
              <w:t>五象校区）</w:t>
            </w:r>
            <w:r>
              <w:rPr>
                <w:kern w:val="0"/>
              </w:rPr>
              <w:t>。</w:t>
            </w:r>
          </w:p>
        </w:tc>
      </w:tr>
      <w:tr w14:paraId="35E26AD9">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60882E8F">
            <w:pPr>
              <w:widowControl/>
              <w:snapToGrid w:val="0"/>
              <w:spacing w:line="400" w:lineRule="exact"/>
              <w:jc w:val="center"/>
              <w:textAlignment w:val="center"/>
              <w:rPr>
                <w:rFonts w:ascii="宋体" w:hAnsi="宋体"/>
                <w:kern w:val="0"/>
              </w:rPr>
            </w:pPr>
            <w:r>
              <w:rPr>
                <w:kern w:val="0"/>
              </w:rPr>
              <w:t>质保期</w:t>
            </w:r>
          </w:p>
        </w:tc>
        <w:tc>
          <w:tcPr>
            <w:tcW w:w="4412" w:type="pct"/>
            <w:tcBorders>
              <w:top w:val="single" w:color="000000" w:sz="4" w:space="0"/>
              <w:left w:val="nil"/>
              <w:bottom w:val="single" w:color="000000" w:sz="4" w:space="0"/>
              <w:right w:val="single" w:color="000000" w:sz="4" w:space="0"/>
            </w:tcBorders>
            <w:vAlign w:val="center"/>
          </w:tcPr>
          <w:p w14:paraId="636F0A13">
            <w:pPr>
              <w:widowControl/>
              <w:snapToGrid w:val="0"/>
              <w:spacing w:line="400" w:lineRule="exact"/>
              <w:jc w:val="left"/>
              <w:textAlignment w:val="center"/>
              <w:rPr>
                <w:kern w:val="0"/>
              </w:rPr>
            </w:pPr>
            <w:r>
              <w:rPr>
                <w:kern w:val="0"/>
              </w:rPr>
              <w:t>按国家有关规定或</w:t>
            </w:r>
            <w:r>
              <w:rPr>
                <w:rFonts w:hint="eastAsia"/>
                <w:kern w:val="0"/>
                <w:lang w:val="en-US" w:eastAsia="zh-CN"/>
              </w:rPr>
              <w:t>制造商</w:t>
            </w:r>
            <w:r>
              <w:rPr>
                <w:kern w:val="0"/>
              </w:rPr>
              <w:t>承诺实行“三包”，</w:t>
            </w:r>
            <w:r>
              <w:rPr>
                <w:rFonts w:hint="eastAsia" w:ascii="宋体" w:hAnsi="宋体"/>
                <w:kern w:val="0"/>
              </w:rPr>
              <w:t>质保期从验收合格之日起整机不少于</w:t>
            </w:r>
            <w:r>
              <w:rPr>
                <w:rFonts w:hint="eastAsia" w:ascii="宋体" w:hAnsi="宋体"/>
                <w:color w:val="FF0000"/>
                <w:kern w:val="0"/>
                <w:highlight w:val="yellow"/>
              </w:rPr>
              <w:t>3年</w:t>
            </w:r>
            <w:r>
              <w:rPr>
                <w:rFonts w:hint="eastAsia" w:ascii="宋体" w:hAnsi="宋体"/>
                <w:kern w:val="0"/>
              </w:rPr>
              <w:t>（技术参数中有特别指明质保期的按参数要求，</w:t>
            </w:r>
            <w:r>
              <w:rPr>
                <w:rFonts w:hint="eastAsia" w:ascii="宋体" w:hAnsi="宋体"/>
                <w:kern w:val="0"/>
                <w:lang w:val="en-US" w:eastAsia="zh-CN"/>
              </w:rPr>
              <w:t>制造商</w:t>
            </w:r>
            <w:r>
              <w:rPr>
                <w:rFonts w:hint="eastAsia" w:ascii="宋体" w:hAnsi="宋体"/>
                <w:kern w:val="0"/>
              </w:rPr>
              <w:t>质保期高于采购要求的按</w:t>
            </w:r>
            <w:r>
              <w:rPr>
                <w:rFonts w:hint="eastAsia" w:ascii="宋体" w:hAnsi="宋体"/>
                <w:kern w:val="0"/>
                <w:lang w:val="en-US" w:eastAsia="zh-CN"/>
              </w:rPr>
              <w:t>制造商</w:t>
            </w:r>
            <w:r>
              <w:rPr>
                <w:rFonts w:hint="eastAsia" w:ascii="宋体" w:hAnsi="宋体"/>
                <w:kern w:val="0"/>
              </w:rPr>
              <w:t>质保）</w:t>
            </w:r>
            <w:r>
              <w:rPr>
                <w:kern w:val="0"/>
              </w:rPr>
              <w:t>，质保期内全免费上门维修、免费更换零部件，质保期过后提供终身技术支持和维护。</w:t>
            </w:r>
          </w:p>
        </w:tc>
      </w:tr>
      <w:tr w14:paraId="184C1DAC">
        <w:tblPrEx>
          <w:tblCellMar>
            <w:top w:w="0" w:type="dxa"/>
            <w:left w:w="108" w:type="dxa"/>
            <w:bottom w:w="0" w:type="dxa"/>
            <w:right w:w="108" w:type="dxa"/>
          </w:tblCellMar>
        </w:tblPrEx>
        <w:trPr>
          <w:trHeight w:val="1124"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4A29C88B">
            <w:pPr>
              <w:widowControl/>
              <w:snapToGrid w:val="0"/>
              <w:spacing w:line="400" w:lineRule="exact"/>
              <w:jc w:val="center"/>
              <w:textAlignment w:val="center"/>
              <w:rPr>
                <w:rFonts w:ascii="宋体" w:hAnsi="宋体"/>
                <w:kern w:val="0"/>
              </w:rPr>
            </w:pPr>
            <w:r>
              <w:rPr>
                <w:rFonts w:hint="eastAsia" w:ascii="宋体" w:hAnsi="宋体"/>
                <w:kern w:val="0"/>
              </w:rPr>
              <w:t>产品质量与售后服务要求</w:t>
            </w:r>
          </w:p>
        </w:tc>
        <w:tc>
          <w:tcPr>
            <w:tcW w:w="4412" w:type="pct"/>
            <w:tcBorders>
              <w:top w:val="single" w:color="000000" w:sz="4" w:space="0"/>
              <w:left w:val="nil"/>
              <w:bottom w:val="single" w:color="000000" w:sz="4" w:space="0"/>
              <w:right w:val="single" w:color="000000" w:sz="4" w:space="0"/>
            </w:tcBorders>
            <w:vAlign w:val="center"/>
          </w:tcPr>
          <w:p w14:paraId="3FFF61CD">
            <w:pPr>
              <w:widowControl/>
              <w:snapToGrid w:val="0"/>
              <w:spacing w:line="400" w:lineRule="exact"/>
              <w:rPr>
                <w:kern w:val="0"/>
              </w:rPr>
            </w:pPr>
            <w:r>
              <w:rPr>
                <w:kern w:val="0"/>
              </w:rPr>
              <w:t>1、</w:t>
            </w:r>
            <w:r>
              <w:rPr>
                <w:rFonts w:hint="eastAsia" w:ascii="宋体" w:hAnsi="宋体"/>
                <w:kern w:val="0"/>
              </w:rPr>
              <w:t>供应商所投产品必须能实质性响应采购要求（所投产品应完全满足或优于采购参数要求），</w:t>
            </w:r>
            <w:r>
              <w:rPr>
                <w:rFonts w:hint="eastAsia" w:ascii="宋体" w:hAnsi="宋体"/>
                <w:kern w:val="0"/>
                <w:lang w:val="en-US" w:eastAsia="zh-CN"/>
              </w:rPr>
              <w:t>成交</w:t>
            </w:r>
            <w:r>
              <w:rPr>
                <w:rFonts w:hint="eastAsia" w:ascii="宋体" w:hAnsi="宋体"/>
                <w:kern w:val="0"/>
              </w:rPr>
              <w:t>供应商在正式供货时</w:t>
            </w:r>
            <w:r>
              <w:rPr>
                <w:rFonts w:hint="eastAsia" w:ascii="宋体" w:hAnsi="宋体"/>
                <w:kern w:val="0"/>
                <w:lang w:eastAsia="zh-CN"/>
              </w:rPr>
              <w:t>，</w:t>
            </w:r>
            <w:r>
              <w:rPr>
                <w:rFonts w:hint="eastAsia" w:ascii="宋体" w:hAnsi="宋体"/>
                <w:kern w:val="0"/>
              </w:rPr>
              <w:t>必须提供</w:t>
            </w:r>
            <w:r>
              <w:rPr>
                <w:rFonts w:hint="eastAsia" w:ascii="宋体" w:hAnsi="宋体"/>
                <w:kern w:val="0"/>
                <w:lang w:val="en-US" w:eastAsia="zh-CN"/>
              </w:rPr>
              <w:t>制造商</w:t>
            </w:r>
            <w:r>
              <w:rPr>
                <w:rFonts w:hint="eastAsia" w:ascii="宋体" w:hAnsi="宋体"/>
                <w:kern w:val="0"/>
              </w:rPr>
              <w:t>的供货证明和售后服务承诺书原件，避免假冒伪劣产品。对不能满足参数要求虚假响应，或者签订合同后15个日历日内无法交付使用的，采购人可作废标处理，并依法向供应商追究违约责任。</w:t>
            </w:r>
          </w:p>
          <w:p w14:paraId="4357BF21">
            <w:pPr>
              <w:widowControl/>
              <w:snapToGrid w:val="0"/>
              <w:spacing w:line="400" w:lineRule="exact"/>
              <w:jc w:val="left"/>
              <w:textAlignment w:val="center"/>
              <w:rPr>
                <w:rFonts w:ascii="宋体" w:hAnsi="宋体"/>
                <w:kern w:val="0"/>
              </w:rPr>
            </w:pPr>
            <w:r>
              <w:rPr>
                <w:kern w:val="0"/>
              </w:rPr>
              <w:t>2、故障响应时间：</w:t>
            </w:r>
            <w:r>
              <w:rPr>
                <w:rFonts w:hint="eastAsia" w:ascii="宋体" w:hAnsi="宋体"/>
                <w:kern w:val="0"/>
              </w:rPr>
              <w:t>成交供应商收到采购人的故障维修通知后30分钟内电话服务应答，2小时内到达现场进行维修，4小时内排除故障，如24小时内无法修复的，质保期内成交供应商应无条件更换新设备或提供代用设备，或采取使设备可正常运转的措施(必须响应)。</w:t>
            </w:r>
          </w:p>
        </w:tc>
      </w:tr>
      <w:tr w14:paraId="139DC169">
        <w:tblPrEx>
          <w:tblCellMar>
            <w:top w:w="0" w:type="dxa"/>
            <w:left w:w="108" w:type="dxa"/>
            <w:bottom w:w="0" w:type="dxa"/>
            <w:right w:w="108" w:type="dxa"/>
          </w:tblCellMar>
        </w:tblPrEx>
        <w:trPr>
          <w:trHeight w:val="470"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3B1B0A4E">
            <w:pPr>
              <w:spacing w:line="400" w:lineRule="exact"/>
              <w:jc w:val="center"/>
              <w:rPr>
                <w:rFonts w:ascii="宋体" w:hAnsi="宋体"/>
              </w:rPr>
            </w:pPr>
            <w:r>
              <w:rPr>
                <w:rFonts w:hint="eastAsia" w:ascii="宋体" w:hAnsi="宋体"/>
              </w:rPr>
              <w:t>实施和安装要求</w:t>
            </w:r>
          </w:p>
        </w:tc>
        <w:tc>
          <w:tcPr>
            <w:tcW w:w="4412" w:type="pct"/>
            <w:tcBorders>
              <w:top w:val="single" w:color="000000" w:sz="4" w:space="0"/>
              <w:left w:val="nil"/>
              <w:bottom w:val="single" w:color="000000" w:sz="4" w:space="0"/>
              <w:right w:val="single" w:color="000000" w:sz="4" w:space="0"/>
            </w:tcBorders>
            <w:vAlign w:val="center"/>
          </w:tcPr>
          <w:p w14:paraId="17671C5E">
            <w:pPr>
              <w:spacing w:line="400" w:lineRule="exact"/>
              <w:jc w:val="left"/>
              <w:rPr>
                <w:rFonts w:ascii="宋体" w:hAnsi="宋体"/>
              </w:rPr>
            </w:pPr>
            <w:r>
              <w:rPr>
                <w:rFonts w:hint="eastAsia" w:ascii="宋体" w:hAnsi="宋体"/>
              </w:rPr>
              <w:t>本项目为交钥匙工程，成交后，</w:t>
            </w:r>
            <w:r>
              <w:rPr>
                <w:rFonts w:hint="eastAsia" w:ascii="宋体" w:hAnsi="宋体"/>
                <w:lang w:val="en-US" w:eastAsia="zh-CN"/>
              </w:rPr>
              <w:t>成交</w:t>
            </w:r>
            <w:r>
              <w:rPr>
                <w:rFonts w:hint="eastAsia" w:ascii="宋体" w:hAnsi="宋体"/>
              </w:rPr>
              <w:t>供应商需应严格按竞标产品的安装规范要求进行安装调试，保证设备正常运行，质量合格。</w:t>
            </w:r>
          </w:p>
          <w:p w14:paraId="69B8074E">
            <w:pPr>
              <w:spacing w:line="400" w:lineRule="exact"/>
              <w:jc w:val="left"/>
              <w:rPr>
                <w:rFonts w:ascii="宋体" w:hAnsi="宋体"/>
              </w:rPr>
            </w:pPr>
            <w:r>
              <w:rPr>
                <w:rFonts w:hint="eastAsia" w:ascii="宋体" w:hAnsi="宋体"/>
              </w:rPr>
              <w:t>（1）根据采购要求的工期提供项目实施方案及进度安排计划表；</w:t>
            </w:r>
          </w:p>
          <w:p w14:paraId="53FD2E46">
            <w:pPr>
              <w:spacing w:line="400" w:lineRule="exact"/>
              <w:jc w:val="left"/>
              <w:rPr>
                <w:rFonts w:ascii="宋体" w:hAnsi="宋体"/>
              </w:rPr>
            </w:pPr>
            <w:r>
              <w:rPr>
                <w:rFonts w:hint="eastAsia" w:ascii="宋体" w:hAnsi="宋体"/>
                <w:bCs/>
              </w:rPr>
              <w:t>（2）</w:t>
            </w:r>
            <w:r>
              <w:rPr>
                <w:rFonts w:hint="eastAsia" w:ascii="宋体" w:hAnsi="宋体"/>
              </w:rPr>
              <w:t>供应商必须服从采购单位现场负责人的指挥，按指定地点进行设备安装、调试，确保设备安装符合国家现行技术规范标准；</w:t>
            </w:r>
          </w:p>
          <w:p w14:paraId="32E525B2">
            <w:pPr>
              <w:spacing w:line="400" w:lineRule="exact"/>
              <w:jc w:val="left"/>
              <w:rPr>
                <w:rFonts w:ascii="宋体" w:hAnsi="宋体"/>
              </w:rPr>
            </w:pPr>
            <w:r>
              <w:rPr>
                <w:rFonts w:ascii="宋体" w:hAnsi="宋体"/>
              </w:rPr>
              <w:t>（</w:t>
            </w:r>
            <w:r>
              <w:t>3</w:t>
            </w:r>
            <w:r>
              <w:rPr>
                <w:rFonts w:ascii="宋体" w:hAnsi="宋体"/>
              </w:rPr>
              <w:t>）</w:t>
            </w:r>
            <w:r>
              <w:rPr>
                <w:rFonts w:hint="eastAsia" w:ascii="宋体" w:hAnsi="宋体"/>
              </w:rPr>
              <w:t>安装过程中的所有安全保障由供应商自行负责；</w:t>
            </w:r>
          </w:p>
          <w:p w14:paraId="62A8E886">
            <w:pPr>
              <w:spacing w:line="400" w:lineRule="exact"/>
              <w:rPr>
                <w:rFonts w:ascii="宋体" w:hAnsi="宋体"/>
                <w:kern w:val="0"/>
              </w:rPr>
            </w:pPr>
            <w:r>
              <w:rPr>
                <w:rFonts w:hint="eastAsia" w:ascii="宋体" w:hAnsi="宋体"/>
                <w:kern w:val="0"/>
              </w:rPr>
              <w:t>（4）项目实施过程中产生的垃圾废料由供应商负责清理至校外。</w:t>
            </w:r>
          </w:p>
          <w:p w14:paraId="1BE3F795">
            <w:pPr>
              <w:spacing w:line="400" w:lineRule="exact"/>
              <w:rPr>
                <w:rFonts w:ascii="宋体" w:hAnsi="宋体"/>
                <w:kern w:val="0"/>
              </w:rPr>
            </w:pPr>
            <w:r>
              <w:rPr>
                <w:rFonts w:ascii="宋体" w:hAnsi="宋体"/>
                <w:kern w:val="0"/>
              </w:rPr>
              <w:t>（</w:t>
            </w:r>
            <w:r>
              <w:rPr>
                <w:rFonts w:hint="eastAsia" w:ascii="宋体" w:hAnsi="宋体"/>
                <w:kern w:val="0"/>
              </w:rPr>
              <w:t>5</w:t>
            </w:r>
            <w:r>
              <w:rPr>
                <w:rFonts w:ascii="宋体" w:hAnsi="宋体"/>
                <w:kern w:val="0"/>
              </w:rPr>
              <w:t>）项目施工过程要做好报告厅的环境保护，如造成现场环境损坏由供应商自行负责恢复。</w:t>
            </w:r>
          </w:p>
        </w:tc>
      </w:tr>
      <w:tr w14:paraId="027B06BE">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7F5DEB2B">
            <w:pPr>
              <w:widowControl/>
              <w:snapToGrid w:val="0"/>
              <w:spacing w:line="400" w:lineRule="exact"/>
              <w:jc w:val="center"/>
              <w:textAlignment w:val="center"/>
              <w:rPr>
                <w:rStyle w:val="13"/>
                <w:rFonts w:hint="default"/>
                <w:szCs w:val="21"/>
              </w:rPr>
            </w:pPr>
            <w:r>
              <w:t>履约保证金</w:t>
            </w:r>
          </w:p>
        </w:tc>
        <w:tc>
          <w:tcPr>
            <w:tcW w:w="4412" w:type="pct"/>
            <w:tcBorders>
              <w:top w:val="single" w:color="000000" w:sz="4" w:space="0"/>
              <w:left w:val="nil"/>
              <w:bottom w:val="single" w:color="000000" w:sz="4" w:space="0"/>
              <w:right w:val="single" w:color="000000" w:sz="4" w:space="0"/>
            </w:tcBorders>
            <w:vAlign w:val="center"/>
          </w:tcPr>
          <w:p w14:paraId="0F050FE2">
            <w:pPr>
              <w:widowControl/>
              <w:snapToGrid w:val="0"/>
              <w:spacing w:line="400" w:lineRule="exact"/>
              <w:jc w:val="left"/>
              <w:textAlignment w:val="center"/>
              <w:rPr>
                <w:rFonts w:ascii="宋体" w:hAnsi="宋体"/>
              </w:rPr>
            </w:pPr>
            <w:r>
              <w:rPr>
                <w:rFonts w:hint="eastAsia" w:ascii="宋体" w:hAnsi="宋体"/>
                <w:highlight w:val="yellow"/>
              </w:rPr>
              <w:t>（1）确定成交后3个工作日内，</w:t>
            </w:r>
            <w:r>
              <w:rPr>
                <w:rFonts w:hint="eastAsia" w:ascii="宋体" w:hAnsi="宋体"/>
                <w:highlight w:val="yellow"/>
                <w:lang w:val="en-US" w:eastAsia="zh-CN"/>
              </w:rPr>
              <w:t>成交</w:t>
            </w:r>
            <w:r>
              <w:rPr>
                <w:rFonts w:hint="eastAsia" w:ascii="宋体" w:hAnsi="宋体"/>
                <w:highlight w:val="yellow"/>
              </w:rPr>
              <w:t>供应商应向</w:t>
            </w:r>
            <w:r>
              <w:rPr>
                <w:rFonts w:hint="eastAsia" w:ascii="宋体" w:hAnsi="宋体"/>
                <w:highlight w:val="yellow"/>
                <w:lang w:val="en-US" w:eastAsia="zh-CN"/>
              </w:rPr>
              <w:t>采购人</w:t>
            </w:r>
            <w:r>
              <w:rPr>
                <w:rFonts w:hint="eastAsia" w:ascii="宋体" w:hAnsi="宋体"/>
                <w:highlight w:val="yellow"/>
              </w:rPr>
              <w:t>支付合同总价5%的履约保证金，作为供应商认真履行合同条款的保证。</w:t>
            </w:r>
          </w:p>
          <w:p w14:paraId="5113DFBC">
            <w:pPr>
              <w:widowControl/>
              <w:snapToGrid w:val="0"/>
              <w:spacing w:line="400" w:lineRule="exact"/>
              <w:jc w:val="left"/>
              <w:textAlignment w:val="center"/>
              <w:rPr>
                <w:rFonts w:ascii="宋体" w:hAnsi="宋体"/>
                <w:highlight w:val="yellow"/>
              </w:rPr>
            </w:pPr>
            <w:r>
              <w:rPr>
                <w:rFonts w:hint="eastAsia" w:ascii="宋体" w:hAnsi="宋体"/>
              </w:rPr>
              <w:t>（2）供应商没有履行本合同项下约定的责任和义务所需承担的违约金、赔偿金及其他费用，</w:t>
            </w:r>
            <w:r>
              <w:rPr>
                <w:rFonts w:hint="eastAsia" w:ascii="宋体" w:hAnsi="宋体"/>
                <w:lang w:val="en-US" w:eastAsia="zh-CN"/>
              </w:rPr>
              <w:t>采购人</w:t>
            </w:r>
            <w:r>
              <w:rPr>
                <w:rFonts w:hint="eastAsia" w:ascii="宋体" w:hAnsi="宋体"/>
              </w:rPr>
              <w:t>有权直接从履约保证金中扣除，履约保证金中不足以扣除的，</w:t>
            </w:r>
            <w:r>
              <w:rPr>
                <w:rFonts w:hint="eastAsia" w:ascii="宋体" w:hAnsi="宋体"/>
                <w:lang w:val="en-US" w:eastAsia="zh-CN"/>
              </w:rPr>
              <w:t>采购人</w:t>
            </w:r>
            <w:r>
              <w:rPr>
                <w:rFonts w:hint="eastAsia" w:ascii="宋体" w:hAnsi="宋体"/>
              </w:rPr>
              <w:t>有权从任何一笔货款中扣除。剩余履约保证金（如有）在验收合格1年后由</w:t>
            </w:r>
            <w:r>
              <w:rPr>
                <w:rFonts w:hint="eastAsia" w:ascii="宋体" w:hAnsi="宋体"/>
                <w:lang w:val="en-US" w:eastAsia="zh-CN"/>
              </w:rPr>
              <w:t>采购人</w:t>
            </w:r>
            <w:r>
              <w:rPr>
                <w:rFonts w:hint="eastAsia" w:ascii="宋体" w:hAnsi="宋体"/>
              </w:rPr>
              <w:t>无息返还给</w:t>
            </w:r>
            <w:r>
              <w:rPr>
                <w:rFonts w:hint="eastAsia" w:ascii="宋体" w:hAnsi="宋体"/>
                <w:lang w:val="en-US" w:eastAsia="zh-CN"/>
              </w:rPr>
              <w:t>成交供应商</w:t>
            </w:r>
            <w:r>
              <w:rPr>
                <w:rFonts w:hint="eastAsia" w:ascii="宋体" w:hAnsi="宋体"/>
              </w:rPr>
              <w:t>。</w:t>
            </w:r>
          </w:p>
        </w:tc>
      </w:tr>
      <w:tr w14:paraId="6D471D61">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2611880D">
            <w:pPr>
              <w:widowControl/>
              <w:snapToGrid w:val="0"/>
              <w:spacing w:line="400" w:lineRule="exact"/>
              <w:jc w:val="center"/>
              <w:textAlignment w:val="center"/>
              <w:rPr>
                <w:rFonts w:ascii="宋体" w:hAnsi="宋体"/>
              </w:rPr>
            </w:pPr>
            <w:r>
              <w:rPr>
                <w:rStyle w:val="13"/>
                <w:rFonts w:hint="default"/>
                <w:szCs w:val="21"/>
              </w:rPr>
              <w:t>付款方式</w:t>
            </w:r>
          </w:p>
        </w:tc>
        <w:tc>
          <w:tcPr>
            <w:tcW w:w="4412" w:type="pct"/>
            <w:tcBorders>
              <w:top w:val="single" w:color="000000" w:sz="4" w:space="0"/>
              <w:left w:val="nil"/>
              <w:bottom w:val="single" w:color="000000" w:sz="4" w:space="0"/>
              <w:right w:val="single" w:color="000000" w:sz="4" w:space="0"/>
            </w:tcBorders>
            <w:vAlign w:val="center"/>
          </w:tcPr>
          <w:p w14:paraId="0766ECA6">
            <w:pPr>
              <w:widowControl/>
              <w:snapToGrid w:val="0"/>
              <w:spacing w:line="400" w:lineRule="exact"/>
              <w:jc w:val="left"/>
              <w:textAlignment w:val="center"/>
              <w:rPr>
                <w:rFonts w:ascii="宋体" w:hAnsi="宋体"/>
              </w:rPr>
            </w:pPr>
            <w:r>
              <w:rPr>
                <w:rFonts w:hint="eastAsia" w:ascii="宋体" w:hAnsi="宋体"/>
                <w:highlight w:val="yellow"/>
              </w:rPr>
              <w:t>本项目为按合同金额分期支付：</w:t>
            </w:r>
          </w:p>
          <w:p w14:paraId="63ADCCDA">
            <w:pPr>
              <w:widowControl/>
              <w:snapToGrid w:val="0"/>
              <w:spacing w:line="400" w:lineRule="exact"/>
              <w:jc w:val="left"/>
              <w:textAlignment w:val="center"/>
              <w:rPr>
                <w:rFonts w:ascii="宋体" w:hAnsi="宋体"/>
              </w:rPr>
            </w:pPr>
            <w:r>
              <w:rPr>
                <w:rFonts w:hint="eastAsia" w:ascii="宋体" w:hAnsi="宋体"/>
                <w:b/>
              </w:rPr>
              <w:t>第一期（预付款）：</w:t>
            </w:r>
            <w:r>
              <w:rPr>
                <w:rFonts w:hint="eastAsia" w:ascii="宋体" w:hAnsi="宋体"/>
                <w:lang w:val="en-US" w:eastAsia="zh-CN"/>
              </w:rPr>
              <w:t>成交供应商</w:t>
            </w:r>
            <w:r>
              <w:rPr>
                <w:rFonts w:hint="eastAsia" w:ascii="宋体" w:hAnsi="宋体"/>
              </w:rPr>
              <w:t>按时缴纳履约保</w:t>
            </w:r>
            <w:r>
              <w:rPr>
                <w:rFonts w:hint="eastAsia" w:ascii="宋体" w:hAnsi="宋体"/>
                <w:lang w:val="en-US" w:eastAsia="zh-CN"/>
              </w:rPr>
              <w:t>证</w:t>
            </w:r>
            <w:r>
              <w:rPr>
                <w:rFonts w:hint="eastAsia" w:ascii="宋体" w:hAnsi="宋体"/>
              </w:rPr>
              <w:t>金，签订合同时提供订货证明、材料资质证明复印件（加盖</w:t>
            </w:r>
            <w:r>
              <w:rPr>
                <w:rFonts w:hint="eastAsia" w:ascii="宋体" w:hAnsi="宋体"/>
                <w:lang w:val="en-US" w:eastAsia="zh-CN"/>
              </w:rPr>
              <w:t>制造商</w:t>
            </w:r>
            <w:r>
              <w:rPr>
                <w:rFonts w:hint="eastAsia" w:ascii="宋体" w:hAnsi="宋体"/>
              </w:rPr>
              <w:t>公章），并携带相关产品第三方检测报告原件供采购人核验。资料齐全后，签订合同后</w:t>
            </w:r>
            <w:r>
              <w:rPr>
                <w:rFonts w:ascii="宋体" w:hAnsi="宋体"/>
              </w:rPr>
              <w:t xml:space="preserve"> 5 </w:t>
            </w:r>
            <w:r>
              <w:rPr>
                <w:rFonts w:hint="eastAsia" w:ascii="宋体" w:hAnsi="宋体"/>
              </w:rPr>
              <w:t>个工作日内，</w:t>
            </w:r>
            <w:r>
              <w:rPr>
                <w:rFonts w:hint="eastAsia" w:ascii="宋体" w:hAnsi="宋体"/>
                <w:lang w:val="en-US" w:eastAsia="zh-CN"/>
              </w:rPr>
              <w:t>成交供应商</w:t>
            </w:r>
            <w:r>
              <w:rPr>
                <w:rFonts w:hint="eastAsia" w:ascii="宋体" w:hAnsi="宋体"/>
              </w:rPr>
              <w:t>向采购人发起请款函及</w:t>
            </w:r>
            <w:r>
              <w:rPr>
                <w:rFonts w:hint="eastAsia" w:ascii="宋体" w:hAnsi="宋体"/>
                <w:lang w:val="en-US" w:eastAsia="zh-CN"/>
              </w:rPr>
              <w:t>制造商</w:t>
            </w:r>
            <w:r>
              <w:rPr>
                <w:rFonts w:hint="eastAsia" w:ascii="宋体" w:hAnsi="宋体"/>
              </w:rPr>
              <w:t>订货证明材料，并开具正规等额有效增值税发票，采购人收到发票后</w:t>
            </w:r>
            <w:r>
              <w:rPr>
                <w:rFonts w:ascii="宋体" w:hAnsi="宋体"/>
              </w:rPr>
              <w:t xml:space="preserve"> 15 </w:t>
            </w:r>
            <w:r>
              <w:rPr>
                <w:rFonts w:hint="eastAsia" w:ascii="宋体" w:hAnsi="宋体"/>
              </w:rPr>
              <w:t>个工作日内支付</w:t>
            </w:r>
            <w:r>
              <w:rPr>
                <w:rFonts w:ascii="宋体" w:hAnsi="宋体"/>
              </w:rPr>
              <w:t xml:space="preserve"> 35% </w:t>
            </w:r>
            <w:r>
              <w:rPr>
                <w:rFonts w:hint="eastAsia" w:ascii="宋体" w:hAnsi="宋体"/>
              </w:rPr>
              <w:t>合同款。</w:t>
            </w:r>
            <w:r>
              <w:rPr>
                <w:rFonts w:ascii="MS Mincho" w:hAnsi="MS Mincho" w:cs="MS Mincho"/>
              </w:rPr>
              <w:t>​</w:t>
            </w:r>
          </w:p>
          <w:p w14:paraId="1D98AAB4">
            <w:pPr>
              <w:widowControl/>
              <w:snapToGrid w:val="0"/>
              <w:spacing w:line="400" w:lineRule="exact"/>
              <w:jc w:val="left"/>
              <w:textAlignment w:val="center"/>
              <w:rPr>
                <w:rFonts w:ascii="宋体" w:hAnsi="宋体"/>
              </w:rPr>
            </w:pPr>
            <w:r>
              <w:rPr>
                <w:rFonts w:hint="eastAsia" w:ascii="宋体" w:hAnsi="宋体"/>
                <w:b/>
              </w:rPr>
              <w:t>第二期：</w:t>
            </w:r>
            <w:r>
              <w:rPr>
                <w:rFonts w:hint="eastAsia" w:ascii="宋体" w:hAnsi="宋体"/>
              </w:rPr>
              <w:t>除显示屏结构框架外的货物到货并清点验证合格后</w:t>
            </w:r>
            <w:r>
              <w:rPr>
                <w:rFonts w:ascii="宋体" w:hAnsi="宋体"/>
              </w:rPr>
              <w:t xml:space="preserve"> 5 </w:t>
            </w:r>
            <w:r>
              <w:rPr>
                <w:rFonts w:hint="eastAsia" w:ascii="宋体" w:hAnsi="宋体"/>
              </w:rPr>
              <w:t>个工作日内，成交</w:t>
            </w:r>
            <w:r>
              <w:rPr>
                <w:rFonts w:hint="eastAsia" w:ascii="宋体" w:hAnsi="宋体"/>
                <w:lang w:val="en-US" w:eastAsia="zh-CN"/>
              </w:rPr>
              <w:t>供应商</w:t>
            </w:r>
            <w:r>
              <w:rPr>
                <w:rFonts w:hint="eastAsia" w:ascii="宋体" w:hAnsi="宋体"/>
              </w:rPr>
              <w:t>向采购人发起请款函，开具正规等额有效增值税发票，采购人收到发票后</w:t>
            </w:r>
            <w:r>
              <w:rPr>
                <w:rFonts w:ascii="宋体" w:hAnsi="宋体"/>
              </w:rPr>
              <w:t xml:space="preserve"> 15 </w:t>
            </w:r>
            <w:r>
              <w:rPr>
                <w:rFonts w:hint="eastAsia" w:ascii="宋体" w:hAnsi="宋体"/>
              </w:rPr>
              <w:t>个工作日内支付</w:t>
            </w:r>
            <w:r>
              <w:rPr>
                <w:rFonts w:ascii="宋体" w:hAnsi="宋体"/>
              </w:rPr>
              <w:t xml:space="preserve"> 50% </w:t>
            </w:r>
            <w:r>
              <w:rPr>
                <w:rFonts w:hint="eastAsia" w:ascii="宋体" w:hAnsi="宋体"/>
              </w:rPr>
              <w:t>合同款。</w:t>
            </w:r>
            <w:r>
              <w:rPr>
                <w:rFonts w:ascii="MS Mincho" w:hAnsi="MS Mincho" w:cs="MS Mincho"/>
              </w:rPr>
              <w:t>​</w:t>
            </w:r>
          </w:p>
          <w:p w14:paraId="099D2953">
            <w:pPr>
              <w:widowControl/>
              <w:snapToGrid w:val="0"/>
              <w:spacing w:line="400" w:lineRule="exact"/>
              <w:jc w:val="left"/>
              <w:textAlignment w:val="center"/>
              <w:rPr>
                <w:rFonts w:ascii="宋体" w:hAnsi="宋体"/>
              </w:rPr>
            </w:pPr>
            <w:r>
              <w:rPr>
                <w:rFonts w:hint="eastAsia" w:ascii="宋体" w:hAnsi="宋体"/>
              </w:rPr>
              <w:t>第三期：项目整体验收合格后 5 个工作日内，成交</w:t>
            </w:r>
            <w:r>
              <w:rPr>
                <w:rFonts w:hint="eastAsia" w:ascii="宋体" w:hAnsi="宋体"/>
                <w:lang w:val="en-US" w:eastAsia="zh-CN"/>
              </w:rPr>
              <w:t>供应商</w:t>
            </w:r>
            <w:r>
              <w:rPr>
                <w:rFonts w:hint="eastAsia" w:ascii="宋体" w:hAnsi="宋体"/>
              </w:rPr>
              <w:t>向采购人发起请款函，开具正规等额有效增值税发票，采购人收到发票后 15 个工作日内支付 15% 合同款。</w:t>
            </w:r>
          </w:p>
        </w:tc>
      </w:tr>
      <w:tr w14:paraId="670C45E7">
        <w:tblPrEx>
          <w:tblCellMar>
            <w:top w:w="0" w:type="dxa"/>
            <w:left w:w="108" w:type="dxa"/>
            <w:bottom w:w="0" w:type="dxa"/>
            <w:right w:w="108" w:type="dxa"/>
          </w:tblCellMar>
        </w:tblPrEx>
        <w:trPr>
          <w:trHeight w:val="437"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5C3F1656">
            <w:pPr>
              <w:widowControl/>
              <w:snapToGrid w:val="0"/>
              <w:spacing w:line="400" w:lineRule="exact"/>
              <w:jc w:val="center"/>
              <w:textAlignment w:val="center"/>
              <w:rPr>
                <w:rFonts w:ascii="宋体" w:hAnsi="宋体"/>
              </w:rPr>
            </w:pPr>
            <w:r>
              <w:rPr>
                <w:rStyle w:val="13"/>
                <w:rFonts w:hint="default"/>
                <w:szCs w:val="21"/>
              </w:rPr>
              <w:t>验收要求</w:t>
            </w:r>
          </w:p>
        </w:tc>
        <w:tc>
          <w:tcPr>
            <w:tcW w:w="4412" w:type="pct"/>
            <w:tcBorders>
              <w:top w:val="single" w:color="000000" w:sz="4" w:space="0"/>
              <w:left w:val="nil"/>
              <w:bottom w:val="single" w:color="000000" w:sz="4" w:space="0"/>
              <w:right w:val="single" w:color="000000" w:sz="4" w:space="0"/>
            </w:tcBorders>
            <w:vAlign w:val="center"/>
          </w:tcPr>
          <w:p w14:paraId="7B48C412">
            <w:pPr>
              <w:widowControl/>
              <w:snapToGrid w:val="0"/>
              <w:spacing w:line="400" w:lineRule="exact"/>
              <w:jc w:val="left"/>
              <w:textAlignment w:val="center"/>
              <w:rPr>
                <w:rFonts w:ascii="宋体" w:hAnsi="宋体"/>
                <w:kern w:val="0"/>
              </w:rPr>
            </w:pPr>
            <w:r>
              <w:rPr>
                <w:rFonts w:hint="eastAsia" w:ascii="宋体" w:hAnsi="宋体"/>
                <w:kern w:val="0"/>
              </w:rPr>
              <w:t xml:space="preserve">1、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3196D6C8">
            <w:pPr>
              <w:widowControl/>
              <w:snapToGrid w:val="0"/>
              <w:spacing w:line="400" w:lineRule="exact"/>
              <w:jc w:val="left"/>
              <w:textAlignment w:val="center"/>
              <w:rPr>
                <w:rFonts w:ascii="宋体" w:hAnsi="宋体"/>
                <w:kern w:val="0"/>
              </w:rPr>
            </w:pPr>
            <w:r>
              <w:rPr>
                <w:rFonts w:hint="eastAsia" w:ascii="宋体" w:hAnsi="宋体"/>
                <w:kern w:val="0"/>
              </w:rPr>
              <w:t>2、</w:t>
            </w:r>
            <w:r>
              <w:rPr>
                <w:rFonts w:hint="eastAsia" w:ascii="宋体" w:hAnsi="宋体"/>
                <w:kern w:val="0"/>
                <w:lang w:val="en-US" w:eastAsia="zh-CN"/>
              </w:rPr>
              <w:t>成交</w:t>
            </w:r>
            <w:r>
              <w:rPr>
                <w:rFonts w:hint="eastAsia" w:ascii="宋体" w:hAnsi="宋体"/>
                <w:kern w:val="0"/>
              </w:rPr>
              <w:t>供应商完成设备安装与调试后，需对拟交付的合同成果及其组件进行自检并提出书面验收申请，经采购人同意后共同组织验收，签写相应验收意见并签名确认。为保证项目质量，甲方有权在验收时邀请第三方测评机构对LED大屏各项性能进行检测，所有费用由成交供应商负责。</w:t>
            </w:r>
          </w:p>
          <w:p w14:paraId="02BA9465">
            <w:pPr>
              <w:widowControl/>
              <w:snapToGrid w:val="0"/>
              <w:spacing w:line="400" w:lineRule="exact"/>
              <w:jc w:val="left"/>
              <w:textAlignment w:val="center"/>
              <w:rPr>
                <w:rFonts w:ascii="宋体" w:hAnsi="宋体"/>
                <w:kern w:val="0"/>
              </w:rPr>
            </w:pPr>
            <w:r>
              <w:rPr>
                <w:rFonts w:hint="eastAsia" w:ascii="宋体" w:hAnsi="宋体"/>
                <w:kern w:val="0"/>
              </w:rPr>
              <w:t>3、货物（设备）验收合格，项目约定产品或服务方可正式交接，双方对相关货物清单、随机附件及验收结论意见书等书面材料进行清点签字后，作为项目的最终验收。</w:t>
            </w:r>
          </w:p>
          <w:p w14:paraId="4ADBA315">
            <w:pPr>
              <w:widowControl/>
              <w:snapToGrid w:val="0"/>
              <w:spacing w:line="400" w:lineRule="exact"/>
              <w:jc w:val="left"/>
              <w:textAlignment w:val="center"/>
              <w:rPr>
                <w:rFonts w:ascii="宋体" w:hAnsi="宋体"/>
                <w:kern w:val="0"/>
              </w:rPr>
            </w:pPr>
            <w:r>
              <w:rPr>
                <w:rFonts w:hint="eastAsia" w:ascii="宋体" w:hAnsi="宋体"/>
                <w:kern w:val="0"/>
              </w:rPr>
              <w:t>4、验收费用：验收所产生的劳务费、检验费及相关发生的全部费用均由成交</w:t>
            </w:r>
            <w:r>
              <w:rPr>
                <w:rFonts w:hint="eastAsia" w:ascii="宋体" w:hAnsi="宋体"/>
                <w:kern w:val="0"/>
                <w:lang w:val="en-US" w:eastAsia="zh-CN"/>
              </w:rPr>
              <w:t>供应商</w:t>
            </w:r>
            <w:r>
              <w:rPr>
                <w:rFonts w:hint="eastAsia" w:ascii="宋体" w:hAnsi="宋体"/>
                <w:kern w:val="0"/>
              </w:rPr>
              <w:t>承担。</w:t>
            </w:r>
          </w:p>
        </w:tc>
      </w:tr>
      <w:tr w14:paraId="60391FF3">
        <w:tblPrEx>
          <w:tblCellMar>
            <w:top w:w="0" w:type="dxa"/>
            <w:left w:w="108" w:type="dxa"/>
            <w:bottom w:w="0" w:type="dxa"/>
            <w:right w:w="108" w:type="dxa"/>
          </w:tblCellMar>
        </w:tblPrEx>
        <w:trPr>
          <w:trHeight w:val="1266"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5CE2A7A0">
            <w:pPr>
              <w:widowControl/>
              <w:snapToGrid w:val="0"/>
              <w:spacing w:line="400" w:lineRule="exact"/>
              <w:jc w:val="center"/>
              <w:textAlignment w:val="center"/>
              <w:rPr>
                <w:rFonts w:ascii="宋体" w:hAnsi="宋体"/>
              </w:rPr>
            </w:pPr>
            <w:r>
              <w:rPr>
                <w:rFonts w:hint="eastAsia" w:ascii="宋体" w:hAnsi="宋体"/>
                <w:kern w:val="0"/>
              </w:rPr>
              <w:t>其他要求</w:t>
            </w:r>
          </w:p>
        </w:tc>
        <w:tc>
          <w:tcPr>
            <w:tcW w:w="4412" w:type="pct"/>
            <w:tcBorders>
              <w:top w:val="single" w:color="000000" w:sz="4" w:space="0"/>
              <w:left w:val="nil"/>
              <w:bottom w:val="single" w:color="000000" w:sz="4" w:space="0"/>
              <w:right w:val="single" w:color="000000" w:sz="4" w:space="0"/>
            </w:tcBorders>
            <w:vAlign w:val="center"/>
          </w:tcPr>
          <w:p w14:paraId="7E4596DD">
            <w:pPr>
              <w:autoSpaceDE w:val="0"/>
              <w:autoSpaceDN w:val="0"/>
              <w:adjustRightInd w:val="0"/>
              <w:spacing w:line="400" w:lineRule="exact"/>
              <w:ind w:firstLine="420" w:firstLineChars="200"/>
              <w:rPr>
                <w:rFonts w:ascii="宋体" w:hAnsi="宋体"/>
                <w:kern w:val="0"/>
              </w:rPr>
            </w:pPr>
            <w:r>
              <w:rPr>
                <w:rFonts w:hint="eastAsia" w:ascii="宋体" w:hAnsi="宋体"/>
                <w:kern w:val="0"/>
              </w:rPr>
              <w:t>1、供应商必须实质性响应本项目所有技术要求，不允许负偏离。投标时，供应商所投产品须满足或优于技术参数配置要求【需提供《商务、技术响应、偏离情况说明表》（格式自拟）、《竞标报价表》</w:t>
            </w:r>
            <w:r>
              <w:rPr>
                <w:rFonts w:hint="eastAsia" w:ascii="宋体" w:hAnsi="宋体"/>
                <w:kern w:val="0"/>
                <w:lang w:eastAsia="zh-CN"/>
              </w:rPr>
              <w:t>（</w:t>
            </w:r>
            <w:r>
              <w:rPr>
                <w:rFonts w:hint="eastAsia" w:ascii="宋体" w:hAnsi="宋体"/>
                <w:kern w:val="0"/>
                <w:lang w:val="en-US" w:eastAsia="zh-CN"/>
              </w:rPr>
              <w:t>格式见附件</w:t>
            </w:r>
            <w:r>
              <w:rPr>
                <w:rFonts w:hint="eastAsia" w:ascii="宋体" w:hAnsi="宋体"/>
                <w:kern w:val="0"/>
                <w:lang w:eastAsia="zh-CN"/>
              </w:rPr>
              <w:t>）、</w:t>
            </w:r>
            <w:bookmarkStart w:id="1" w:name="_GoBack"/>
            <w:bookmarkEnd w:id="1"/>
            <w:r>
              <w:rPr>
                <w:rFonts w:hint="eastAsia" w:ascii="宋体" w:hAnsi="宋体"/>
                <w:kern w:val="0"/>
              </w:rPr>
              <w:t>投标产品的《技术参数配置清单》（格式见附件）及相关佐证材料，以上材料加盖供应商公章】， 否则视为无效响应。</w:t>
            </w:r>
          </w:p>
          <w:p w14:paraId="4EB99226">
            <w:pPr>
              <w:autoSpaceDE w:val="0"/>
              <w:autoSpaceDN w:val="0"/>
              <w:adjustRightInd w:val="0"/>
              <w:spacing w:line="400" w:lineRule="exact"/>
              <w:ind w:firstLine="420" w:firstLineChars="200"/>
              <w:rPr>
                <w:rFonts w:ascii="宋体" w:hAnsi="宋体"/>
                <w:kern w:val="0"/>
              </w:rPr>
            </w:pPr>
            <w:r>
              <w:rPr>
                <w:rFonts w:hint="eastAsia" w:ascii="宋体" w:hAnsi="宋体"/>
                <w:kern w:val="0"/>
              </w:rPr>
              <w:t>2、</w:t>
            </w:r>
            <w:r>
              <w:rPr>
                <w:rFonts w:hint="eastAsia" w:ascii="宋体" w:hAnsi="宋体"/>
              </w:rPr>
              <w:t>根据《财政部</w:t>
            </w:r>
            <w:r>
              <w:rPr>
                <w:rFonts w:hint="eastAsia"/>
              </w:rPr>
              <w:t xml:space="preserve"> </w:t>
            </w:r>
            <w:r>
              <w:rPr>
                <w:rFonts w:hint="eastAsia" w:ascii="宋体" w:hAnsi="宋体"/>
              </w:rPr>
              <w:t>发展改革委</w:t>
            </w:r>
            <w:r>
              <w:rPr>
                <w:rFonts w:hint="eastAsia"/>
              </w:rPr>
              <w:t xml:space="preserve"> </w:t>
            </w:r>
            <w:r>
              <w:rPr>
                <w:rFonts w:hint="eastAsia" w:ascii="宋体" w:hAnsi="宋体"/>
              </w:rPr>
              <w:t>生态环境部</w:t>
            </w:r>
            <w:r>
              <w:rPr>
                <w:rFonts w:hint="eastAsia"/>
              </w:rPr>
              <w:t xml:space="preserve"> </w:t>
            </w:r>
            <w:r>
              <w:rPr>
                <w:rFonts w:hint="eastAsia" w:ascii="宋体" w:hAnsi="宋体"/>
              </w:rPr>
              <w:t>市场监管总局关于调整优化节能产品、环境标志产品政府采购执行机制的通知》（财库〔</w:t>
            </w:r>
            <w:r>
              <w:rPr>
                <w:rFonts w:hint="eastAsia" w:cs="Calibri"/>
              </w:rPr>
              <w:t>2019</w:t>
            </w:r>
            <w:r>
              <w:rPr>
                <w:rFonts w:hint="eastAsia" w:ascii="宋体" w:hAnsi="宋体"/>
              </w:rPr>
              <w:t>〕</w:t>
            </w:r>
            <w:r>
              <w:rPr>
                <w:rFonts w:hint="eastAsia" w:cs="Calibri"/>
              </w:rPr>
              <w:t xml:space="preserve">9 </w:t>
            </w:r>
            <w:r>
              <w:rPr>
                <w:rFonts w:hint="eastAsia" w:ascii="宋体" w:hAnsi="宋体"/>
              </w:rPr>
              <w:t>号）和《关于印发节能产品政府采购品目清单的通知》（财库〔</w:t>
            </w:r>
            <w:r>
              <w:rPr>
                <w:rFonts w:hint="eastAsia" w:cs="Calibri"/>
              </w:rPr>
              <w:t>2019</w:t>
            </w:r>
            <w:r>
              <w:rPr>
                <w:rFonts w:hint="eastAsia" w:ascii="宋体" w:hAnsi="宋体"/>
              </w:rPr>
              <w:t>〕</w:t>
            </w:r>
            <w:r>
              <w:rPr>
                <w:rFonts w:hint="eastAsia" w:cs="Calibri"/>
              </w:rPr>
              <w:t xml:space="preserve">19 </w:t>
            </w:r>
            <w:r>
              <w:rPr>
                <w:rFonts w:hint="eastAsia" w:ascii="宋体" w:hAnsi="宋体"/>
              </w:rPr>
              <w:t>号）的规定，本项目采购的产品如属于节能产品政府采购品目清单内产品的，供应商的竞标货物必须使用政府强制采购的节能产品，竞标时须提供国家确定的认证机构出具的、处于有效期之内的有效的节能产品认证证书复印件并加盖供应商公章，否则响应文件作无效竞标处理。</w:t>
            </w:r>
          </w:p>
          <w:p w14:paraId="40288B01">
            <w:pPr>
              <w:widowControl/>
              <w:snapToGrid w:val="0"/>
              <w:spacing w:line="400" w:lineRule="exact"/>
              <w:ind w:firstLine="420" w:firstLineChars="200"/>
              <w:jc w:val="left"/>
              <w:textAlignment w:val="center"/>
              <w:rPr>
                <w:rFonts w:ascii="宋体" w:hAnsi="宋体"/>
              </w:rPr>
            </w:pPr>
            <w:r>
              <w:rPr>
                <w:rFonts w:hint="eastAsia" w:ascii="宋体" w:hAnsi="宋体"/>
                <w:kern w:val="0"/>
              </w:rPr>
              <w:t>3、供应商在参与竞标报价前需仔细阅读项目采购的技术及商务要求，评估自身履约能力，谢绝恶意低价、不按要求报价、中标后无故放弃、不按合同履行等违约行为。</w:t>
            </w:r>
            <w:r>
              <w:rPr>
                <w:rFonts w:hint="eastAsia" w:ascii="宋体" w:hAnsi="宋体"/>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6E697EFA">
            <w:pPr>
              <w:widowControl/>
              <w:snapToGrid w:val="0"/>
              <w:spacing w:line="400" w:lineRule="exact"/>
              <w:ind w:firstLine="420" w:firstLineChars="200"/>
              <w:jc w:val="left"/>
              <w:textAlignment w:val="center"/>
              <w:rPr>
                <w:rFonts w:ascii="宋体" w:hAnsi="宋体"/>
              </w:rPr>
            </w:pPr>
            <w:r>
              <w:rPr>
                <w:rFonts w:hint="eastAsia" w:ascii="宋体" w:hAnsi="宋体"/>
              </w:rPr>
              <w:t>4、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r>
      <w:tr w14:paraId="323101C8">
        <w:tblPrEx>
          <w:tblCellMar>
            <w:top w:w="0" w:type="dxa"/>
            <w:left w:w="108" w:type="dxa"/>
            <w:bottom w:w="0" w:type="dxa"/>
            <w:right w:w="108" w:type="dxa"/>
          </w:tblCellMar>
        </w:tblPrEx>
        <w:trPr>
          <w:trHeight w:val="2117"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14:paraId="20ECC3A6">
            <w:pPr>
              <w:widowControl/>
              <w:snapToGrid w:val="0"/>
              <w:spacing w:line="400" w:lineRule="exact"/>
              <w:jc w:val="center"/>
              <w:textAlignment w:val="center"/>
              <w:rPr>
                <w:rFonts w:ascii="宋体" w:hAnsi="宋体"/>
                <w:color w:val="FF0000"/>
                <w:kern w:val="0"/>
              </w:rPr>
            </w:pPr>
            <w:r>
              <w:rPr>
                <w:rFonts w:hint="eastAsia" w:ascii="宋体" w:hAnsi="宋体"/>
                <w:color w:val="FF0000"/>
                <w:kern w:val="0"/>
              </w:rPr>
              <w:t>违约责任</w:t>
            </w:r>
          </w:p>
        </w:tc>
        <w:tc>
          <w:tcPr>
            <w:tcW w:w="4412" w:type="pct"/>
            <w:tcBorders>
              <w:top w:val="single" w:color="000000" w:sz="4" w:space="0"/>
              <w:left w:val="nil"/>
              <w:bottom w:val="single" w:color="000000" w:sz="4" w:space="0"/>
              <w:right w:val="single" w:color="000000" w:sz="4" w:space="0"/>
            </w:tcBorders>
            <w:vAlign w:val="center"/>
          </w:tcPr>
          <w:p w14:paraId="66BACE96">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1</w:t>
            </w:r>
            <w:r>
              <w:rPr>
                <w:rFonts w:ascii="宋体" w:hAnsi="宋体"/>
                <w:color w:val="FF0000"/>
                <w:kern w:val="0"/>
              </w:rPr>
              <w:t>.</w:t>
            </w:r>
            <w:r>
              <w:rPr>
                <w:rFonts w:hint="eastAsia" w:ascii="宋体" w:hAnsi="宋体"/>
                <w:color w:val="FF0000"/>
                <w:kern w:val="0"/>
              </w:rPr>
              <w:t>逾期交货责任：</w:t>
            </w:r>
            <w:r>
              <w:rPr>
                <w:rFonts w:hint="eastAsia" w:ascii="宋体" w:hAnsi="宋体"/>
                <w:color w:val="FF0000"/>
                <w:kern w:val="0"/>
                <w:lang w:val="en-US" w:eastAsia="zh-CN"/>
              </w:rPr>
              <w:t>成交</w:t>
            </w:r>
            <w:r>
              <w:rPr>
                <w:rFonts w:hint="eastAsia" w:ascii="宋体" w:hAnsi="宋体"/>
                <w:color w:val="FF0000"/>
                <w:kern w:val="0"/>
              </w:rPr>
              <w:t>供应商未按合同约定日期交货，每逾期一日，按合同总额</w:t>
            </w:r>
            <w:r>
              <w:rPr>
                <w:rFonts w:ascii="宋体" w:hAnsi="宋体"/>
                <w:color w:val="FF0000"/>
                <w:kern w:val="0"/>
              </w:rPr>
              <w:t xml:space="preserve"> 1% </w:t>
            </w:r>
            <w:r>
              <w:rPr>
                <w:rFonts w:hint="eastAsia" w:ascii="宋体" w:hAnsi="宋体"/>
                <w:color w:val="FF0000"/>
                <w:kern w:val="0"/>
              </w:rPr>
              <w:t>向采购</w:t>
            </w:r>
            <w:r>
              <w:rPr>
                <w:rFonts w:hint="eastAsia" w:ascii="宋体" w:hAnsi="宋体"/>
                <w:color w:val="FF0000"/>
                <w:kern w:val="0"/>
                <w:lang w:val="en-US" w:eastAsia="zh-CN"/>
              </w:rPr>
              <w:t>人</w:t>
            </w:r>
            <w:r>
              <w:rPr>
                <w:rFonts w:hint="eastAsia" w:ascii="宋体" w:hAnsi="宋体"/>
                <w:color w:val="FF0000"/>
                <w:kern w:val="0"/>
              </w:rPr>
              <w:t>支付违约金；逾期超</w:t>
            </w:r>
            <w:r>
              <w:rPr>
                <w:rFonts w:ascii="宋体" w:hAnsi="宋体"/>
                <w:color w:val="FF0000"/>
                <w:kern w:val="0"/>
              </w:rPr>
              <w:t xml:space="preserve"> 5 </w:t>
            </w:r>
            <w:r>
              <w:rPr>
                <w:rFonts w:hint="eastAsia" w:ascii="宋体" w:hAnsi="宋体"/>
                <w:color w:val="FF0000"/>
                <w:kern w:val="0"/>
              </w:rPr>
              <w:t>个工作日仍未交货，采购</w:t>
            </w:r>
            <w:r>
              <w:rPr>
                <w:rFonts w:hint="eastAsia" w:ascii="宋体" w:hAnsi="宋体"/>
                <w:color w:val="FF0000"/>
                <w:kern w:val="0"/>
                <w:lang w:val="en-US" w:eastAsia="zh-CN"/>
              </w:rPr>
              <w:t>人</w:t>
            </w:r>
            <w:r>
              <w:rPr>
                <w:rFonts w:hint="eastAsia" w:ascii="宋体" w:hAnsi="宋体"/>
                <w:color w:val="FF0000"/>
                <w:kern w:val="0"/>
              </w:rPr>
              <w:t>有权单方解除合同，并全额扣除合同金额</w:t>
            </w:r>
            <w:r>
              <w:rPr>
                <w:rFonts w:ascii="宋体" w:hAnsi="宋体"/>
                <w:color w:val="FF0000"/>
                <w:kern w:val="0"/>
              </w:rPr>
              <w:t xml:space="preserve"> 5% </w:t>
            </w:r>
            <w:r>
              <w:rPr>
                <w:rFonts w:hint="eastAsia" w:ascii="宋体" w:hAnsi="宋体"/>
                <w:color w:val="FF0000"/>
                <w:kern w:val="0"/>
              </w:rPr>
              <w:t>的履约保证金作为违约金。</w:t>
            </w:r>
            <w:r>
              <w:rPr>
                <w:rFonts w:ascii="MS Mincho" w:hAnsi="MS Mincho" w:cs="MS Mincho"/>
                <w:color w:val="FF0000"/>
                <w:kern w:val="0"/>
              </w:rPr>
              <w:t>​</w:t>
            </w:r>
          </w:p>
          <w:p w14:paraId="27944588">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2</w:t>
            </w:r>
            <w:r>
              <w:rPr>
                <w:rFonts w:ascii="宋体" w:hAnsi="宋体"/>
                <w:color w:val="FF0000"/>
                <w:kern w:val="0"/>
              </w:rPr>
              <w:t>.</w:t>
            </w:r>
            <w:r>
              <w:rPr>
                <w:rFonts w:hint="eastAsia" w:ascii="宋体" w:hAnsi="宋体"/>
                <w:color w:val="FF0000"/>
                <w:kern w:val="0"/>
              </w:rPr>
              <w:t>货物质量不符责任：若货物品种、型号、规格、技术参数、质量不符合合同及采购文件要求，采购</w:t>
            </w:r>
            <w:r>
              <w:rPr>
                <w:rFonts w:hint="eastAsia" w:ascii="宋体" w:hAnsi="宋体"/>
                <w:color w:val="FF0000"/>
                <w:kern w:val="0"/>
                <w:lang w:val="en-US" w:eastAsia="zh-CN"/>
              </w:rPr>
              <w:t>人</w:t>
            </w:r>
            <w:r>
              <w:rPr>
                <w:rFonts w:hint="eastAsia" w:ascii="宋体" w:hAnsi="宋体"/>
                <w:color w:val="FF0000"/>
                <w:kern w:val="0"/>
              </w:rPr>
              <w:t>有权拒收。</w:t>
            </w:r>
            <w:r>
              <w:rPr>
                <w:rFonts w:hint="eastAsia" w:ascii="宋体" w:hAnsi="宋体"/>
                <w:color w:val="FF0000"/>
                <w:kern w:val="0"/>
                <w:lang w:val="en-US" w:eastAsia="zh-CN"/>
              </w:rPr>
              <w:t>成交</w:t>
            </w:r>
            <w:r>
              <w:rPr>
                <w:rFonts w:hint="eastAsia" w:ascii="宋体" w:hAnsi="宋体"/>
                <w:color w:val="FF0000"/>
                <w:kern w:val="0"/>
              </w:rPr>
              <w:t>供应商擅自更换货物导致逾期交货，按逾期交货处理；拒绝更换货物，采购</w:t>
            </w:r>
            <w:r>
              <w:rPr>
                <w:rFonts w:hint="eastAsia" w:ascii="宋体" w:hAnsi="宋体"/>
                <w:color w:val="FF0000"/>
                <w:kern w:val="0"/>
                <w:lang w:val="en-US" w:eastAsia="zh-CN"/>
              </w:rPr>
              <w:t>人</w:t>
            </w:r>
            <w:r>
              <w:rPr>
                <w:rFonts w:hint="eastAsia" w:ascii="宋体" w:hAnsi="宋体"/>
                <w:color w:val="FF0000"/>
                <w:kern w:val="0"/>
              </w:rPr>
              <w:t>可单方解除合同，扣除合同金额</w:t>
            </w:r>
            <w:r>
              <w:rPr>
                <w:rFonts w:ascii="宋体" w:hAnsi="宋体"/>
                <w:color w:val="FF0000"/>
                <w:kern w:val="0"/>
              </w:rPr>
              <w:t xml:space="preserve"> 5% </w:t>
            </w:r>
            <w:r>
              <w:rPr>
                <w:rFonts w:hint="eastAsia" w:ascii="宋体" w:hAnsi="宋体"/>
                <w:color w:val="FF0000"/>
                <w:kern w:val="0"/>
              </w:rPr>
              <w:t>的履约保证金作为违约金，若违约金不足以弥补损失，</w:t>
            </w:r>
            <w:r>
              <w:rPr>
                <w:rFonts w:hint="eastAsia" w:ascii="宋体" w:hAnsi="宋体"/>
                <w:color w:val="FF0000"/>
                <w:kern w:val="0"/>
                <w:lang w:val="en-US" w:eastAsia="zh-CN"/>
              </w:rPr>
              <w:t>成交</w:t>
            </w:r>
            <w:r>
              <w:rPr>
                <w:rFonts w:hint="eastAsia" w:ascii="宋体" w:hAnsi="宋体"/>
                <w:color w:val="FF0000"/>
                <w:kern w:val="0"/>
              </w:rPr>
              <w:t>供应商需另行赔偿。</w:t>
            </w:r>
            <w:r>
              <w:rPr>
                <w:rFonts w:ascii="MS Mincho" w:hAnsi="MS Mincho" w:cs="MS Mincho"/>
                <w:color w:val="FF0000"/>
                <w:kern w:val="0"/>
              </w:rPr>
              <w:t>​</w:t>
            </w:r>
          </w:p>
          <w:p w14:paraId="7E3C419A">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3</w:t>
            </w:r>
            <w:r>
              <w:rPr>
                <w:rFonts w:ascii="宋体" w:hAnsi="宋体"/>
                <w:color w:val="FF0000"/>
                <w:kern w:val="0"/>
              </w:rPr>
              <w:t>.</w:t>
            </w:r>
            <w:r>
              <w:rPr>
                <w:rFonts w:hint="eastAsia" w:ascii="宋体" w:hAnsi="宋体"/>
                <w:color w:val="FF0000"/>
                <w:kern w:val="0"/>
              </w:rPr>
              <w:t>知识产权责任：</w:t>
            </w:r>
            <w:r>
              <w:rPr>
                <w:rFonts w:hint="eastAsia" w:ascii="宋体" w:hAnsi="宋体"/>
                <w:color w:val="FF0000"/>
                <w:kern w:val="0"/>
                <w:lang w:val="en-US" w:eastAsia="zh-CN"/>
              </w:rPr>
              <w:t>成交</w:t>
            </w:r>
            <w:r>
              <w:rPr>
                <w:rFonts w:hint="eastAsia" w:ascii="宋体" w:hAnsi="宋体"/>
                <w:color w:val="FF0000"/>
                <w:kern w:val="0"/>
              </w:rPr>
              <w:t>供应商提供货物若侵犯第三方合法权益引发纠纷或诉讼，由</w:t>
            </w:r>
            <w:r>
              <w:rPr>
                <w:rFonts w:hint="eastAsia" w:ascii="宋体" w:hAnsi="宋体"/>
                <w:color w:val="FF0000"/>
                <w:kern w:val="0"/>
                <w:lang w:val="en-US" w:eastAsia="zh-CN"/>
              </w:rPr>
              <w:t>其</w:t>
            </w:r>
            <w:r>
              <w:rPr>
                <w:rFonts w:hint="eastAsia" w:ascii="宋体" w:hAnsi="宋体"/>
                <w:color w:val="FF0000"/>
                <w:kern w:val="0"/>
              </w:rPr>
              <w:t>负责处理并承担全部责任。</w:t>
            </w:r>
            <w:r>
              <w:rPr>
                <w:rFonts w:ascii="MS Mincho" w:hAnsi="MS Mincho" w:cs="MS Mincho"/>
                <w:color w:val="FF0000"/>
                <w:kern w:val="0"/>
              </w:rPr>
              <w:t>​</w:t>
            </w:r>
          </w:p>
          <w:p w14:paraId="68ADB0EC">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4</w:t>
            </w:r>
            <w:r>
              <w:rPr>
                <w:rFonts w:ascii="宋体" w:hAnsi="宋体"/>
                <w:color w:val="FF0000"/>
                <w:kern w:val="0"/>
              </w:rPr>
              <w:t>.</w:t>
            </w:r>
            <w:r>
              <w:rPr>
                <w:rFonts w:hint="eastAsia" w:ascii="宋体" w:hAnsi="宋体"/>
                <w:color w:val="FF0000"/>
                <w:kern w:val="0"/>
              </w:rPr>
              <w:t>包装运输责任：因包装、运输导致货物损坏，按货物质量不合格处理，适用相应违约责任。</w:t>
            </w:r>
            <w:r>
              <w:rPr>
                <w:rFonts w:ascii="MS Mincho" w:hAnsi="MS Mincho" w:cs="MS Mincho"/>
                <w:color w:val="FF0000"/>
                <w:kern w:val="0"/>
              </w:rPr>
              <w:t>​</w:t>
            </w:r>
          </w:p>
          <w:p w14:paraId="6A6930DD">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5</w:t>
            </w:r>
            <w:r>
              <w:rPr>
                <w:rFonts w:ascii="宋体" w:hAnsi="宋体"/>
                <w:color w:val="FF0000"/>
                <w:kern w:val="0"/>
              </w:rPr>
              <w:t>.</w:t>
            </w:r>
            <w:r>
              <w:rPr>
                <w:rFonts w:hint="eastAsia" w:ascii="宋体" w:hAnsi="宋体"/>
                <w:color w:val="FF0000"/>
                <w:kern w:val="0"/>
              </w:rPr>
              <w:t>售后服务违约：</w:t>
            </w:r>
            <w:r>
              <w:rPr>
                <w:rFonts w:hint="eastAsia" w:ascii="宋体" w:hAnsi="宋体"/>
                <w:color w:val="FF0000"/>
                <w:kern w:val="0"/>
                <w:lang w:val="en-US" w:eastAsia="zh-CN"/>
              </w:rPr>
              <w:t>成交</w:t>
            </w:r>
            <w:r>
              <w:rPr>
                <w:rFonts w:hint="eastAsia" w:ascii="宋体" w:hAnsi="宋体"/>
                <w:color w:val="FF0000"/>
                <w:kern w:val="0"/>
              </w:rPr>
              <w:t>供应商未履行服务承诺，需按合同总金额</w:t>
            </w:r>
            <w:r>
              <w:rPr>
                <w:rFonts w:ascii="宋体" w:hAnsi="宋体"/>
                <w:color w:val="FF0000"/>
                <w:kern w:val="0"/>
              </w:rPr>
              <w:t xml:space="preserve"> 30% </w:t>
            </w:r>
            <w:r>
              <w:rPr>
                <w:rFonts w:hint="eastAsia" w:ascii="宋体" w:hAnsi="宋体"/>
                <w:color w:val="FF0000"/>
                <w:kern w:val="0"/>
              </w:rPr>
              <w:t>向采购</w:t>
            </w:r>
            <w:r>
              <w:rPr>
                <w:rFonts w:hint="eastAsia" w:ascii="宋体" w:hAnsi="宋体"/>
                <w:color w:val="FF0000"/>
                <w:kern w:val="0"/>
                <w:lang w:val="en-US" w:eastAsia="zh-CN"/>
              </w:rPr>
              <w:t>人</w:t>
            </w:r>
            <w:r>
              <w:rPr>
                <w:rFonts w:hint="eastAsia" w:ascii="宋体" w:hAnsi="宋体"/>
                <w:color w:val="FF0000"/>
                <w:kern w:val="0"/>
              </w:rPr>
              <w:t>支付违约金。</w:t>
            </w:r>
            <w:r>
              <w:rPr>
                <w:rFonts w:ascii="MS Mincho" w:hAnsi="MS Mincho" w:cs="MS Mincho"/>
                <w:color w:val="FF0000"/>
                <w:kern w:val="0"/>
              </w:rPr>
              <w:t>​</w:t>
            </w:r>
          </w:p>
          <w:p w14:paraId="60847409">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6</w:t>
            </w:r>
            <w:r>
              <w:rPr>
                <w:rFonts w:ascii="宋体" w:hAnsi="宋体"/>
                <w:color w:val="FF0000"/>
                <w:kern w:val="0"/>
              </w:rPr>
              <w:t>.</w:t>
            </w:r>
            <w:r>
              <w:rPr>
                <w:rFonts w:hint="eastAsia" w:ascii="宋体" w:hAnsi="宋体"/>
                <w:color w:val="FF0000"/>
                <w:kern w:val="0"/>
              </w:rPr>
              <w:t>质保期质量责任：在质量保证期内，因设计、工艺、材料缺陷等质量问题，由</w:t>
            </w:r>
            <w:r>
              <w:rPr>
                <w:rFonts w:hint="eastAsia" w:ascii="宋体" w:hAnsi="宋体"/>
                <w:color w:val="FF0000"/>
                <w:kern w:val="0"/>
                <w:lang w:val="en-US" w:eastAsia="zh-CN"/>
              </w:rPr>
              <w:t>成交</w:t>
            </w:r>
            <w:r>
              <w:rPr>
                <w:rFonts w:hint="eastAsia" w:ascii="宋体" w:hAnsi="宋体"/>
                <w:color w:val="FF0000"/>
                <w:kern w:val="0"/>
              </w:rPr>
              <w:t>供应商负责处理至符合采购要求，相关费用由其承担。</w:t>
            </w:r>
            <w:r>
              <w:rPr>
                <w:rFonts w:ascii="MS Mincho" w:hAnsi="MS Mincho" w:cs="MS Mincho"/>
                <w:color w:val="FF0000"/>
                <w:kern w:val="0"/>
              </w:rPr>
              <w:t>​</w:t>
            </w:r>
          </w:p>
          <w:p w14:paraId="361A836F">
            <w:pPr>
              <w:autoSpaceDE w:val="0"/>
              <w:autoSpaceDN w:val="0"/>
              <w:adjustRightInd w:val="0"/>
              <w:spacing w:line="400" w:lineRule="exact"/>
              <w:ind w:firstLine="420" w:firstLineChars="200"/>
              <w:rPr>
                <w:rFonts w:ascii="宋体" w:hAnsi="宋体"/>
                <w:color w:val="FF0000"/>
                <w:kern w:val="0"/>
              </w:rPr>
            </w:pPr>
            <w:r>
              <w:rPr>
                <w:rFonts w:hint="eastAsia" w:ascii="宋体" w:hAnsi="宋体"/>
                <w:color w:val="FF0000"/>
                <w:kern w:val="0"/>
              </w:rPr>
              <w:t>7</w:t>
            </w:r>
            <w:r>
              <w:rPr>
                <w:rFonts w:ascii="宋体" w:hAnsi="宋体"/>
                <w:color w:val="FF0000"/>
                <w:kern w:val="0"/>
              </w:rPr>
              <w:t>.</w:t>
            </w:r>
            <w:r>
              <w:rPr>
                <w:rFonts w:hint="eastAsia" w:ascii="宋体" w:hAnsi="宋体"/>
                <w:color w:val="FF0000"/>
                <w:kern w:val="0"/>
              </w:rPr>
              <w:t>供货延误责任：</w:t>
            </w:r>
            <w:r>
              <w:rPr>
                <w:rFonts w:hint="eastAsia" w:ascii="宋体" w:hAnsi="宋体"/>
                <w:color w:val="FF0000"/>
                <w:kern w:val="0"/>
                <w:lang w:val="en-US" w:eastAsia="zh-CN"/>
              </w:rPr>
              <w:t>成交</w:t>
            </w:r>
            <w:r>
              <w:rPr>
                <w:rFonts w:hint="eastAsia" w:ascii="宋体" w:hAnsi="宋体"/>
                <w:color w:val="FF0000"/>
                <w:kern w:val="0"/>
              </w:rPr>
              <w:t>供应商未能按时供货影响采购</w:t>
            </w:r>
            <w:r>
              <w:rPr>
                <w:rFonts w:hint="eastAsia" w:ascii="宋体" w:hAnsi="宋体"/>
                <w:color w:val="FF0000"/>
                <w:kern w:val="0"/>
                <w:lang w:val="en-US" w:eastAsia="zh-CN"/>
              </w:rPr>
              <w:t>人</w:t>
            </w:r>
            <w:r>
              <w:rPr>
                <w:rFonts w:hint="eastAsia" w:ascii="宋体" w:hAnsi="宋体"/>
                <w:color w:val="FF0000"/>
                <w:kern w:val="0"/>
              </w:rPr>
              <w:t>使用，需承担由此产生的全部后果。</w:t>
            </w:r>
          </w:p>
        </w:tc>
      </w:tr>
    </w:tbl>
    <w:p w14:paraId="6D57C66D">
      <w:pPr>
        <w:rPr>
          <w:rFonts w:ascii="宋体" w:hAnsi="宋体"/>
        </w:rPr>
      </w:pPr>
    </w:p>
    <w:p w14:paraId="5F4E8393">
      <w:pPr>
        <w:rPr>
          <w:rFonts w:ascii="宋体" w:hAnsi="宋体"/>
        </w:rPr>
      </w:pPr>
    </w:p>
    <w:p w14:paraId="621A82EB">
      <w:pPr>
        <w:rPr>
          <w:rFonts w:ascii="宋体" w:hAnsi="宋体"/>
        </w:rPr>
      </w:pPr>
    </w:p>
    <w:p w14:paraId="2E1D51BB">
      <w:pPr>
        <w:rPr>
          <w:rFonts w:ascii="宋体" w:hAnsi="宋体"/>
        </w:rPr>
      </w:pPr>
    </w:p>
    <w:p w14:paraId="35D53D0A">
      <w:pPr>
        <w:rPr>
          <w:rFonts w:ascii="宋体" w:hAnsi="宋体"/>
        </w:rPr>
      </w:pPr>
    </w:p>
    <w:p w14:paraId="509374C2">
      <w:pPr>
        <w:rPr>
          <w:rFonts w:ascii="宋体" w:hAnsi="宋体"/>
        </w:rPr>
      </w:pPr>
    </w:p>
    <w:p w14:paraId="763329CF">
      <w:pPr>
        <w:jc w:val="left"/>
        <w:rPr>
          <w:rFonts w:ascii="仿宋" w:hAnsi="仿宋" w:eastAsia="仿宋" w:cs="Times New Roman"/>
          <w:b/>
          <w:color w:val="FF0000"/>
          <w:kern w:val="0"/>
          <w:sz w:val="32"/>
          <w:szCs w:val="32"/>
          <w:shd w:val="clear" w:color="auto" w:fill="FFFFFF"/>
        </w:rPr>
      </w:pPr>
      <w:r>
        <w:rPr>
          <w:rFonts w:hint="eastAsia" w:ascii="仿宋" w:hAnsi="仿宋" w:eastAsia="仿宋" w:cs="Times New Roman"/>
          <w:b/>
          <w:color w:val="FF0000"/>
          <w:kern w:val="0"/>
          <w:sz w:val="32"/>
          <w:szCs w:val="32"/>
          <w:shd w:val="clear" w:color="auto" w:fill="FFFFFF"/>
        </w:rPr>
        <w:t>3</w:t>
      </w:r>
      <w:r>
        <w:rPr>
          <w:rFonts w:ascii="仿宋" w:hAnsi="仿宋" w:eastAsia="仿宋" w:cs="Times New Roman"/>
          <w:b/>
          <w:color w:val="FF0000"/>
          <w:kern w:val="0"/>
          <w:sz w:val="32"/>
          <w:szCs w:val="32"/>
          <w:shd w:val="clear" w:color="auto" w:fill="FFFFFF"/>
        </w:rPr>
        <w:t>、响应附件要求</w:t>
      </w:r>
    </w:p>
    <w:p w14:paraId="6FDDEB2D">
      <w:pPr>
        <w:rPr>
          <w:rFonts w:ascii="仿宋" w:hAnsi="仿宋" w:eastAsia="仿宋" w:cs="Times New Roman"/>
          <w:color w:val="FF0000"/>
          <w:kern w:val="0"/>
          <w:sz w:val="32"/>
          <w:szCs w:val="32"/>
          <w:shd w:val="clear" w:color="auto" w:fill="FFFFFF"/>
        </w:rPr>
      </w:pPr>
      <w:r>
        <w:rPr>
          <w:rFonts w:hint="eastAsia" w:ascii="仿宋" w:hAnsi="仿宋" w:eastAsia="仿宋" w:cs="Times New Roman"/>
          <w:color w:val="FF0000"/>
          <w:kern w:val="0"/>
          <w:sz w:val="32"/>
          <w:szCs w:val="32"/>
          <w:shd w:val="clear" w:color="auto" w:fill="FFFFFF"/>
        </w:rPr>
        <w:t>（1）报价时必须提交企业营业执照复印件，否则竞标无效。</w:t>
      </w:r>
    </w:p>
    <w:p w14:paraId="68EAFE2D">
      <w:pPr>
        <w:rPr>
          <w:rFonts w:ascii="仿宋" w:hAnsi="仿宋" w:eastAsia="仿宋" w:cs="Times New Roman"/>
          <w:color w:val="FF0000"/>
          <w:kern w:val="0"/>
          <w:sz w:val="32"/>
          <w:szCs w:val="32"/>
          <w:shd w:val="clear" w:color="auto" w:fill="FFFFFF"/>
        </w:rPr>
      </w:pPr>
      <w:r>
        <w:rPr>
          <w:rFonts w:hint="eastAsia" w:ascii="仿宋" w:hAnsi="仿宋" w:eastAsia="仿宋" w:cs="Times New Roman"/>
          <w:color w:val="FF0000"/>
          <w:kern w:val="0"/>
          <w:sz w:val="32"/>
          <w:szCs w:val="32"/>
          <w:shd w:val="clear" w:color="auto" w:fill="FFFFFF"/>
        </w:rPr>
        <w:t>（2）报价时必须提交竞标截止之日前</w:t>
      </w:r>
      <w:bookmarkStart w:id="0" w:name="OLE_LINK1"/>
      <w:r>
        <w:rPr>
          <w:rFonts w:hint="eastAsia" w:ascii="仿宋" w:hAnsi="仿宋" w:eastAsia="仿宋" w:cs="Times New Roman"/>
          <w:color w:val="FF0000"/>
          <w:kern w:val="0"/>
          <w:sz w:val="32"/>
          <w:szCs w:val="32"/>
          <w:shd w:val="clear" w:color="auto" w:fill="FFFFFF"/>
        </w:rPr>
        <w:t>6个月</w:t>
      </w:r>
      <w:bookmarkEnd w:id="0"/>
      <w:r>
        <w:rPr>
          <w:rFonts w:hint="eastAsia" w:ascii="仿宋" w:hAnsi="仿宋" w:eastAsia="仿宋" w:cs="Times New Roman"/>
          <w:color w:val="FF0000"/>
          <w:kern w:val="0"/>
          <w:sz w:val="32"/>
          <w:szCs w:val="32"/>
          <w:shd w:val="clear" w:color="auto" w:fill="FFFFFF"/>
        </w:rPr>
        <w:t>内竞标企业任意1个月依法缴纳税收或依法免缴税收的证明，否则竞标无效。</w:t>
      </w:r>
    </w:p>
    <w:p w14:paraId="52C86846">
      <w:pPr>
        <w:rPr>
          <w:rFonts w:ascii="仿宋" w:hAnsi="仿宋" w:eastAsia="仿宋" w:cs="Times New Roman"/>
          <w:color w:val="FF0000"/>
          <w:kern w:val="0"/>
          <w:sz w:val="32"/>
          <w:szCs w:val="32"/>
          <w:shd w:val="clear" w:color="auto" w:fill="FFFFFF"/>
        </w:rPr>
      </w:pPr>
      <w:r>
        <w:rPr>
          <w:rFonts w:hint="eastAsia" w:ascii="仿宋" w:hAnsi="仿宋" w:eastAsia="仿宋" w:cs="Times New Roman"/>
          <w:color w:val="FF0000"/>
          <w:kern w:val="0"/>
          <w:sz w:val="32"/>
          <w:szCs w:val="32"/>
          <w:shd w:val="clear" w:color="auto" w:fill="FFFFFF"/>
        </w:rPr>
        <w:t>（3）报价时必须提交竞标截止之日前6个月竞标企业任意1个月依法缴纳社会保障资金的证明，否则竞标无效。</w:t>
      </w:r>
    </w:p>
    <w:p w14:paraId="7F69299B">
      <w:pPr>
        <w:rPr>
          <w:rFonts w:ascii="仿宋" w:hAnsi="仿宋" w:eastAsia="仿宋" w:cs="Times New Roman"/>
          <w:color w:val="FF0000"/>
          <w:kern w:val="0"/>
          <w:sz w:val="32"/>
          <w:szCs w:val="32"/>
          <w:shd w:val="clear" w:color="auto" w:fill="FFFFFF"/>
        </w:rPr>
      </w:pPr>
      <w:r>
        <w:rPr>
          <w:rFonts w:hint="eastAsia" w:ascii="仿宋" w:hAnsi="仿宋" w:eastAsia="仿宋" w:cs="Times New Roman"/>
          <w:color w:val="FF0000"/>
          <w:kern w:val="0"/>
          <w:sz w:val="32"/>
          <w:szCs w:val="32"/>
          <w:shd w:val="clear" w:color="auto" w:fill="FFFFFF"/>
        </w:rPr>
        <w:t>（4）根据采购需求提交竞标响应文件并加盖供应商盖公章，否则竞标无效。</w:t>
      </w:r>
    </w:p>
    <w:p w14:paraId="3356227D">
      <w:pPr>
        <w:rPr>
          <w:rFonts w:hint="eastAsia" w:ascii="仿宋" w:hAnsi="仿宋" w:eastAsia="仿宋" w:cs="Times New Roman"/>
          <w:color w:val="FF0000"/>
          <w:kern w:val="0"/>
          <w:sz w:val="32"/>
          <w:szCs w:val="32"/>
          <w:shd w:val="clear" w:color="auto" w:fill="FFFFFF"/>
        </w:rPr>
      </w:pPr>
      <w:r>
        <w:rPr>
          <w:rFonts w:ascii="仿宋" w:hAnsi="仿宋" w:eastAsia="仿宋" w:cs="Times New Roman"/>
          <w:color w:val="FF0000"/>
          <w:kern w:val="0"/>
          <w:sz w:val="32"/>
          <w:szCs w:val="32"/>
          <w:shd w:val="clear" w:color="auto" w:fill="FFFFFF"/>
        </w:rPr>
        <w:t>（</w:t>
      </w:r>
      <w:r>
        <w:rPr>
          <w:rFonts w:hint="eastAsia" w:ascii="仿宋" w:hAnsi="仿宋" w:eastAsia="仿宋" w:cs="Times New Roman"/>
          <w:color w:val="FF0000"/>
          <w:kern w:val="0"/>
          <w:sz w:val="32"/>
          <w:szCs w:val="32"/>
          <w:shd w:val="clear" w:color="auto" w:fill="FFFFFF"/>
        </w:rPr>
        <w:t>5</w:t>
      </w:r>
      <w:r>
        <w:rPr>
          <w:rFonts w:ascii="仿宋" w:hAnsi="仿宋" w:eastAsia="仿宋" w:cs="Times New Roman"/>
          <w:color w:val="FF0000"/>
          <w:kern w:val="0"/>
          <w:sz w:val="32"/>
          <w:szCs w:val="32"/>
          <w:shd w:val="clear" w:color="auto" w:fill="FFFFFF"/>
        </w:rPr>
        <w:t>）</w:t>
      </w:r>
      <w:r>
        <w:rPr>
          <w:rFonts w:hint="eastAsia" w:ascii="仿宋" w:hAnsi="仿宋" w:eastAsia="仿宋" w:cs="Times New Roman"/>
          <w:color w:val="FF0000"/>
          <w:kern w:val="0"/>
          <w:sz w:val="32"/>
          <w:szCs w:val="32"/>
          <w:shd w:val="clear" w:color="auto" w:fill="FFFFFF"/>
        </w:rPr>
        <w:t>供应商必须实质性响应本项目所有技术要求，不允许负偏离。投标时，供应商所投产品须满足或优于技术参数配置要求【需提供《商务、技术响应、偏离情况说明表》（格式自拟）、《竞标报价表》（格式见附件）</w:t>
      </w:r>
      <w:r>
        <w:rPr>
          <w:rFonts w:hint="eastAsia" w:ascii="仿宋" w:hAnsi="仿宋" w:eastAsia="仿宋" w:cs="Times New Roman"/>
          <w:color w:val="FF0000"/>
          <w:kern w:val="0"/>
          <w:sz w:val="32"/>
          <w:szCs w:val="32"/>
          <w:shd w:val="clear" w:color="auto" w:fill="FFFFFF"/>
          <w:lang w:eastAsia="zh-CN"/>
        </w:rPr>
        <w:t>、</w:t>
      </w:r>
      <w:r>
        <w:rPr>
          <w:rFonts w:hint="eastAsia" w:ascii="仿宋" w:hAnsi="仿宋" w:eastAsia="仿宋" w:cs="Times New Roman"/>
          <w:color w:val="FF0000"/>
          <w:kern w:val="0"/>
          <w:sz w:val="32"/>
          <w:szCs w:val="32"/>
          <w:shd w:val="clear" w:color="auto" w:fill="FFFFFF"/>
        </w:rPr>
        <w:t>投标产品的《技术参数配置清单》（格式见附件）及产品符合该制定要求的承诺函（技术要求表中提及需要承诺函的都需描述承诺，格式自拟。），并加盖供应商的单位公章。以上材料加盖供应商公章】，否则视为无效响应。</w:t>
      </w:r>
    </w:p>
    <w:p w14:paraId="18416A1F">
      <w:pPr>
        <w:rPr>
          <w:rFonts w:hint="eastAsia" w:ascii="仿宋" w:hAnsi="仿宋" w:eastAsia="仿宋" w:cs="Times New Roman"/>
          <w:color w:val="FF0000"/>
          <w:kern w:val="0"/>
          <w:sz w:val="32"/>
          <w:szCs w:val="32"/>
          <w:shd w:val="clear" w:color="auto" w:fill="FFFFFF"/>
        </w:rPr>
      </w:pPr>
    </w:p>
    <w:p w14:paraId="4DCEEE37">
      <w:pPr>
        <w:rPr>
          <w:rFonts w:hint="eastAsia" w:ascii="宋体" w:hAnsi="宋体"/>
        </w:rPr>
      </w:pPr>
    </w:p>
    <w:p w14:paraId="796604BD">
      <w:pPr>
        <w:rPr>
          <w:rFonts w:ascii="Calibri" w:hAnsi="Calibri" w:eastAsia="宋体" w:cs="宋体"/>
          <w:szCs w:val="21"/>
        </w:rPr>
      </w:pPr>
      <w:r>
        <w:rPr>
          <w:rFonts w:hint="eastAsia" w:ascii="宋体" w:hAnsi="宋体"/>
        </w:rPr>
        <w:t>附件</w:t>
      </w:r>
    </w:p>
    <w:p w14:paraId="59D0B4BB">
      <w:pPr>
        <w:tabs>
          <w:tab w:val="left" w:pos="3479"/>
        </w:tabs>
        <w:spacing w:line="520" w:lineRule="exact"/>
        <w:jc w:val="center"/>
        <w:rPr>
          <w:rFonts w:ascii="宋体" w:hAnsi="宋体"/>
          <w:b/>
          <w:sz w:val="32"/>
          <w:szCs w:val="32"/>
        </w:rPr>
      </w:pPr>
      <w:r>
        <w:rPr>
          <w:rFonts w:hint="eastAsia" w:ascii="宋体" w:hAnsi="宋体"/>
          <w:b/>
          <w:sz w:val="44"/>
          <w:szCs w:val="44"/>
        </w:rPr>
        <w:t>竞  标  报  价  表</w:t>
      </w:r>
    </w:p>
    <w:p w14:paraId="36B23D54">
      <w:pPr>
        <w:spacing w:line="520" w:lineRule="exact"/>
        <w:jc w:val="center"/>
        <w:rPr>
          <w:rFonts w:ascii="方正小标宋简体" w:hAnsi="Calibri" w:eastAsia="方正小标宋简体"/>
          <w:bCs/>
          <w:sz w:val="32"/>
          <w:szCs w:val="32"/>
        </w:rPr>
      </w:pPr>
      <w:r>
        <w:rPr>
          <w:rFonts w:hint="eastAsia" w:ascii="方正小标宋简体" w:eastAsia="方正小标宋简体"/>
          <w:bCs/>
          <w:sz w:val="32"/>
          <w:szCs w:val="32"/>
        </w:rPr>
        <w:t xml:space="preserve"> </w:t>
      </w:r>
    </w:p>
    <w:p w14:paraId="6EE79FB9">
      <w:pPr>
        <w:snapToGrid w:val="0"/>
        <w:spacing w:line="360" w:lineRule="auto"/>
        <w:rPr>
          <w:rFonts w:ascii="宋体" w:hAnsi="宋体" w:eastAsia="宋体" w:cs="仿宋_GB2312"/>
          <w:sz w:val="24"/>
          <w:szCs w:val="24"/>
        </w:rPr>
      </w:pPr>
      <w:r>
        <w:rPr>
          <w:rFonts w:hint="eastAsia" w:ascii="宋体" w:hAnsi="宋体" w:cs="仿宋_GB2312"/>
          <w:sz w:val="24"/>
          <w:szCs w:val="24"/>
        </w:rPr>
        <w:t>项目名称：                                                                                    单位：元</w:t>
      </w:r>
    </w:p>
    <w:tbl>
      <w:tblPr>
        <w:tblStyle w:val="6"/>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0EFA2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46E75EBD">
            <w:pPr>
              <w:spacing w:line="360" w:lineRule="exact"/>
              <w:jc w:val="center"/>
              <w:rPr>
                <w:rFonts w:ascii="宋体" w:hAnsi="宋体" w:cs="仿宋_GB2312"/>
                <w:b/>
                <w:bCs/>
                <w:szCs w:val="21"/>
              </w:rPr>
            </w:pPr>
            <w:r>
              <w:rPr>
                <w:rFonts w:hint="eastAsia" w:ascii="宋体" w:hAnsi="宋体" w:cs="仿宋_GB2312"/>
                <w:b/>
                <w:bCs/>
              </w:rPr>
              <w:t>项号</w:t>
            </w:r>
          </w:p>
        </w:tc>
        <w:tc>
          <w:tcPr>
            <w:tcW w:w="4343" w:type="dxa"/>
            <w:tcBorders>
              <w:top w:val="single" w:color="auto" w:sz="4" w:space="0"/>
              <w:left w:val="nil"/>
              <w:bottom w:val="single" w:color="auto" w:sz="4" w:space="0"/>
              <w:right w:val="single" w:color="auto" w:sz="4" w:space="0"/>
            </w:tcBorders>
            <w:vAlign w:val="center"/>
          </w:tcPr>
          <w:p w14:paraId="352A4D1B">
            <w:pPr>
              <w:spacing w:line="360" w:lineRule="exact"/>
              <w:jc w:val="center"/>
              <w:rPr>
                <w:rFonts w:ascii="宋体" w:hAnsi="宋体" w:cs="仿宋_GB2312"/>
                <w:b/>
                <w:bCs/>
              </w:rPr>
            </w:pPr>
            <w:r>
              <w:rPr>
                <w:rFonts w:hint="eastAsia" w:ascii="宋体" w:hAnsi="宋体" w:cs="仿宋_GB2312"/>
                <w:b/>
                <w:bCs/>
              </w:rPr>
              <w:t>货物名称</w:t>
            </w:r>
          </w:p>
        </w:tc>
        <w:tc>
          <w:tcPr>
            <w:tcW w:w="2865" w:type="dxa"/>
            <w:tcBorders>
              <w:top w:val="single" w:color="auto" w:sz="4" w:space="0"/>
              <w:left w:val="nil"/>
              <w:bottom w:val="single" w:color="auto" w:sz="4" w:space="0"/>
              <w:right w:val="single" w:color="auto" w:sz="4" w:space="0"/>
            </w:tcBorders>
            <w:vAlign w:val="center"/>
          </w:tcPr>
          <w:p w14:paraId="32DCD37C">
            <w:pPr>
              <w:spacing w:line="360" w:lineRule="exact"/>
              <w:jc w:val="center"/>
              <w:rPr>
                <w:rFonts w:ascii="宋体" w:hAnsi="宋体" w:cs="仿宋_GB2312"/>
                <w:b/>
                <w:bCs/>
              </w:rPr>
            </w:pPr>
            <w:r>
              <w:rPr>
                <w:rFonts w:hint="eastAsia" w:ascii="宋体" w:hAnsi="宋体" w:cs="仿宋_GB2312"/>
                <w:b/>
                <w:bCs/>
              </w:rPr>
              <w:t>品牌</w:t>
            </w:r>
          </w:p>
        </w:tc>
        <w:tc>
          <w:tcPr>
            <w:tcW w:w="1050" w:type="dxa"/>
            <w:tcBorders>
              <w:top w:val="single" w:color="auto" w:sz="4" w:space="0"/>
              <w:left w:val="nil"/>
              <w:bottom w:val="single" w:color="auto" w:sz="4" w:space="0"/>
              <w:right w:val="single" w:color="auto" w:sz="4" w:space="0"/>
            </w:tcBorders>
            <w:vAlign w:val="center"/>
          </w:tcPr>
          <w:p w14:paraId="5CAA0B3F">
            <w:pPr>
              <w:spacing w:line="360" w:lineRule="exact"/>
              <w:jc w:val="center"/>
              <w:rPr>
                <w:rFonts w:ascii="宋体" w:hAnsi="宋体" w:cs="仿宋_GB2312"/>
                <w:b/>
                <w:bCs/>
              </w:rPr>
            </w:pPr>
            <w:r>
              <w:rPr>
                <w:rFonts w:hint="eastAsia" w:ascii="宋体" w:hAnsi="宋体" w:cs="仿宋_GB2312"/>
                <w:b/>
                <w:bCs/>
              </w:rPr>
              <w:t>单位</w:t>
            </w:r>
          </w:p>
        </w:tc>
        <w:tc>
          <w:tcPr>
            <w:tcW w:w="1590" w:type="dxa"/>
            <w:tcBorders>
              <w:top w:val="single" w:color="auto" w:sz="4" w:space="0"/>
              <w:left w:val="nil"/>
              <w:bottom w:val="single" w:color="auto" w:sz="4" w:space="0"/>
              <w:right w:val="single" w:color="auto" w:sz="4" w:space="0"/>
            </w:tcBorders>
            <w:vAlign w:val="center"/>
          </w:tcPr>
          <w:p w14:paraId="027E4981">
            <w:pPr>
              <w:spacing w:line="360" w:lineRule="exact"/>
              <w:jc w:val="center"/>
              <w:rPr>
                <w:rFonts w:ascii="宋体" w:hAnsi="宋体" w:cs="仿宋_GB2312"/>
                <w:b/>
                <w:bCs/>
              </w:rPr>
            </w:pPr>
            <w:r>
              <w:rPr>
                <w:rFonts w:hint="eastAsia" w:ascii="宋体" w:hAnsi="宋体" w:cs="仿宋_GB2312"/>
                <w:b/>
                <w:bCs/>
              </w:rPr>
              <w:t>数量</w:t>
            </w:r>
          </w:p>
          <w:p w14:paraId="41D696A1">
            <w:pPr>
              <w:spacing w:line="360" w:lineRule="exact"/>
              <w:jc w:val="center"/>
              <w:rPr>
                <w:rFonts w:ascii="宋体" w:hAnsi="宋体" w:cs="仿宋_GB2312"/>
                <w:b/>
                <w:bCs/>
              </w:rPr>
            </w:pPr>
            <w:r>
              <w:rPr>
                <w:rFonts w:hint="eastAsia" w:ascii="宋体" w:hAnsi="宋体" w:cs="仿宋_GB2312"/>
                <w:b/>
                <w:bCs/>
              </w:rPr>
              <w:t>①</w:t>
            </w:r>
          </w:p>
        </w:tc>
        <w:tc>
          <w:tcPr>
            <w:tcW w:w="1445" w:type="dxa"/>
            <w:tcBorders>
              <w:top w:val="single" w:color="auto" w:sz="4" w:space="0"/>
              <w:left w:val="nil"/>
              <w:bottom w:val="single" w:color="auto" w:sz="4" w:space="0"/>
              <w:right w:val="single" w:color="auto" w:sz="4" w:space="0"/>
            </w:tcBorders>
            <w:vAlign w:val="center"/>
          </w:tcPr>
          <w:p w14:paraId="605D843E">
            <w:pPr>
              <w:spacing w:line="360" w:lineRule="exact"/>
              <w:jc w:val="center"/>
              <w:rPr>
                <w:rFonts w:ascii="宋体" w:hAnsi="宋体" w:cs="仿宋_GB2312"/>
                <w:b/>
                <w:bCs/>
              </w:rPr>
            </w:pPr>
            <w:r>
              <w:rPr>
                <w:rFonts w:hint="eastAsia" w:ascii="宋体" w:hAnsi="宋体" w:cs="仿宋_GB2312"/>
                <w:b/>
                <w:bCs/>
              </w:rPr>
              <w:t>单价</w:t>
            </w:r>
          </w:p>
          <w:p w14:paraId="7EA722A0">
            <w:pPr>
              <w:spacing w:line="360" w:lineRule="exact"/>
              <w:jc w:val="center"/>
              <w:rPr>
                <w:rFonts w:ascii="宋体" w:hAnsi="宋体" w:cs="仿宋_GB2312"/>
                <w:b/>
                <w:bCs/>
              </w:rPr>
            </w:pPr>
            <w:r>
              <w:rPr>
                <w:rFonts w:hint="eastAsia" w:ascii="宋体" w:hAnsi="宋体" w:cs="仿宋_GB2312"/>
                <w:b/>
                <w:bCs/>
              </w:rPr>
              <w:t>②</w:t>
            </w:r>
          </w:p>
        </w:tc>
        <w:tc>
          <w:tcPr>
            <w:tcW w:w="2383" w:type="dxa"/>
            <w:tcBorders>
              <w:top w:val="single" w:color="auto" w:sz="4" w:space="0"/>
              <w:left w:val="nil"/>
              <w:bottom w:val="single" w:color="auto" w:sz="4" w:space="0"/>
              <w:right w:val="single" w:color="auto" w:sz="4" w:space="0"/>
            </w:tcBorders>
            <w:vAlign w:val="center"/>
          </w:tcPr>
          <w:p w14:paraId="6CE847BD">
            <w:pPr>
              <w:spacing w:line="360" w:lineRule="exact"/>
              <w:jc w:val="center"/>
              <w:rPr>
                <w:rFonts w:ascii="宋体" w:hAnsi="宋体" w:cs="仿宋_GB2312"/>
                <w:b/>
                <w:bCs/>
              </w:rPr>
            </w:pPr>
            <w:r>
              <w:rPr>
                <w:rFonts w:hint="eastAsia" w:ascii="宋体" w:hAnsi="宋体" w:cs="仿宋_GB2312"/>
                <w:b/>
                <w:bCs/>
              </w:rPr>
              <w:t>竞标报价</w:t>
            </w:r>
          </w:p>
          <w:p w14:paraId="261501FE">
            <w:pPr>
              <w:spacing w:line="360" w:lineRule="exact"/>
              <w:jc w:val="center"/>
              <w:rPr>
                <w:rFonts w:ascii="宋体" w:hAnsi="宋体" w:cs="仿宋_GB2312"/>
                <w:b/>
                <w:bCs/>
              </w:rPr>
            </w:pPr>
            <w:r>
              <w:rPr>
                <w:rFonts w:hint="eastAsia" w:ascii="宋体" w:hAnsi="宋体" w:cs="仿宋_GB2312"/>
                <w:b/>
                <w:bCs/>
              </w:rPr>
              <w:t>③=①×②</w:t>
            </w:r>
          </w:p>
        </w:tc>
      </w:tr>
      <w:tr w14:paraId="33AC3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E0928F0">
            <w:pPr>
              <w:spacing w:line="360" w:lineRule="auto"/>
              <w:jc w:val="center"/>
              <w:rPr>
                <w:rFonts w:ascii="宋体" w:hAnsi="宋体" w:cs="仿宋_GB2312"/>
              </w:rPr>
            </w:pPr>
            <w:r>
              <w:rPr>
                <w:rFonts w:hint="eastAsia" w:ascii="宋体" w:hAnsi="宋体" w:cs="仿宋_GB2312"/>
              </w:rPr>
              <w:t>1</w:t>
            </w:r>
          </w:p>
        </w:tc>
        <w:tc>
          <w:tcPr>
            <w:tcW w:w="4343" w:type="dxa"/>
            <w:tcBorders>
              <w:top w:val="single" w:color="auto" w:sz="4" w:space="0"/>
              <w:left w:val="nil"/>
              <w:bottom w:val="single" w:color="auto" w:sz="4" w:space="0"/>
              <w:right w:val="single" w:color="auto" w:sz="4" w:space="0"/>
            </w:tcBorders>
            <w:vAlign w:val="center"/>
          </w:tcPr>
          <w:p w14:paraId="30745761">
            <w:pPr>
              <w:spacing w:line="320" w:lineRule="exact"/>
              <w:jc w:val="center"/>
              <w:rPr>
                <w:rFonts w:ascii="仿宋" w:hAnsi="仿宋" w:eastAsia="PMingLiU" w:cs="方正小标宋简体"/>
                <w:color w:val="000000" w:themeColor="text1"/>
                <w:kern w:val="0"/>
                <w:szCs w:val="21"/>
                <w:lang w:val="zh-TW" w:eastAsia="zh-TW" w:bidi="zh-TW"/>
                <w14:textFill>
                  <w14:solidFill>
                    <w14:schemeClr w14:val="tx1"/>
                  </w14:solidFill>
                </w14:textFill>
              </w:rPr>
            </w:pPr>
            <w:r>
              <w:rPr>
                <w:rFonts w:hint="eastAsia" w:ascii="仿宋" w:hAnsi="仿宋" w:eastAsia="仿宋" w:cs="方正小标宋简体"/>
                <w:color w:val="000000" w:themeColor="text1"/>
                <w:kern w:val="0"/>
                <w:szCs w:val="21"/>
                <w:lang w:val="zh-TW" w:eastAsia="zh-TW" w:bidi="zh-TW"/>
                <w14:textFill>
                  <w14:solidFill>
                    <w14:schemeClr w14:val="tx1"/>
                  </w14:solidFill>
                </w14:textFill>
              </w:rPr>
              <w:t>全彩色舞台LED显示系统</w:t>
            </w:r>
          </w:p>
        </w:tc>
        <w:tc>
          <w:tcPr>
            <w:tcW w:w="2865" w:type="dxa"/>
            <w:tcBorders>
              <w:top w:val="single" w:color="auto" w:sz="4" w:space="0"/>
              <w:left w:val="nil"/>
              <w:bottom w:val="single" w:color="auto" w:sz="4" w:space="0"/>
              <w:right w:val="single" w:color="auto" w:sz="4" w:space="0"/>
            </w:tcBorders>
            <w:vAlign w:val="center"/>
          </w:tcPr>
          <w:p w14:paraId="7A48F60F">
            <w:pPr>
              <w:spacing w:line="360" w:lineRule="auto"/>
              <w:jc w:val="center"/>
              <w:rPr>
                <w:rFonts w:ascii="宋体" w:hAnsi="宋体" w:cs="仿宋_GB2312"/>
                <w:color w:val="000000" w:themeColor="text1"/>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vAlign w:val="center"/>
          </w:tcPr>
          <w:p w14:paraId="5C1484C6">
            <w:pPr>
              <w:spacing w:line="360" w:lineRule="exact"/>
              <w:jc w:val="center"/>
              <w:rPr>
                <w:rFonts w:ascii="宋体" w:hAnsi="宋体" w:cs="仿宋_GB2312"/>
                <w:b/>
                <w:bCs/>
                <w:color w:val="000000" w:themeColor="text1"/>
                <w14:textFill>
                  <w14:solidFill>
                    <w14:schemeClr w14:val="tx1"/>
                  </w14:solidFill>
                </w14:textFill>
              </w:rPr>
            </w:pPr>
            <w:r>
              <w:rPr>
                <w:rFonts w:hint="eastAsia" w:ascii="宋体" w:hAnsi="宋体"/>
                <w:color w:val="000000" w:themeColor="text1"/>
                <w:kern w:val="0"/>
                <w:sz w:val="22"/>
                <w14:textFill>
                  <w14:solidFill>
                    <w14:schemeClr w14:val="tx1"/>
                  </w14:solidFill>
                </w14:textFill>
              </w:rPr>
              <w:t>套</w:t>
            </w:r>
          </w:p>
        </w:tc>
        <w:tc>
          <w:tcPr>
            <w:tcW w:w="1590" w:type="dxa"/>
            <w:tcBorders>
              <w:top w:val="single" w:color="auto" w:sz="4" w:space="0"/>
              <w:left w:val="nil"/>
              <w:bottom w:val="single" w:color="auto" w:sz="4" w:space="0"/>
              <w:right w:val="single" w:color="auto" w:sz="4" w:space="0"/>
            </w:tcBorders>
            <w:vAlign w:val="center"/>
          </w:tcPr>
          <w:p w14:paraId="1A368C5B">
            <w:pPr>
              <w:spacing w:line="360" w:lineRule="exact"/>
              <w:jc w:val="center"/>
              <w:rPr>
                <w:rFonts w:ascii="宋体" w:hAnsi="宋体" w:cs="仿宋_GB2312"/>
                <w:b/>
                <w:bCs/>
                <w:color w:val="000000" w:themeColor="text1"/>
                <w14:textFill>
                  <w14:solidFill>
                    <w14:schemeClr w14:val="tx1"/>
                  </w14:solidFill>
                </w14:textFill>
              </w:rPr>
            </w:pPr>
            <w:r>
              <w:rPr>
                <w:rFonts w:ascii="宋体" w:hAnsi="宋体"/>
                <w:color w:val="000000" w:themeColor="text1"/>
                <w:kern w:val="0"/>
                <w:sz w:val="22"/>
                <w14:textFill>
                  <w14:solidFill>
                    <w14:schemeClr w14:val="tx1"/>
                  </w14:solidFill>
                </w14:textFill>
              </w:rPr>
              <w:t>1</w:t>
            </w:r>
            <w:r>
              <w:rPr>
                <w:rFonts w:hint="eastAsia" w:ascii="宋体" w:hAnsi="宋体"/>
                <w:color w:val="000000" w:themeColor="text1"/>
                <w:kern w:val="0"/>
                <w:sz w:val="22"/>
                <w14:textFill>
                  <w14:solidFill>
                    <w14:schemeClr w14:val="tx1"/>
                  </w14:solidFill>
                </w14:textFill>
              </w:rPr>
              <w:t xml:space="preserve"> </w:t>
            </w:r>
          </w:p>
        </w:tc>
        <w:tc>
          <w:tcPr>
            <w:tcW w:w="1445" w:type="dxa"/>
            <w:tcBorders>
              <w:top w:val="single" w:color="auto" w:sz="4" w:space="0"/>
              <w:left w:val="nil"/>
              <w:bottom w:val="single" w:color="auto" w:sz="4" w:space="0"/>
              <w:right w:val="single" w:color="auto" w:sz="4" w:space="0"/>
            </w:tcBorders>
            <w:vAlign w:val="center"/>
          </w:tcPr>
          <w:p w14:paraId="39B32C2B">
            <w:pPr>
              <w:spacing w:line="360" w:lineRule="auto"/>
              <w:jc w:val="center"/>
              <w:rPr>
                <w:rFonts w:ascii="宋体" w:hAnsi="宋体" w:cs="仿宋_GB2312"/>
                <w:color w:val="000000" w:themeColor="text1"/>
                <w14:textFill>
                  <w14:solidFill>
                    <w14:schemeClr w14:val="tx1"/>
                  </w14:solidFill>
                </w14:textFill>
              </w:rPr>
            </w:pPr>
          </w:p>
        </w:tc>
        <w:tc>
          <w:tcPr>
            <w:tcW w:w="2383" w:type="dxa"/>
            <w:tcBorders>
              <w:top w:val="single" w:color="auto" w:sz="4" w:space="0"/>
              <w:left w:val="nil"/>
              <w:bottom w:val="single" w:color="auto" w:sz="4" w:space="0"/>
              <w:right w:val="single" w:color="auto" w:sz="4" w:space="0"/>
            </w:tcBorders>
            <w:vAlign w:val="center"/>
          </w:tcPr>
          <w:p w14:paraId="29B22E70">
            <w:pPr>
              <w:spacing w:line="360" w:lineRule="auto"/>
              <w:jc w:val="center"/>
              <w:rPr>
                <w:rFonts w:ascii="宋体" w:hAnsi="宋体" w:cs="仿宋_GB2312"/>
                <w:color w:val="000000" w:themeColor="text1"/>
                <w14:textFill>
                  <w14:solidFill>
                    <w14:schemeClr w14:val="tx1"/>
                  </w14:solidFill>
                </w14:textFill>
              </w:rPr>
            </w:pPr>
          </w:p>
        </w:tc>
      </w:tr>
      <w:tr w14:paraId="12121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70BC9F0A">
            <w:pPr>
              <w:spacing w:line="360" w:lineRule="auto"/>
              <w:jc w:val="center"/>
              <w:rPr>
                <w:rFonts w:ascii="宋体" w:hAnsi="宋体" w:cs="仿宋_GB2312"/>
              </w:rPr>
            </w:pPr>
            <w:r>
              <w:rPr>
                <w:rFonts w:hint="eastAsia" w:ascii="宋体" w:hAnsi="宋体" w:cs="仿宋_GB2312"/>
              </w:rPr>
              <w:t>2</w:t>
            </w:r>
          </w:p>
        </w:tc>
        <w:tc>
          <w:tcPr>
            <w:tcW w:w="4343" w:type="dxa"/>
            <w:tcBorders>
              <w:top w:val="single" w:color="auto" w:sz="4" w:space="0"/>
              <w:left w:val="nil"/>
              <w:bottom w:val="single" w:color="auto" w:sz="4" w:space="0"/>
              <w:right w:val="single" w:color="auto" w:sz="4" w:space="0"/>
            </w:tcBorders>
            <w:vAlign w:val="center"/>
          </w:tcPr>
          <w:p w14:paraId="0F2E2D2F">
            <w:pPr>
              <w:spacing w:line="360" w:lineRule="auto"/>
              <w:jc w:val="center"/>
              <w:rPr>
                <w:rFonts w:ascii="宋体" w:hAnsi="宋体" w:cs="仿宋_GB2312"/>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单色LED显示系统</w:t>
            </w:r>
          </w:p>
        </w:tc>
        <w:tc>
          <w:tcPr>
            <w:tcW w:w="2865" w:type="dxa"/>
            <w:tcBorders>
              <w:top w:val="single" w:color="auto" w:sz="4" w:space="0"/>
              <w:left w:val="nil"/>
              <w:bottom w:val="single" w:color="auto" w:sz="4" w:space="0"/>
              <w:right w:val="single" w:color="auto" w:sz="4" w:space="0"/>
            </w:tcBorders>
            <w:vAlign w:val="center"/>
          </w:tcPr>
          <w:p w14:paraId="798822F0">
            <w:pPr>
              <w:spacing w:line="360" w:lineRule="auto"/>
              <w:jc w:val="center"/>
              <w:rPr>
                <w:rFonts w:ascii="宋体" w:hAnsi="宋体" w:cs="仿宋_GB2312"/>
                <w:color w:val="000000" w:themeColor="text1"/>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vAlign w:val="center"/>
          </w:tcPr>
          <w:p w14:paraId="76B13A3C">
            <w:pPr>
              <w:spacing w:line="360" w:lineRule="exact"/>
              <w:jc w:val="center"/>
              <w:rPr>
                <w:rFonts w:ascii="宋体" w:hAnsi="宋体" w:cs="仿宋_GB2312"/>
                <w:b/>
                <w:bCs/>
                <w:color w:val="000000" w:themeColor="text1"/>
                <w14:textFill>
                  <w14:solidFill>
                    <w14:schemeClr w14:val="tx1"/>
                  </w14:solidFill>
                </w14:textFill>
              </w:rPr>
            </w:pPr>
            <w:r>
              <w:rPr>
                <w:rFonts w:hint="eastAsia" w:ascii="宋体" w:hAnsi="宋体"/>
                <w:color w:val="000000" w:themeColor="text1"/>
                <w:kern w:val="0"/>
                <w:sz w:val="22"/>
                <w14:textFill>
                  <w14:solidFill>
                    <w14:schemeClr w14:val="tx1"/>
                  </w14:solidFill>
                </w14:textFill>
              </w:rPr>
              <w:t>套</w:t>
            </w:r>
          </w:p>
        </w:tc>
        <w:tc>
          <w:tcPr>
            <w:tcW w:w="1590" w:type="dxa"/>
            <w:tcBorders>
              <w:top w:val="single" w:color="auto" w:sz="4" w:space="0"/>
              <w:left w:val="nil"/>
              <w:bottom w:val="single" w:color="auto" w:sz="4" w:space="0"/>
              <w:right w:val="single" w:color="auto" w:sz="4" w:space="0"/>
            </w:tcBorders>
            <w:vAlign w:val="center"/>
          </w:tcPr>
          <w:p w14:paraId="0814031E">
            <w:pPr>
              <w:spacing w:line="360" w:lineRule="exact"/>
              <w:jc w:val="center"/>
              <w:rPr>
                <w:rFonts w:ascii="宋体" w:hAns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1</w:t>
            </w:r>
          </w:p>
        </w:tc>
        <w:tc>
          <w:tcPr>
            <w:tcW w:w="1445" w:type="dxa"/>
            <w:tcBorders>
              <w:top w:val="single" w:color="auto" w:sz="4" w:space="0"/>
              <w:left w:val="nil"/>
              <w:bottom w:val="single" w:color="auto" w:sz="4" w:space="0"/>
              <w:right w:val="single" w:color="auto" w:sz="4" w:space="0"/>
            </w:tcBorders>
            <w:vAlign w:val="center"/>
          </w:tcPr>
          <w:p w14:paraId="02C837FF">
            <w:pPr>
              <w:spacing w:line="360" w:lineRule="auto"/>
              <w:jc w:val="center"/>
              <w:rPr>
                <w:rFonts w:ascii="宋体" w:hAnsi="宋体" w:cs="仿宋_GB2312"/>
                <w:color w:val="000000" w:themeColor="text1"/>
                <w14:textFill>
                  <w14:solidFill>
                    <w14:schemeClr w14:val="tx1"/>
                  </w14:solidFill>
                </w14:textFill>
              </w:rPr>
            </w:pPr>
          </w:p>
        </w:tc>
        <w:tc>
          <w:tcPr>
            <w:tcW w:w="2383" w:type="dxa"/>
            <w:tcBorders>
              <w:top w:val="single" w:color="auto" w:sz="4" w:space="0"/>
              <w:left w:val="nil"/>
              <w:bottom w:val="single" w:color="auto" w:sz="4" w:space="0"/>
              <w:right w:val="single" w:color="auto" w:sz="4" w:space="0"/>
            </w:tcBorders>
            <w:vAlign w:val="center"/>
          </w:tcPr>
          <w:p w14:paraId="5618D78D">
            <w:pPr>
              <w:spacing w:line="360" w:lineRule="auto"/>
              <w:jc w:val="center"/>
              <w:rPr>
                <w:rFonts w:ascii="宋体" w:hAnsi="宋体" w:cs="仿宋_GB2312"/>
                <w:color w:val="000000" w:themeColor="text1"/>
                <w14:textFill>
                  <w14:solidFill>
                    <w14:schemeClr w14:val="tx1"/>
                  </w14:solidFill>
                </w14:textFill>
              </w:rPr>
            </w:pPr>
          </w:p>
        </w:tc>
      </w:tr>
      <w:tr w14:paraId="4CB33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A61126F">
            <w:pPr>
              <w:spacing w:line="360" w:lineRule="auto"/>
              <w:jc w:val="center"/>
              <w:rPr>
                <w:rFonts w:ascii="宋体" w:hAnsi="宋体" w:cs="仿宋_GB2312"/>
              </w:rPr>
            </w:pPr>
            <w:r>
              <w:rPr>
                <w:rFonts w:hint="eastAsia" w:ascii="宋体" w:hAnsi="宋体" w:cs="仿宋_GB2312"/>
              </w:rPr>
              <w:t>…</w:t>
            </w:r>
          </w:p>
        </w:tc>
        <w:tc>
          <w:tcPr>
            <w:tcW w:w="4343" w:type="dxa"/>
            <w:tcBorders>
              <w:top w:val="single" w:color="auto" w:sz="4" w:space="0"/>
              <w:left w:val="nil"/>
              <w:bottom w:val="single" w:color="auto" w:sz="4" w:space="0"/>
              <w:right w:val="single" w:color="auto" w:sz="4" w:space="0"/>
            </w:tcBorders>
            <w:vAlign w:val="center"/>
          </w:tcPr>
          <w:p w14:paraId="590D20C3">
            <w:pPr>
              <w:spacing w:line="360" w:lineRule="auto"/>
              <w:jc w:val="center"/>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w:t>
            </w:r>
          </w:p>
        </w:tc>
        <w:tc>
          <w:tcPr>
            <w:tcW w:w="2865" w:type="dxa"/>
            <w:tcBorders>
              <w:top w:val="single" w:color="auto" w:sz="4" w:space="0"/>
              <w:left w:val="nil"/>
              <w:bottom w:val="single" w:color="auto" w:sz="4" w:space="0"/>
              <w:right w:val="single" w:color="auto" w:sz="4" w:space="0"/>
            </w:tcBorders>
            <w:vAlign w:val="center"/>
          </w:tcPr>
          <w:p w14:paraId="67AEBD04">
            <w:pPr>
              <w:spacing w:line="360" w:lineRule="auto"/>
              <w:jc w:val="center"/>
              <w:rPr>
                <w:rFonts w:ascii="宋体" w:hAnsi="宋体" w:cs="仿宋_GB2312"/>
                <w:color w:val="000000" w:themeColor="text1"/>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vAlign w:val="center"/>
          </w:tcPr>
          <w:p w14:paraId="35963D09">
            <w:pPr>
              <w:spacing w:line="360" w:lineRule="exact"/>
              <w:jc w:val="center"/>
              <w:rPr>
                <w:rFonts w:ascii="宋体" w:hAnsi="宋体" w:cs="仿宋_GB2312"/>
                <w:b/>
                <w:bCs/>
                <w:color w:val="000000" w:themeColor="text1"/>
                <w14:textFill>
                  <w14:solidFill>
                    <w14:schemeClr w14:val="tx1"/>
                  </w14:solidFill>
                </w14:textFill>
              </w:rPr>
            </w:pPr>
          </w:p>
        </w:tc>
        <w:tc>
          <w:tcPr>
            <w:tcW w:w="1590" w:type="dxa"/>
            <w:tcBorders>
              <w:top w:val="single" w:color="auto" w:sz="4" w:space="0"/>
              <w:left w:val="nil"/>
              <w:bottom w:val="single" w:color="auto" w:sz="4" w:space="0"/>
              <w:right w:val="single" w:color="auto" w:sz="4" w:space="0"/>
            </w:tcBorders>
            <w:vAlign w:val="center"/>
          </w:tcPr>
          <w:p w14:paraId="5FB06267">
            <w:pPr>
              <w:spacing w:line="360" w:lineRule="exact"/>
              <w:jc w:val="center"/>
              <w:rPr>
                <w:rFonts w:ascii="宋体" w:hAnsi="宋体" w:cs="仿宋_GB2312"/>
                <w:b/>
                <w:bCs/>
                <w:color w:val="000000" w:themeColor="text1"/>
                <w14:textFill>
                  <w14:solidFill>
                    <w14:schemeClr w14:val="tx1"/>
                  </w14:solidFill>
                </w14:textFill>
              </w:rPr>
            </w:pPr>
          </w:p>
        </w:tc>
        <w:tc>
          <w:tcPr>
            <w:tcW w:w="1445" w:type="dxa"/>
            <w:tcBorders>
              <w:top w:val="single" w:color="auto" w:sz="4" w:space="0"/>
              <w:left w:val="nil"/>
              <w:bottom w:val="single" w:color="auto" w:sz="4" w:space="0"/>
              <w:right w:val="single" w:color="auto" w:sz="4" w:space="0"/>
            </w:tcBorders>
            <w:vAlign w:val="center"/>
          </w:tcPr>
          <w:p w14:paraId="0CBBE4FC">
            <w:pPr>
              <w:spacing w:line="360" w:lineRule="auto"/>
              <w:jc w:val="center"/>
              <w:rPr>
                <w:rFonts w:ascii="宋体" w:hAnsi="宋体" w:cs="仿宋_GB2312"/>
                <w:color w:val="000000" w:themeColor="text1"/>
                <w14:textFill>
                  <w14:solidFill>
                    <w14:schemeClr w14:val="tx1"/>
                  </w14:solidFill>
                </w14:textFill>
              </w:rPr>
            </w:pPr>
          </w:p>
        </w:tc>
        <w:tc>
          <w:tcPr>
            <w:tcW w:w="2383" w:type="dxa"/>
            <w:tcBorders>
              <w:top w:val="single" w:color="auto" w:sz="4" w:space="0"/>
              <w:left w:val="nil"/>
              <w:bottom w:val="single" w:color="auto" w:sz="4" w:space="0"/>
              <w:right w:val="single" w:color="auto" w:sz="4" w:space="0"/>
            </w:tcBorders>
            <w:vAlign w:val="center"/>
          </w:tcPr>
          <w:p w14:paraId="1F4C49AD">
            <w:pPr>
              <w:spacing w:line="360" w:lineRule="auto"/>
              <w:jc w:val="center"/>
              <w:rPr>
                <w:rFonts w:ascii="宋体" w:hAnsi="宋体" w:cs="仿宋_GB2312"/>
                <w:color w:val="000000" w:themeColor="text1"/>
                <w14:textFill>
                  <w14:solidFill>
                    <w14:schemeClr w14:val="tx1"/>
                  </w14:solidFill>
                </w14:textFill>
              </w:rPr>
            </w:pPr>
          </w:p>
        </w:tc>
      </w:tr>
      <w:tr w14:paraId="17D8F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12A5708E">
            <w:pPr>
              <w:spacing w:line="360" w:lineRule="auto"/>
              <w:jc w:val="center"/>
              <w:rPr>
                <w:rFonts w:ascii="宋体" w:hAnsi="宋体" w:cs="仿宋_GB2312"/>
              </w:rPr>
            </w:pPr>
            <w:r>
              <w:rPr>
                <w:rFonts w:hint="eastAsia" w:ascii="宋体" w:hAnsi="宋体" w:cs="仿宋_GB2312"/>
              </w:rPr>
              <w:t>…</w:t>
            </w:r>
          </w:p>
        </w:tc>
        <w:tc>
          <w:tcPr>
            <w:tcW w:w="4343" w:type="dxa"/>
            <w:tcBorders>
              <w:top w:val="single" w:color="auto" w:sz="4" w:space="0"/>
              <w:left w:val="nil"/>
              <w:bottom w:val="single" w:color="auto" w:sz="4" w:space="0"/>
              <w:right w:val="single" w:color="auto" w:sz="4" w:space="0"/>
            </w:tcBorders>
            <w:vAlign w:val="center"/>
          </w:tcPr>
          <w:p w14:paraId="6FDBBF11">
            <w:pPr>
              <w:spacing w:line="360" w:lineRule="auto"/>
              <w:jc w:val="center"/>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w:t>
            </w:r>
          </w:p>
        </w:tc>
        <w:tc>
          <w:tcPr>
            <w:tcW w:w="2865" w:type="dxa"/>
            <w:tcBorders>
              <w:top w:val="single" w:color="auto" w:sz="4" w:space="0"/>
              <w:left w:val="nil"/>
              <w:bottom w:val="single" w:color="auto" w:sz="4" w:space="0"/>
              <w:right w:val="single" w:color="auto" w:sz="4" w:space="0"/>
            </w:tcBorders>
            <w:vAlign w:val="center"/>
          </w:tcPr>
          <w:p w14:paraId="5C3DD3F4">
            <w:pPr>
              <w:spacing w:line="360" w:lineRule="auto"/>
              <w:jc w:val="center"/>
              <w:rPr>
                <w:rFonts w:ascii="宋体" w:hAnsi="宋体" w:cs="仿宋_GB2312"/>
                <w:color w:val="000000" w:themeColor="text1"/>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vAlign w:val="center"/>
          </w:tcPr>
          <w:p w14:paraId="4AF91D51">
            <w:pPr>
              <w:spacing w:line="360" w:lineRule="exact"/>
              <w:jc w:val="center"/>
              <w:rPr>
                <w:rFonts w:ascii="宋体" w:hAnsi="宋体" w:cs="仿宋_GB2312"/>
                <w:b/>
                <w:bCs/>
                <w:color w:val="000000" w:themeColor="text1"/>
                <w14:textFill>
                  <w14:solidFill>
                    <w14:schemeClr w14:val="tx1"/>
                  </w14:solidFill>
                </w14:textFill>
              </w:rPr>
            </w:pPr>
          </w:p>
        </w:tc>
        <w:tc>
          <w:tcPr>
            <w:tcW w:w="1590" w:type="dxa"/>
            <w:tcBorders>
              <w:top w:val="single" w:color="auto" w:sz="4" w:space="0"/>
              <w:left w:val="nil"/>
              <w:bottom w:val="single" w:color="auto" w:sz="4" w:space="0"/>
              <w:right w:val="single" w:color="auto" w:sz="4" w:space="0"/>
            </w:tcBorders>
            <w:vAlign w:val="center"/>
          </w:tcPr>
          <w:p w14:paraId="51E698EC">
            <w:pPr>
              <w:spacing w:line="360" w:lineRule="exact"/>
              <w:jc w:val="center"/>
              <w:rPr>
                <w:rFonts w:ascii="宋体" w:hAnsi="宋体" w:cs="仿宋_GB2312"/>
                <w:b/>
                <w:bCs/>
                <w:color w:val="000000" w:themeColor="text1"/>
                <w14:textFill>
                  <w14:solidFill>
                    <w14:schemeClr w14:val="tx1"/>
                  </w14:solidFill>
                </w14:textFill>
              </w:rPr>
            </w:pPr>
          </w:p>
        </w:tc>
        <w:tc>
          <w:tcPr>
            <w:tcW w:w="1445" w:type="dxa"/>
            <w:tcBorders>
              <w:top w:val="single" w:color="auto" w:sz="4" w:space="0"/>
              <w:left w:val="nil"/>
              <w:bottom w:val="single" w:color="auto" w:sz="4" w:space="0"/>
              <w:right w:val="single" w:color="auto" w:sz="4" w:space="0"/>
            </w:tcBorders>
            <w:vAlign w:val="center"/>
          </w:tcPr>
          <w:p w14:paraId="1685702D">
            <w:pPr>
              <w:spacing w:line="360" w:lineRule="auto"/>
              <w:jc w:val="center"/>
              <w:rPr>
                <w:rFonts w:ascii="宋体" w:hAnsi="宋体" w:cs="仿宋_GB2312"/>
                <w:color w:val="000000" w:themeColor="text1"/>
                <w14:textFill>
                  <w14:solidFill>
                    <w14:schemeClr w14:val="tx1"/>
                  </w14:solidFill>
                </w14:textFill>
              </w:rPr>
            </w:pPr>
          </w:p>
        </w:tc>
        <w:tc>
          <w:tcPr>
            <w:tcW w:w="2383" w:type="dxa"/>
            <w:tcBorders>
              <w:top w:val="single" w:color="auto" w:sz="4" w:space="0"/>
              <w:left w:val="nil"/>
              <w:bottom w:val="single" w:color="auto" w:sz="4" w:space="0"/>
              <w:right w:val="single" w:color="auto" w:sz="4" w:space="0"/>
            </w:tcBorders>
            <w:vAlign w:val="center"/>
          </w:tcPr>
          <w:p w14:paraId="182D2B0B">
            <w:pPr>
              <w:spacing w:line="360" w:lineRule="auto"/>
              <w:jc w:val="center"/>
              <w:rPr>
                <w:rFonts w:ascii="宋体" w:hAnsi="宋体" w:cs="仿宋_GB2312"/>
                <w:color w:val="000000" w:themeColor="text1"/>
                <w14:textFill>
                  <w14:solidFill>
                    <w14:schemeClr w14:val="tx1"/>
                  </w14:solidFill>
                </w14:textFill>
              </w:rPr>
            </w:pPr>
          </w:p>
        </w:tc>
      </w:tr>
      <w:tr w14:paraId="6C0F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7A7EC317">
            <w:pPr>
              <w:snapToGrid w:val="0"/>
              <w:spacing w:line="360" w:lineRule="auto"/>
              <w:rPr>
                <w:rFonts w:ascii="宋体" w:hAnsi="宋体" w:cs="仿宋_GB2312"/>
                <w:u w:val="single"/>
              </w:rPr>
            </w:pPr>
            <w:r>
              <w:rPr>
                <w:rFonts w:hint="eastAsia" w:ascii="宋体" w:hAnsi="宋体" w:cs="仿宋_GB2312"/>
              </w:rPr>
              <w:t>合计金额大写：人民币      （</w:t>
            </w:r>
            <w:r>
              <w:rPr>
                <w:rFonts w:hint="eastAsia" w:ascii="宋体" w:hAnsi="宋体"/>
              </w:rPr>
              <w:t>￥</w:t>
            </w:r>
            <w:r>
              <w:rPr>
                <w:rFonts w:hint="eastAsia" w:ascii="宋体" w:hAnsi="宋体" w:cs="仿宋_GB2312"/>
              </w:rPr>
              <w:t>：   ）</w:t>
            </w:r>
          </w:p>
        </w:tc>
      </w:tr>
    </w:tbl>
    <w:p w14:paraId="20F04B6C">
      <w:pPr>
        <w:spacing w:line="360" w:lineRule="exact"/>
        <w:ind w:firstLine="420" w:firstLineChars="200"/>
        <w:contextualSpacing/>
        <w:rPr>
          <w:rFonts w:ascii="宋体" w:hAnsi="宋体" w:cs="Times New Roman"/>
          <w:szCs w:val="21"/>
        </w:rPr>
      </w:pPr>
      <w:r>
        <w:rPr>
          <w:rFonts w:hint="eastAsia" w:ascii="宋体" w:hAnsi="宋体" w:cs="Times New Roman"/>
        </w:rPr>
        <w:t>注: 1.所有价格均用人民币表示，单位为元，精确到小数点后两数位。</w:t>
      </w:r>
    </w:p>
    <w:p w14:paraId="3D8A3EC8">
      <w:pPr>
        <w:spacing w:line="360" w:lineRule="exact"/>
        <w:ind w:firstLine="840" w:firstLineChars="400"/>
        <w:contextualSpacing/>
        <w:rPr>
          <w:rFonts w:ascii="宋体" w:hAnsi="宋体" w:cs="Times New Roman"/>
        </w:rPr>
      </w:pPr>
      <w:r>
        <w:rPr>
          <w:rFonts w:hint="eastAsia" w:ascii="宋体" w:hAnsi="宋体" w:cs="Times New Roman"/>
        </w:rPr>
        <w:t>2、供应商的报价表必须加盖供应商公章并由法定代表人或者委托代理人签字，否则其响应文件按无效响应处理。</w:t>
      </w:r>
    </w:p>
    <w:p w14:paraId="7B97629B">
      <w:pPr>
        <w:spacing w:line="360" w:lineRule="exact"/>
        <w:ind w:firstLine="840" w:firstLineChars="400"/>
        <w:contextualSpacing/>
        <w:rPr>
          <w:rFonts w:ascii="宋体" w:hAnsi="宋体" w:cs="Times New Roman"/>
        </w:rPr>
      </w:pPr>
      <w:r>
        <w:rPr>
          <w:rFonts w:hint="eastAsia" w:ascii="宋体" w:hAnsi="宋体" w:cs="Times New Roman"/>
        </w:rPr>
        <w:t>3、报价一经涂改，应在涂改处加盖供应商公章或者由法定代表人或者授权委托人签字或者盖章，否则其响应文件按无效响应处理。</w:t>
      </w:r>
    </w:p>
    <w:p w14:paraId="79AEE059">
      <w:pPr>
        <w:spacing w:line="360" w:lineRule="exact"/>
        <w:contextualSpacing/>
        <w:rPr>
          <w:rFonts w:ascii="宋体" w:hAnsi="宋体" w:cs="Times New Roman"/>
        </w:rPr>
      </w:pPr>
      <w:r>
        <w:rPr>
          <w:rFonts w:hint="eastAsia" w:ascii="宋体" w:hAnsi="宋体" w:cs="Times New Roman"/>
        </w:rPr>
        <w:t xml:space="preserve"> </w:t>
      </w:r>
    </w:p>
    <w:p w14:paraId="44E1A2E7">
      <w:pPr>
        <w:spacing w:line="360" w:lineRule="auto"/>
        <w:ind w:right="-817" w:rightChars="-389" w:firstLine="5460" w:firstLineChars="2600"/>
        <w:contextualSpacing/>
        <w:rPr>
          <w:rFonts w:ascii="宋体" w:hAnsi="宋体" w:cs="仿宋_GB2312"/>
        </w:rPr>
      </w:pPr>
      <w:r>
        <w:rPr>
          <w:rFonts w:hint="eastAsia" w:ascii="宋体" w:hAnsi="宋体" w:cs="仿宋_GB2312"/>
        </w:rPr>
        <w:t xml:space="preserve">法定代表人或者委托代理人（签字）：                    </w:t>
      </w:r>
    </w:p>
    <w:p w14:paraId="1F335967">
      <w:pPr>
        <w:spacing w:line="360" w:lineRule="auto"/>
        <w:ind w:right="-817" w:rightChars="-389" w:firstLine="7140" w:firstLineChars="3400"/>
        <w:contextualSpacing/>
        <w:rPr>
          <w:rFonts w:ascii="宋体" w:hAnsi="宋体" w:cs="仿宋_GB2312"/>
        </w:rPr>
      </w:pPr>
      <w:r>
        <w:rPr>
          <w:rFonts w:hint="eastAsia" w:ascii="宋体" w:hAnsi="宋体" w:cs="仿宋_GB2312"/>
        </w:rPr>
        <w:t xml:space="preserve">供应商（盖公章）：      </w:t>
      </w:r>
    </w:p>
    <w:p w14:paraId="0FF983F6">
      <w:pPr>
        <w:spacing w:line="360" w:lineRule="auto"/>
        <w:ind w:right="-817" w:rightChars="-389" w:firstLine="8190" w:firstLineChars="3900"/>
        <w:contextualSpacing/>
        <w:rPr>
          <w:rFonts w:hint="eastAsia" w:ascii="宋体" w:hAnsi="宋体" w:cs="仿宋_GB2312"/>
        </w:rPr>
      </w:pPr>
      <w:r>
        <w:rPr>
          <w:rFonts w:hint="eastAsia" w:ascii="宋体" w:hAnsi="宋体" w:cs="仿宋_GB2312"/>
        </w:rPr>
        <w:t>日 期：   年   月   日</w:t>
      </w:r>
    </w:p>
    <w:p w14:paraId="555B5912">
      <w:pPr>
        <w:adjustRightInd w:val="0"/>
        <w:snapToGrid w:val="0"/>
        <w:spacing w:line="520" w:lineRule="exact"/>
        <w:jc w:val="center"/>
        <w:rPr>
          <w:rFonts w:ascii="方正小标宋简体" w:hAnsi="Calibri" w:eastAsia="方正小标宋简体" w:cs="宋体"/>
          <w:bCs/>
          <w:sz w:val="44"/>
          <w:szCs w:val="44"/>
        </w:rPr>
      </w:pPr>
      <w:r>
        <w:rPr>
          <w:rFonts w:hint="eastAsia" w:ascii="宋体" w:hAnsi="宋体"/>
          <w:b/>
          <w:sz w:val="44"/>
          <w:szCs w:val="44"/>
        </w:rPr>
        <w:t>货物技术参数配置清单</w:t>
      </w:r>
    </w:p>
    <w:p w14:paraId="2C74EBDF">
      <w:pPr>
        <w:spacing w:line="360" w:lineRule="auto"/>
        <w:rPr>
          <w:rFonts w:ascii="宋体" w:hAnsi="宋体" w:eastAsia="宋体"/>
          <w:szCs w:val="21"/>
        </w:rPr>
      </w:pPr>
      <w:r>
        <w:rPr>
          <w:rFonts w:hint="eastAsia" w:ascii="宋体" w:hAnsi="宋体"/>
        </w:rPr>
        <w:t xml:space="preserve">项目名称： </w:t>
      </w:r>
    </w:p>
    <w:tbl>
      <w:tblPr>
        <w:tblStyle w:val="6"/>
        <w:tblW w:w="419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31"/>
        <w:gridCol w:w="589"/>
        <w:gridCol w:w="2179"/>
        <w:gridCol w:w="539"/>
        <w:gridCol w:w="844"/>
        <w:gridCol w:w="1069"/>
        <w:gridCol w:w="1431"/>
        <w:gridCol w:w="1383"/>
        <w:gridCol w:w="2618"/>
      </w:tblGrid>
      <w:tr w14:paraId="6FA6C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1C8985CF">
            <w:pPr>
              <w:snapToGrid w:val="0"/>
              <w:spacing w:before="50" w:after="50"/>
              <w:jc w:val="center"/>
              <w:rPr>
                <w:rFonts w:ascii="宋体" w:hAnsi="宋体"/>
              </w:rPr>
            </w:pPr>
            <w:r>
              <w:rPr>
                <w:rFonts w:hint="eastAsia" w:ascii="宋体" w:hAnsi="宋体"/>
              </w:rPr>
              <w:t>项号名称</w:t>
            </w:r>
          </w:p>
        </w:tc>
        <w:tc>
          <w:tcPr>
            <w:tcW w:w="248" w:type="pct"/>
            <w:tcBorders>
              <w:top w:val="single" w:color="auto" w:sz="4" w:space="0"/>
              <w:left w:val="nil"/>
              <w:bottom w:val="single" w:color="auto" w:sz="4" w:space="0"/>
              <w:right w:val="single" w:color="auto" w:sz="4" w:space="0"/>
            </w:tcBorders>
            <w:vAlign w:val="center"/>
          </w:tcPr>
          <w:p w14:paraId="62DF07BA">
            <w:pPr>
              <w:snapToGrid w:val="0"/>
              <w:spacing w:before="50" w:after="50"/>
              <w:jc w:val="center"/>
              <w:rPr>
                <w:rFonts w:ascii="宋体" w:hAnsi="宋体"/>
              </w:rPr>
            </w:pPr>
            <w:r>
              <w:rPr>
                <w:rFonts w:hint="eastAsia" w:ascii="宋体" w:hAnsi="宋体"/>
              </w:rPr>
              <w:t>序号</w:t>
            </w:r>
          </w:p>
        </w:tc>
        <w:tc>
          <w:tcPr>
            <w:tcW w:w="917" w:type="pct"/>
            <w:tcBorders>
              <w:top w:val="single" w:color="auto" w:sz="4" w:space="0"/>
              <w:left w:val="nil"/>
              <w:bottom w:val="single" w:color="auto" w:sz="4" w:space="0"/>
              <w:right w:val="single" w:color="auto" w:sz="4" w:space="0"/>
            </w:tcBorders>
            <w:vAlign w:val="center"/>
          </w:tcPr>
          <w:p w14:paraId="213846E2">
            <w:pPr>
              <w:snapToGrid w:val="0"/>
              <w:spacing w:before="50" w:after="50"/>
              <w:jc w:val="center"/>
              <w:rPr>
                <w:rFonts w:ascii="宋体" w:hAnsi="宋体"/>
              </w:rPr>
            </w:pPr>
            <w:r>
              <w:rPr>
                <w:rFonts w:hint="eastAsia" w:ascii="宋体" w:hAnsi="宋体"/>
              </w:rPr>
              <w:t>货物配置名称</w:t>
            </w:r>
          </w:p>
        </w:tc>
        <w:tc>
          <w:tcPr>
            <w:tcW w:w="227" w:type="pct"/>
            <w:tcBorders>
              <w:top w:val="single" w:color="auto" w:sz="4" w:space="0"/>
              <w:left w:val="nil"/>
              <w:bottom w:val="single" w:color="auto" w:sz="4" w:space="0"/>
              <w:right w:val="single" w:color="auto" w:sz="4" w:space="0"/>
            </w:tcBorders>
            <w:vAlign w:val="center"/>
          </w:tcPr>
          <w:p w14:paraId="07041D8D">
            <w:pPr>
              <w:snapToGrid w:val="0"/>
              <w:spacing w:before="50" w:after="50"/>
              <w:jc w:val="center"/>
              <w:rPr>
                <w:rFonts w:ascii="宋体" w:hAnsi="宋体"/>
              </w:rPr>
            </w:pPr>
            <w:r>
              <w:rPr>
                <w:rFonts w:hint="eastAsia" w:ascii="宋体" w:hAnsi="宋体"/>
              </w:rPr>
              <w:t>单位</w:t>
            </w:r>
          </w:p>
        </w:tc>
        <w:tc>
          <w:tcPr>
            <w:tcW w:w="355" w:type="pct"/>
            <w:tcBorders>
              <w:top w:val="single" w:color="auto" w:sz="4" w:space="0"/>
              <w:left w:val="nil"/>
              <w:bottom w:val="single" w:color="auto" w:sz="4" w:space="0"/>
              <w:right w:val="single" w:color="auto" w:sz="4" w:space="0"/>
            </w:tcBorders>
            <w:vAlign w:val="center"/>
          </w:tcPr>
          <w:p w14:paraId="43EE6EB5">
            <w:pPr>
              <w:snapToGrid w:val="0"/>
              <w:spacing w:before="50" w:after="50"/>
              <w:jc w:val="center"/>
              <w:rPr>
                <w:rFonts w:ascii="宋体" w:hAnsi="宋体"/>
              </w:rPr>
            </w:pPr>
            <w:r>
              <w:rPr>
                <w:rFonts w:hint="eastAsia" w:ascii="宋体" w:hAnsi="宋体"/>
              </w:rPr>
              <w:t>数量</w:t>
            </w:r>
          </w:p>
        </w:tc>
        <w:tc>
          <w:tcPr>
            <w:tcW w:w="450" w:type="pct"/>
            <w:tcBorders>
              <w:top w:val="single" w:color="auto" w:sz="4" w:space="0"/>
              <w:left w:val="nil"/>
              <w:bottom w:val="single" w:color="auto" w:sz="4" w:space="0"/>
              <w:right w:val="single" w:color="auto" w:sz="4" w:space="0"/>
            </w:tcBorders>
            <w:vAlign w:val="center"/>
          </w:tcPr>
          <w:p w14:paraId="2D19F058">
            <w:pPr>
              <w:snapToGrid w:val="0"/>
              <w:spacing w:before="50" w:after="50"/>
              <w:jc w:val="center"/>
              <w:rPr>
                <w:rFonts w:ascii="宋体" w:hAnsi="宋体"/>
              </w:rPr>
            </w:pPr>
            <w:r>
              <w:rPr>
                <w:rFonts w:hint="eastAsia" w:ascii="宋体" w:hAnsi="宋体"/>
              </w:rPr>
              <w:t>品牌</w:t>
            </w:r>
          </w:p>
        </w:tc>
        <w:tc>
          <w:tcPr>
            <w:tcW w:w="602" w:type="pct"/>
            <w:tcBorders>
              <w:top w:val="single" w:color="auto" w:sz="4" w:space="0"/>
              <w:left w:val="nil"/>
              <w:bottom w:val="single" w:color="auto" w:sz="4" w:space="0"/>
              <w:right w:val="single" w:color="auto" w:sz="4" w:space="0"/>
            </w:tcBorders>
            <w:vAlign w:val="center"/>
          </w:tcPr>
          <w:p w14:paraId="57262A99">
            <w:pPr>
              <w:snapToGrid w:val="0"/>
              <w:spacing w:before="50" w:after="50"/>
              <w:jc w:val="center"/>
              <w:rPr>
                <w:rFonts w:ascii="宋体" w:hAnsi="宋体"/>
              </w:rPr>
            </w:pPr>
            <w:r>
              <w:rPr>
                <w:rFonts w:hint="eastAsia" w:ascii="宋体" w:hAnsi="宋体"/>
              </w:rPr>
              <w:t>规格型号</w:t>
            </w:r>
          </w:p>
        </w:tc>
        <w:tc>
          <w:tcPr>
            <w:tcW w:w="582" w:type="pct"/>
            <w:tcBorders>
              <w:top w:val="single" w:color="auto" w:sz="4" w:space="0"/>
              <w:left w:val="nil"/>
              <w:bottom w:val="single" w:color="auto" w:sz="4" w:space="0"/>
              <w:right w:val="single" w:color="auto" w:sz="4" w:space="0"/>
            </w:tcBorders>
            <w:vAlign w:val="center"/>
          </w:tcPr>
          <w:p w14:paraId="6E3D061F">
            <w:pPr>
              <w:snapToGrid w:val="0"/>
              <w:spacing w:before="50" w:after="50"/>
              <w:jc w:val="center"/>
              <w:rPr>
                <w:rFonts w:ascii="宋体" w:hAnsi="宋体"/>
              </w:rPr>
            </w:pPr>
            <w:r>
              <w:rPr>
                <w:rFonts w:hint="eastAsia" w:ascii="宋体" w:hAnsi="宋体"/>
              </w:rPr>
              <w:t>制造商</w:t>
            </w:r>
          </w:p>
        </w:tc>
        <w:tc>
          <w:tcPr>
            <w:tcW w:w="1101" w:type="pct"/>
            <w:tcBorders>
              <w:top w:val="single" w:color="auto" w:sz="4" w:space="0"/>
              <w:left w:val="nil"/>
              <w:bottom w:val="single" w:color="auto" w:sz="4" w:space="0"/>
              <w:right w:val="single" w:color="auto" w:sz="4" w:space="0"/>
            </w:tcBorders>
            <w:vAlign w:val="center"/>
          </w:tcPr>
          <w:p w14:paraId="232F7BA2">
            <w:pPr>
              <w:snapToGrid w:val="0"/>
              <w:spacing w:before="50" w:after="50"/>
              <w:jc w:val="center"/>
              <w:rPr>
                <w:rFonts w:ascii="宋体" w:hAnsi="宋体"/>
              </w:rPr>
            </w:pPr>
            <w:r>
              <w:rPr>
                <w:rFonts w:hint="eastAsia" w:ascii="宋体" w:hAnsi="宋体"/>
              </w:rPr>
              <w:t>技术参数及性能配置</w:t>
            </w:r>
          </w:p>
        </w:tc>
      </w:tr>
      <w:tr w14:paraId="32BC5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18" w:type="pct"/>
            <w:vMerge w:val="restart"/>
            <w:tcBorders>
              <w:top w:val="nil"/>
              <w:left w:val="single" w:color="auto" w:sz="4" w:space="0"/>
              <w:bottom w:val="nil"/>
              <w:right w:val="single" w:color="auto" w:sz="4" w:space="0"/>
            </w:tcBorders>
            <w:vAlign w:val="center"/>
          </w:tcPr>
          <w:p w14:paraId="6B5B436A">
            <w:pPr>
              <w:snapToGrid w:val="0"/>
              <w:spacing w:before="50" w:after="50"/>
              <w:jc w:val="center"/>
              <w:rPr>
                <w:rFonts w:ascii="宋体" w:hAnsi="宋体"/>
              </w:rPr>
            </w:pPr>
            <w:r>
              <w:rPr>
                <w:rFonts w:hint="eastAsia" w:ascii="宋体" w:hAnsi="宋体"/>
                <w:kern w:val="0"/>
                <w:sz w:val="22"/>
              </w:rPr>
              <w:t>全彩色舞台LED显示系统</w:t>
            </w:r>
          </w:p>
        </w:tc>
        <w:tc>
          <w:tcPr>
            <w:tcW w:w="248" w:type="pct"/>
            <w:tcBorders>
              <w:top w:val="single" w:color="auto" w:sz="4" w:space="0"/>
              <w:left w:val="nil"/>
              <w:bottom w:val="single" w:color="auto" w:sz="4" w:space="0"/>
              <w:right w:val="single" w:color="auto" w:sz="4" w:space="0"/>
            </w:tcBorders>
            <w:vAlign w:val="center"/>
          </w:tcPr>
          <w:p w14:paraId="27361E97">
            <w:pPr>
              <w:snapToGrid w:val="0"/>
              <w:spacing w:before="50" w:after="50"/>
              <w:jc w:val="center"/>
              <w:rPr>
                <w:rFonts w:ascii="宋体" w:hAnsi="宋体"/>
              </w:rPr>
            </w:pPr>
            <w:r>
              <w:rPr>
                <w:rFonts w:hint="eastAsia" w:ascii="宋体" w:hAnsi="宋体"/>
              </w:rPr>
              <w:t>1</w:t>
            </w:r>
          </w:p>
        </w:tc>
        <w:tc>
          <w:tcPr>
            <w:tcW w:w="917" w:type="pct"/>
            <w:tcBorders>
              <w:top w:val="single" w:color="auto" w:sz="4" w:space="0"/>
              <w:left w:val="nil"/>
              <w:bottom w:val="single" w:color="auto" w:sz="4" w:space="0"/>
              <w:right w:val="single" w:color="auto" w:sz="4" w:space="0"/>
            </w:tcBorders>
            <w:vAlign w:val="center"/>
          </w:tcPr>
          <w:p w14:paraId="62403BAE">
            <w:pPr>
              <w:snapToGrid w:val="0"/>
              <w:spacing w:before="50" w:after="50"/>
              <w:jc w:val="center"/>
              <w:rPr>
                <w:rFonts w:ascii="宋体" w:hAnsi="宋体"/>
                <w:kern w:val="0"/>
                <w:sz w:val="22"/>
              </w:rPr>
            </w:pPr>
            <w:r>
              <w:rPr>
                <w:rFonts w:hint="eastAsia" w:ascii="宋体" w:hAnsi="宋体"/>
                <w:kern w:val="0"/>
                <w:sz w:val="22"/>
              </w:rPr>
              <w:t>LED显示模组</w:t>
            </w:r>
          </w:p>
        </w:tc>
        <w:tc>
          <w:tcPr>
            <w:tcW w:w="227" w:type="pct"/>
            <w:tcBorders>
              <w:top w:val="single" w:color="auto" w:sz="4" w:space="0"/>
              <w:left w:val="nil"/>
              <w:bottom w:val="single" w:color="auto" w:sz="4" w:space="0"/>
              <w:right w:val="single" w:color="auto" w:sz="4" w:space="0"/>
            </w:tcBorders>
            <w:vAlign w:val="center"/>
          </w:tcPr>
          <w:p w14:paraId="553E5E39">
            <w:pPr>
              <w:snapToGrid w:val="0"/>
              <w:spacing w:before="50" w:after="50"/>
              <w:jc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54B18CA5">
            <w:pPr>
              <w:snapToGrid w:val="0"/>
              <w:spacing w:before="50" w:after="50"/>
              <w:jc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3A6D6AE9">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12AB45BD">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4F9F1603">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49CF59FE">
            <w:pPr>
              <w:snapToGrid w:val="0"/>
              <w:spacing w:before="50" w:after="50"/>
              <w:jc w:val="center"/>
              <w:rPr>
                <w:rFonts w:ascii="宋体" w:hAnsi="宋体"/>
              </w:rPr>
            </w:pPr>
          </w:p>
        </w:tc>
      </w:tr>
      <w:tr w14:paraId="5E064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18" w:type="pct"/>
            <w:vMerge w:val="continue"/>
            <w:tcBorders>
              <w:top w:val="nil"/>
              <w:left w:val="single" w:color="auto" w:sz="4" w:space="0"/>
              <w:bottom w:val="nil"/>
              <w:right w:val="single" w:color="auto" w:sz="4" w:space="0"/>
            </w:tcBorders>
            <w:vAlign w:val="center"/>
          </w:tcPr>
          <w:p w14:paraId="7DF8A8BC">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476E28CF">
            <w:pPr>
              <w:snapToGrid w:val="0"/>
              <w:spacing w:before="50" w:after="50"/>
              <w:jc w:val="center"/>
              <w:rPr>
                <w:rFonts w:ascii="宋体" w:hAnsi="宋体"/>
              </w:rPr>
            </w:pPr>
            <w:r>
              <w:rPr>
                <w:rFonts w:hint="eastAsia" w:ascii="宋体" w:hAnsi="宋体"/>
              </w:rPr>
              <w:t>2</w:t>
            </w:r>
          </w:p>
        </w:tc>
        <w:tc>
          <w:tcPr>
            <w:tcW w:w="917" w:type="pct"/>
            <w:tcBorders>
              <w:top w:val="single" w:color="auto" w:sz="4" w:space="0"/>
              <w:left w:val="nil"/>
              <w:bottom w:val="single" w:color="auto" w:sz="4" w:space="0"/>
              <w:right w:val="single" w:color="auto" w:sz="4" w:space="0"/>
            </w:tcBorders>
            <w:vAlign w:val="center"/>
          </w:tcPr>
          <w:p w14:paraId="6820786B">
            <w:pPr>
              <w:snapToGrid w:val="0"/>
              <w:spacing w:before="50" w:after="50"/>
              <w:jc w:val="center"/>
              <w:rPr>
                <w:rFonts w:ascii="宋体" w:hAnsi="宋体"/>
                <w:kern w:val="0"/>
                <w:sz w:val="22"/>
              </w:rPr>
            </w:pPr>
            <w:r>
              <w:rPr>
                <w:rFonts w:hint="eastAsia" w:ascii="宋体" w:hAnsi="宋体"/>
                <w:kern w:val="0"/>
                <w:sz w:val="22"/>
              </w:rPr>
              <w:t>视频处理器</w:t>
            </w:r>
          </w:p>
        </w:tc>
        <w:tc>
          <w:tcPr>
            <w:tcW w:w="227" w:type="pct"/>
            <w:tcBorders>
              <w:top w:val="single" w:color="auto" w:sz="4" w:space="0"/>
              <w:left w:val="nil"/>
              <w:bottom w:val="single" w:color="auto" w:sz="4" w:space="0"/>
              <w:right w:val="single" w:color="auto" w:sz="4" w:space="0"/>
            </w:tcBorders>
            <w:vAlign w:val="center"/>
          </w:tcPr>
          <w:p w14:paraId="40B89E4D">
            <w:pPr>
              <w:snapToGrid w:val="0"/>
              <w:spacing w:before="50" w:after="50"/>
              <w:jc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059DCC5D">
            <w:pPr>
              <w:snapToGrid w:val="0"/>
              <w:spacing w:before="50" w:after="50"/>
              <w:jc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11B5BDD7">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0440A179">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3E7F538F">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09996D64">
            <w:pPr>
              <w:snapToGrid w:val="0"/>
              <w:spacing w:before="50" w:after="50"/>
              <w:jc w:val="center"/>
              <w:rPr>
                <w:rFonts w:ascii="宋体" w:hAnsi="宋体"/>
              </w:rPr>
            </w:pPr>
          </w:p>
        </w:tc>
      </w:tr>
      <w:tr w14:paraId="4582D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continue"/>
            <w:tcBorders>
              <w:top w:val="nil"/>
              <w:left w:val="single" w:color="auto" w:sz="4" w:space="0"/>
              <w:bottom w:val="nil"/>
              <w:right w:val="single" w:color="auto" w:sz="4" w:space="0"/>
            </w:tcBorders>
            <w:vAlign w:val="center"/>
          </w:tcPr>
          <w:p w14:paraId="313DE2DB">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2E34B55D">
            <w:pPr>
              <w:snapToGrid w:val="0"/>
              <w:spacing w:before="50" w:after="50"/>
              <w:jc w:val="center"/>
              <w:rPr>
                <w:rFonts w:ascii="宋体" w:hAnsi="宋体"/>
              </w:rPr>
            </w:pPr>
            <w:r>
              <w:rPr>
                <w:rFonts w:hint="eastAsia" w:ascii="宋体" w:hAnsi="宋体"/>
              </w:rPr>
              <w:t>3</w:t>
            </w:r>
          </w:p>
        </w:tc>
        <w:tc>
          <w:tcPr>
            <w:tcW w:w="917" w:type="pct"/>
            <w:tcBorders>
              <w:top w:val="single" w:color="auto" w:sz="4" w:space="0"/>
              <w:left w:val="nil"/>
              <w:bottom w:val="single" w:color="auto" w:sz="4" w:space="0"/>
              <w:right w:val="single" w:color="auto" w:sz="4" w:space="0"/>
            </w:tcBorders>
            <w:vAlign w:val="center"/>
          </w:tcPr>
          <w:p w14:paraId="371E8767">
            <w:pPr>
              <w:snapToGrid w:val="0"/>
              <w:spacing w:before="50" w:after="50"/>
              <w:jc w:val="center"/>
              <w:rPr>
                <w:rFonts w:ascii="宋体" w:hAnsi="宋体"/>
                <w:kern w:val="0"/>
                <w:sz w:val="22"/>
              </w:rPr>
            </w:pPr>
            <w:r>
              <w:rPr>
                <w:rFonts w:hint="eastAsia" w:ascii="宋体" w:hAnsi="宋体"/>
                <w:kern w:val="0"/>
                <w:sz w:val="22"/>
              </w:rPr>
              <w:t>发送盒</w:t>
            </w:r>
          </w:p>
        </w:tc>
        <w:tc>
          <w:tcPr>
            <w:tcW w:w="227" w:type="pct"/>
            <w:tcBorders>
              <w:top w:val="single" w:color="auto" w:sz="4" w:space="0"/>
              <w:left w:val="nil"/>
              <w:bottom w:val="single" w:color="auto" w:sz="4" w:space="0"/>
              <w:right w:val="single" w:color="auto" w:sz="4" w:space="0"/>
            </w:tcBorders>
            <w:vAlign w:val="center"/>
          </w:tcPr>
          <w:p w14:paraId="293D535C">
            <w:pPr>
              <w:snapToGrid w:val="0"/>
              <w:spacing w:before="50" w:after="50"/>
              <w:jc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30B3BB34">
            <w:pPr>
              <w:snapToGrid w:val="0"/>
              <w:spacing w:before="50" w:after="50"/>
              <w:jc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7A217801">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7105AE74">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02028E28">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2099C0B6">
            <w:pPr>
              <w:snapToGrid w:val="0"/>
              <w:spacing w:before="50" w:after="50"/>
              <w:jc w:val="center"/>
              <w:rPr>
                <w:rFonts w:ascii="宋体" w:hAnsi="宋体"/>
              </w:rPr>
            </w:pPr>
          </w:p>
        </w:tc>
      </w:tr>
      <w:tr w14:paraId="28EBC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continue"/>
            <w:tcBorders>
              <w:top w:val="nil"/>
              <w:left w:val="single" w:color="auto" w:sz="4" w:space="0"/>
              <w:bottom w:val="nil"/>
              <w:right w:val="single" w:color="auto" w:sz="4" w:space="0"/>
            </w:tcBorders>
            <w:vAlign w:val="center"/>
          </w:tcPr>
          <w:p w14:paraId="480A74DC">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5431E700">
            <w:pPr>
              <w:snapToGrid w:val="0"/>
              <w:spacing w:before="50" w:after="50"/>
              <w:jc w:val="center"/>
              <w:rPr>
                <w:rFonts w:ascii="宋体" w:hAnsi="宋体"/>
              </w:rPr>
            </w:pPr>
            <w:r>
              <w:rPr>
                <w:rFonts w:hint="eastAsia" w:ascii="宋体" w:hAnsi="宋体"/>
              </w:rPr>
              <w:t>4</w:t>
            </w:r>
          </w:p>
        </w:tc>
        <w:tc>
          <w:tcPr>
            <w:tcW w:w="917" w:type="pct"/>
            <w:tcBorders>
              <w:top w:val="single" w:color="auto" w:sz="4" w:space="0"/>
              <w:left w:val="nil"/>
              <w:bottom w:val="single" w:color="auto" w:sz="4" w:space="0"/>
              <w:right w:val="single" w:color="auto" w:sz="4" w:space="0"/>
            </w:tcBorders>
            <w:vAlign w:val="center"/>
          </w:tcPr>
          <w:p w14:paraId="1977C4FE">
            <w:pPr>
              <w:snapToGrid w:val="0"/>
              <w:spacing w:before="50" w:after="50"/>
              <w:jc w:val="center"/>
              <w:rPr>
                <w:rFonts w:ascii="宋体" w:hAnsi="宋体"/>
                <w:kern w:val="0"/>
                <w:sz w:val="22"/>
              </w:rPr>
            </w:pPr>
            <w:r>
              <w:rPr>
                <w:rFonts w:hint="eastAsia" w:ascii="宋体" w:hAnsi="宋体"/>
                <w:kern w:val="0"/>
                <w:sz w:val="22"/>
              </w:rPr>
              <w:t>配电柜</w:t>
            </w:r>
          </w:p>
        </w:tc>
        <w:tc>
          <w:tcPr>
            <w:tcW w:w="227" w:type="pct"/>
            <w:tcBorders>
              <w:top w:val="single" w:color="auto" w:sz="4" w:space="0"/>
              <w:left w:val="nil"/>
              <w:bottom w:val="single" w:color="auto" w:sz="4" w:space="0"/>
              <w:right w:val="single" w:color="auto" w:sz="4" w:space="0"/>
            </w:tcBorders>
            <w:vAlign w:val="center"/>
          </w:tcPr>
          <w:p w14:paraId="22CCFD85">
            <w:pPr>
              <w:snapToGrid w:val="0"/>
              <w:spacing w:before="50" w:after="50"/>
              <w:jc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2D26A877">
            <w:pPr>
              <w:snapToGrid w:val="0"/>
              <w:spacing w:before="50" w:after="50"/>
              <w:jc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3F19AC35">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56F031F6">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57B999DC">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572105E3">
            <w:pPr>
              <w:snapToGrid w:val="0"/>
              <w:spacing w:before="50" w:after="50"/>
              <w:jc w:val="center"/>
              <w:rPr>
                <w:rFonts w:ascii="宋体" w:hAnsi="宋体"/>
              </w:rPr>
            </w:pPr>
          </w:p>
        </w:tc>
      </w:tr>
      <w:tr w14:paraId="3B6B0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continue"/>
            <w:tcBorders>
              <w:top w:val="nil"/>
              <w:left w:val="single" w:color="auto" w:sz="4" w:space="0"/>
              <w:bottom w:val="single" w:color="auto" w:sz="4" w:space="0"/>
              <w:right w:val="single" w:color="auto" w:sz="4" w:space="0"/>
            </w:tcBorders>
            <w:vAlign w:val="center"/>
          </w:tcPr>
          <w:p w14:paraId="77ADB29B">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5DA9CE08">
            <w:pPr>
              <w:snapToGrid w:val="0"/>
              <w:spacing w:before="50" w:after="50"/>
              <w:jc w:val="center"/>
              <w:rPr>
                <w:rFonts w:ascii="宋体" w:hAnsi="宋体"/>
              </w:rPr>
            </w:pPr>
            <w:r>
              <w:rPr>
                <w:rFonts w:hint="eastAsia" w:ascii="宋体" w:hAnsi="宋体"/>
              </w:rPr>
              <w:t>5</w:t>
            </w:r>
          </w:p>
        </w:tc>
        <w:tc>
          <w:tcPr>
            <w:tcW w:w="917" w:type="pct"/>
            <w:tcBorders>
              <w:top w:val="single" w:color="auto" w:sz="4" w:space="0"/>
              <w:left w:val="nil"/>
              <w:bottom w:val="single" w:color="auto" w:sz="4" w:space="0"/>
              <w:right w:val="single" w:color="auto" w:sz="4" w:space="0"/>
            </w:tcBorders>
            <w:vAlign w:val="center"/>
          </w:tcPr>
          <w:p w14:paraId="5651EE22">
            <w:pPr>
              <w:snapToGrid w:val="0"/>
              <w:spacing w:before="50" w:after="50"/>
              <w:jc w:val="center"/>
              <w:rPr>
                <w:rFonts w:ascii="宋体" w:hAnsi="宋体"/>
                <w:kern w:val="0"/>
                <w:sz w:val="22"/>
              </w:rPr>
            </w:pPr>
            <w:r>
              <w:rPr>
                <w:rFonts w:hint="eastAsia" w:ascii="宋体" w:hAnsi="宋体"/>
                <w:kern w:val="0"/>
                <w:sz w:val="22"/>
              </w:rPr>
              <w:t>显示屏结构框架</w:t>
            </w:r>
          </w:p>
        </w:tc>
        <w:tc>
          <w:tcPr>
            <w:tcW w:w="227" w:type="pct"/>
            <w:tcBorders>
              <w:top w:val="single" w:color="auto" w:sz="4" w:space="0"/>
              <w:left w:val="nil"/>
              <w:bottom w:val="single" w:color="auto" w:sz="4" w:space="0"/>
              <w:right w:val="single" w:color="auto" w:sz="4" w:space="0"/>
            </w:tcBorders>
            <w:vAlign w:val="center"/>
          </w:tcPr>
          <w:p w14:paraId="20297767">
            <w:pPr>
              <w:snapToGrid w:val="0"/>
              <w:spacing w:before="50" w:after="50"/>
              <w:jc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71D67737">
            <w:pPr>
              <w:snapToGrid w:val="0"/>
              <w:spacing w:before="50" w:after="50"/>
              <w:jc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4BA88027">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1A4925B9">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0338DD9D">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3B6F6463">
            <w:pPr>
              <w:snapToGrid w:val="0"/>
              <w:spacing w:before="50" w:after="50"/>
              <w:jc w:val="center"/>
              <w:rPr>
                <w:rFonts w:ascii="宋体" w:hAnsi="宋体"/>
              </w:rPr>
            </w:pPr>
          </w:p>
        </w:tc>
      </w:tr>
      <w:tr w14:paraId="6374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restart"/>
            <w:tcBorders>
              <w:top w:val="single" w:color="auto" w:sz="4" w:space="0"/>
              <w:left w:val="single" w:color="auto" w:sz="4" w:space="0"/>
              <w:bottom w:val="single" w:color="auto" w:sz="4" w:space="0"/>
              <w:right w:val="single" w:color="auto" w:sz="4" w:space="0"/>
            </w:tcBorders>
            <w:vAlign w:val="center"/>
          </w:tcPr>
          <w:p w14:paraId="44FDC354">
            <w:pPr>
              <w:jc w:val="center"/>
              <w:rPr>
                <w:rFonts w:ascii="Calibri" w:hAnsi="Calibri" w:eastAsia="宋体" w:cs="Times New Roman"/>
                <w:szCs w:val="21"/>
              </w:rPr>
            </w:pPr>
            <w:r>
              <w:rPr>
                <w:rFonts w:hint="eastAsia" w:ascii="仿宋" w:hAnsi="仿宋" w:eastAsia="仿宋"/>
              </w:rPr>
              <w:t>单色LED显示系统</w:t>
            </w:r>
          </w:p>
          <w:p w14:paraId="15245480">
            <w:pPr>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2DCA6D8C">
            <w:pPr>
              <w:snapToGrid w:val="0"/>
              <w:spacing w:before="50" w:after="50"/>
              <w:jc w:val="center"/>
              <w:rPr>
                <w:rFonts w:ascii="宋体" w:hAnsi="宋体"/>
              </w:rPr>
            </w:pPr>
            <w:r>
              <w:rPr>
                <w:rFonts w:ascii="宋体" w:hAnsi="宋体"/>
              </w:rPr>
              <w:t>1</w:t>
            </w:r>
          </w:p>
        </w:tc>
        <w:tc>
          <w:tcPr>
            <w:tcW w:w="917" w:type="pct"/>
            <w:tcBorders>
              <w:top w:val="single" w:color="auto" w:sz="4" w:space="0"/>
              <w:left w:val="nil"/>
              <w:bottom w:val="single" w:color="auto" w:sz="4" w:space="0"/>
              <w:right w:val="single" w:color="auto" w:sz="4" w:space="0"/>
            </w:tcBorders>
            <w:vAlign w:val="center"/>
          </w:tcPr>
          <w:p w14:paraId="49D94C6E">
            <w:pPr>
              <w:snapToGrid w:val="0"/>
              <w:spacing w:before="50" w:after="50"/>
              <w:jc w:val="center"/>
              <w:rPr>
                <w:rFonts w:ascii="宋体" w:hAnsi="宋体"/>
                <w:kern w:val="0"/>
                <w:sz w:val="22"/>
              </w:rPr>
            </w:pPr>
            <w:r>
              <w:rPr>
                <w:rFonts w:hint="eastAsia" w:ascii="宋体" w:hAnsi="宋体"/>
                <w:kern w:val="0"/>
                <w:sz w:val="22"/>
              </w:rPr>
              <w:t>显示模组</w:t>
            </w:r>
          </w:p>
        </w:tc>
        <w:tc>
          <w:tcPr>
            <w:tcW w:w="227" w:type="pct"/>
            <w:tcBorders>
              <w:top w:val="single" w:color="auto" w:sz="4" w:space="0"/>
              <w:left w:val="nil"/>
              <w:bottom w:val="single" w:color="auto" w:sz="4" w:space="0"/>
              <w:right w:val="single" w:color="auto" w:sz="4" w:space="0"/>
            </w:tcBorders>
            <w:vAlign w:val="center"/>
          </w:tcPr>
          <w:p w14:paraId="3055F71F">
            <w:pPr>
              <w:widowControl/>
              <w:snapToGrid w:val="0"/>
              <w:spacing w:before="50" w:after="50"/>
              <w:jc w:val="center"/>
              <w:textAlignment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6CF62DF6">
            <w:pPr>
              <w:widowControl/>
              <w:snapToGrid w:val="0"/>
              <w:spacing w:before="50" w:after="50"/>
              <w:jc w:val="center"/>
              <w:textAlignment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3B4E1E12">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3EE45B00">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5983ED42">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56F0803B">
            <w:pPr>
              <w:snapToGrid w:val="0"/>
              <w:spacing w:before="50" w:after="50"/>
              <w:jc w:val="center"/>
              <w:rPr>
                <w:rFonts w:ascii="宋体" w:hAnsi="宋体"/>
              </w:rPr>
            </w:pPr>
          </w:p>
        </w:tc>
      </w:tr>
      <w:tr w14:paraId="475A7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continue"/>
            <w:tcBorders>
              <w:top w:val="single" w:color="auto" w:sz="4" w:space="0"/>
              <w:left w:val="single" w:color="auto" w:sz="4" w:space="0"/>
              <w:bottom w:val="single" w:color="auto" w:sz="4" w:space="0"/>
              <w:right w:val="single" w:color="auto" w:sz="4" w:space="0"/>
            </w:tcBorders>
            <w:vAlign w:val="center"/>
          </w:tcPr>
          <w:p w14:paraId="7D2589FE">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242BD388">
            <w:pPr>
              <w:snapToGrid w:val="0"/>
              <w:spacing w:before="50" w:after="50"/>
              <w:jc w:val="center"/>
              <w:rPr>
                <w:rFonts w:ascii="宋体" w:hAnsi="宋体"/>
              </w:rPr>
            </w:pPr>
            <w:r>
              <w:rPr>
                <w:rFonts w:ascii="宋体" w:hAnsi="宋体"/>
              </w:rPr>
              <w:t>2</w:t>
            </w:r>
          </w:p>
        </w:tc>
        <w:tc>
          <w:tcPr>
            <w:tcW w:w="917" w:type="pct"/>
            <w:tcBorders>
              <w:top w:val="single" w:color="auto" w:sz="4" w:space="0"/>
              <w:left w:val="nil"/>
              <w:bottom w:val="single" w:color="auto" w:sz="4" w:space="0"/>
              <w:right w:val="single" w:color="auto" w:sz="4" w:space="0"/>
            </w:tcBorders>
            <w:vAlign w:val="center"/>
          </w:tcPr>
          <w:p w14:paraId="405EBE6E">
            <w:pPr>
              <w:snapToGrid w:val="0"/>
              <w:spacing w:before="50" w:after="50"/>
              <w:jc w:val="center"/>
              <w:rPr>
                <w:rFonts w:ascii="宋体" w:hAnsi="宋体"/>
                <w:kern w:val="0"/>
                <w:sz w:val="22"/>
              </w:rPr>
            </w:pPr>
            <w:r>
              <w:rPr>
                <w:rFonts w:hint="eastAsia" w:ascii="宋体" w:hAnsi="宋体"/>
                <w:kern w:val="0"/>
                <w:sz w:val="22"/>
              </w:rPr>
              <w:t>接收卡</w:t>
            </w:r>
          </w:p>
        </w:tc>
        <w:tc>
          <w:tcPr>
            <w:tcW w:w="227" w:type="pct"/>
            <w:tcBorders>
              <w:top w:val="single" w:color="auto" w:sz="4" w:space="0"/>
              <w:left w:val="nil"/>
              <w:bottom w:val="single" w:color="auto" w:sz="4" w:space="0"/>
              <w:right w:val="single" w:color="auto" w:sz="4" w:space="0"/>
            </w:tcBorders>
            <w:vAlign w:val="center"/>
          </w:tcPr>
          <w:p w14:paraId="0DBC5A61">
            <w:pPr>
              <w:widowControl/>
              <w:snapToGrid w:val="0"/>
              <w:spacing w:before="50" w:after="50"/>
              <w:jc w:val="center"/>
              <w:textAlignment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0DE3FB9B">
            <w:pPr>
              <w:widowControl/>
              <w:snapToGrid w:val="0"/>
              <w:spacing w:before="50" w:after="50"/>
              <w:jc w:val="center"/>
              <w:textAlignment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7E381DE8">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49E03AC0">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3A3AC020">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670BB638">
            <w:pPr>
              <w:snapToGrid w:val="0"/>
              <w:spacing w:before="50" w:after="50"/>
              <w:jc w:val="center"/>
              <w:rPr>
                <w:rFonts w:ascii="宋体" w:hAnsi="宋体"/>
              </w:rPr>
            </w:pPr>
          </w:p>
        </w:tc>
      </w:tr>
      <w:tr w14:paraId="10C90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18" w:type="pct"/>
            <w:vMerge w:val="continue"/>
            <w:tcBorders>
              <w:top w:val="single" w:color="auto" w:sz="4" w:space="0"/>
              <w:left w:val="single" w:color="auto" w:sz="4" w:space="0"/>
              <w:bottom w:val="single" w:color="auto" w:sz="4" w:space="0"/>
              <w:right w:val="single" w:color="auto" w:sz="4" w:space="0"/>
            </w:tcBorders>
            <w:vAlign w:val="center"/>
          </w:tcPr>
          <w:p w14:paraId="73F9216E">
            <w:pPr>
              <w:widowControl/>
              <w:jc w:val="left"/>
              <w:rPr>
                <w:rFonts w:ascii="宋体" w:hAnsi="宋体" w:eastAsia="宋体" w:cs="宋体"/>
                <w:szCs w:val="21"/>
              </w:rPr>
            </w:pPr>
          </w:p>
        </w:tc>
        <w:tc>
          <w:tcPr>
            <w:tcW w:w="248" w:type="pct"/>
            <w:tcBorders>
              <w:top w:val="single" w:color="auto" w:sz="4" w:space="0"/>
              <w:left w:val="nil"/>
              <w:bottom w:val="single" w:color="auto" w:sz="4" w:space="0"/>
              <w:right w:val="single" w:color="auto" w:sz="4" w:space="0"/>
            </w:tcBorders>
            <w:vAlign w:val="center"/>
          </w:tcPr>
          <w:p w14:paraId="37845F8A">
            <w:pPr>
              <w:snapToGrid w:val="0"/>
              <w:spacing w:before="50" w:after="50"/>
              <w:jc w:val="center"/>
              <w:rPr>
                <w:rFonts w:ascii="宋体" w:hAnsi="宋体"/>
              </w:rPr>
            </w:pPr>
            <w:r>
              <w:rPr>
                <w:rFonts w:ascii="宋体" w:hAnsi="宋体"/>
              </w:rPr>
              <w:t>3</w:t>
            </w:r>
          </w:p>
        </w:tc>
        <w:tc>
          <w:tcPr>
            <w:tcW w:w="917" w:type="pct"/>
            <w:tcBorders>
              <w:top w:val="single" w:color="auto" w:sz="4" w:space="0"/>
              <w:left w:val="nil"/>
              <w:bottom w:val="single" w:color="auto" w:sz="4" w:space="0"/>
              <w:right w:val="single" w:color="auto" w:sz="4" w:space="0"/>
            </w:tcBorders>
            <w:vAlign w:val="center"/>
          </w:tcPr>
          <w:p w14:paraId="6C51FE3B">
            <w:pPr>
              <w:snapToGrid w:val="0"/>
              <w:spacing w:before="50" w:after="50"/>
              <w:jc w:val="center"/>
              <w:rPr>
                <w:rFonts w:ascii="宋体" w:hAnsi="宋体"/>
                <w:kern w:val="0"/>
                <w:sz w:val="22"/>
              </w:rPr>
            </w:pPr>
            <w:r>
              <w:rPr>
                <w:rFonts w:hint="eastAsia" w:ascii="宋体" w:hAnsi="宋体"/>
                <w:kern w:val="0"/>
                <w:sz w:val="22"/>
              </w:rPr>
              <w:t>显示屏结构</w:t>
            </w:r>
          </w:p>
        </w:tc>
        <w:tc>
          <w:tcPr>
            <w:tcW w:w="227" w:type="pct"/>
            <w:tcBorders>
              <w:top w:val="single" w:color="auto" w:sz="4" w:space="0"/>
              <w:left w:val="nil"/>
              <w:bottom w:val="single" w:color="auto" w:sz="4" w:space="0"/>
              <w:right w:val="single" w:color="auto" w:sz="4" w:space="0"/>
            </w:tcBorders>
            <w:vAlign w:val="center"/>
          </w:tcPr>
          <w:p w14:paraId="20931A1E">
            <w:pPr>
              <w:widowControl/>
              <w:snapToGrid w:val="0"/>
              <w:spacing w:before="50" w:after="50"/>
              <w:jc w:val="center"/>
              <w:textAlignment w:val="center"/>
              <w:rPr>
                <w:rFonts w:ascii="宋体" w:hAnsi="宋体"/>
                <w:kern w:val="0"/>
                <w:sz w:val="22"/>
              </w:rPr>
            </w:pPr>
          </w:p>
        </w:tc>
        <w:tc>
          <w:tcPr>
            <w:tcW w:w="355" w:type="pct"/>
            <w:tcBorders>
              <w:top w:val="single" w:color="auto" w:sz="4" w:space="0"/>
              <w:left w:val="nil"/>
              <w:bottom w:val="single" w:color="auto" w:sz="4" w:space="0"/>
              <w:right w:val="single" w:color="auto" w:sz="4" w:space="0"/>
            </w:tcBorders>
            <w:vAlign w:val="center"/>
          </w:tcPr>
          <w:p w14:paraId="465DADF7">
            <w:pPr>
              <w:widowControl/>
              <w:snapToGrid w:val="0"/>
              <w:spacing w:before="50" w:after="50"/>
              <w:jc w:val="center"/>
              <w:textAlignment w:val="center"/>
              <w:rPr>
                <w:rFonts w:ascii="宋体" w:hAnsi="宋体"/>
                <w:kern w:val="0"/>
                <w:sz w:val="22"/>
              </w:rPr>
            </w:pPr>
          </w:p>
        </w:tc>
        <w:tc>
          <w:tcPr>
            <w:tcW w:w="450" w:type="pct"/>
            <w:tcBorders>
              <w:top w:val="single" w:color="auto" w:sz="4" w:space="0"/>
              <w:left w:val="nil"/>
              <w:bottom w:val="single" w:color="auto" w:sz="4" w:space="0"/>
              <w:right w:val="single" w:color="auto" w:sz="4" w:space="0"/>
            </w:tcBorders>
            <w:vAlign w:val="center"/>
          </w:tcPr>
          <w:p w14:paraId="12E7B7FF">
            <w:pPr>
              <w:snapToGrid w:val="0"/>
              <w:spacing w:before="50" w:after="50"/>
              <w:jc w:val="center"/>
              <w:rPr>
                <w:rFonts w:ascii="宋体" w:hAnsi="宋体"/>
                <w:kern w:val="0"/>
                <w:sz w:val="22"/>
              </w:rPr>
            </w:pPr>
          </w:p>
        </w:tc>
        <w:tc>
          <w:tcPr>
            <w:tcW w:w="602" w:type="pct"/>
            <w:tcBorders>
              <w:top w:val="single" w:color="auto" w:sz="4" w:space="0"/>
              <w:left w:val="nil"/>
              <w:bottom w:val="single" w:color="auto" w:sz="4" w:space="0"/>
              <w:right w:val="single" w:color="auto" w:sz="4" w:space="0"/>
            </w:tcBorders>
          </w:tcPr>
          <w:p w14:paraId="5E8A6E41">
            <w:pPr>
              <w:snapToGrid w:val="0"/>
              <w:spacing w:before="50" w:after="50"/>
              <w:jc w:val="center"/>
              <w:rPr>
                <w:rFonts w:ascii="宋体" w:hAnsi="宋体"/>
              </w:rPr>
            </w:pPr>
          </w:p>
        </w:tc>
        <w:tc>
          <w:tcPr>
            <w:tcW w:w="582" w:type="pct"/>
            <w:tcBorders>
              <w:top w:val="single" w:color="auto" w:sz="4" w:space="0"/>
              <w:left w:val="nil"/>
              <w:bottom w:val="single" w:color="auto" w:sz="4" w:space="0"/>
              <w:right w:val="single" w:color="auto" w:sz="4" w:space="0"/>
            </w:tcBorders>
            <w:vAlign w:val="center"/>
          </w:tcPr>
          <w:p w14:paraId="7FB48B6D">
            <w:pPr>
              <w:snapToGrid w:val="0"/>
              <w:spacing w:before="50" w:after="50"/>
              <w:jc w:val="center"/>
              <w:rPr>
                <w:rFonts w:ascii="宋体" w:hAnsi="宋体"/>
              </w:rPr>
            </w:pPr>
          </w:p>
        </w:tc>
        <w:tc>
          <w:tcPr>
            <w:tcW w:w="1101" w:type="pct"/>
            <w:tcBorders>
              <w:top w:val="single" w:color="auto" w:sz="4" w:space="0"/>
              <w:left w:val="nil"/>
              <w:bottom w:val="single" w:color="auto" w:sz="4" w:space="0"/>
              <w:right w:val="single" w:color="auto" w:sz="4" w:space="0"/>
            </w:tcBorders>
            <w:vAlign w:val="center"/>
          </w:tcPr>
          <w:p w14:paraId="132515FB">
            <w:pPr>
              <w:snapToGrid w:val="0"/>
              <w:spacing w:before="50" w:after="50"/>
              <w:jc w:val="center"/>
              <w:rPr>
                <w:rFonts w:ascii="宋体" w:hAnsi="宋体"/>
              </w:rPr>
            </w:pPr>
          </w:p>
        </w:tc>
      </w:tr>
      <w:tr w14:paraId="2E691B9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4482" w:type="pct"/>
          <w:trHeight w:val="100" w:hRule="atLeast"/>
          <w:jc w:val="center"/>
        </w:trPr>
        <w:tc>
          <w:tcPr>
            <w:tcW w:w="518" w:type="pct"/>
            <w:tcBorders>
              <w:top w:val="single" w:color="auto" w:sz="4" w:space="0"/>
            </w:tcBorders>
          </w:tcPr>
          <w:p w14:paraId="1671FFA5">
            <w:pPr>
              <w:contextualSpacing/>
              <w:rPr>
                <w:rFonts w:ascii="宋体" w:hAnsi="宋体"/>
              </w:rPr>
            </w:pPr>
          </w:p>
        </w:tc>
      </w:tr>
    </w:tbl>
    <w:p w14:paraId="67A1AA39">
      <w:pPr>
        <w:contextualSpacing/>
        <w:rPr>
          <w:rFonts w:ascii="宋体" w:hAnsi="宋体"/>
          <w:szCs w:val="21"/>
        </w:rPr>
      </w:pPr>
      <w:r>
        <w:rPr>
          <w:rFonts w:hint="eastAsia" w:ascii="宋体" w:hAnsi="宋体"/>
        </w:rPr>
        <w:t xml:space="preserve"> </w:t>
      </w:r>
    </w:p>
    <w:p w14:paraId="400C4CD6">
      <w:pPr>
        <w:contextualSpacing/>
        <w:rPr>
          <w:rFonts w:ascii="宋体" w:hAnsi="宋体"/>
        </w:rPr>
      </w:pPr>
      <w:r>
        <w:rPr>
          <w:rFonts w:hint="eastAsia" w:ascii="宋体" w:hAnsi="宋体"/>
        </w:rPr>
        <w:t>备注：</w:t>
      </w:r>
      <w:r>
        <w:rPr>
          <w:rFonts w:hint="eastAsia" w:ascii="宋体" w:hAnsi="宋体"/>
          <w:b/>
          <w:bCs/>
        </w:rPr>
        <w:t>以上货物配置清单中“货物配置名称、数量及单位、品牌、规格型号、制造商、技术参数及性能配置”必须如实填写完整，品牌、规格型号没有则填无，填写有缺漏的，响应文件按无效响应处理</w:t>
      </w:r>
      <w:r>
        <w:rPr>
          <w:rFonts w:hint="eastAsia" w:ascii="宋体" w:hAnsi="宋体"/>
          <w:b/>
        </w:rPr>
        <w:t>。</w:t>
      </w:r>
      <w:r>
        <w:rPr>
          <w:rFonts w:hint="eastAsia" w:ascii="宋体" w:hAnsi="宋体"/>
        </w:rPr>
        <w:tab/>
      </w:r>
    </w:p>
    <w:p w14:paraId="32EC7872">
      <w:pPr>
        <w:ind w:right="-817" w:rightChars="-389"/>
        <w:contextualSpacing/>
        <w:jc w:val="center"/>
        <w:rPr>
          <w:rFonts w:ascii="宋体" w:hAnsi="宋体"/>
        </w:rPr>
      </w:pPr>
      <w:r>
        <w:rPr>
          <w:rFonts w:hint="eastAsia" w:ascii="宋体" w:hAnsi="宋体"/>
        </w:rPr>
        <w:t>法定代表人或者委托代理人（签字）：</w:t>
      </w:r>
    </w:p>
    <w:p w14:paraId="34D58AED">
      <w:pPr>
        <w:ind w:right="-817" w:rightChars="-389" w:firstLine="7245" w:firstLineChars="3450"/>
        <w:contextualSpacing/>
        <w:rPr>
          <w:rFonts w:ascii="宋体" w:hAnsi="宋体"/>
        </w:rPr>
      </w:pPr>
      <w:r>
        <w:rPr>
          <w:rFonts w:hint="eastAsia" w:ascii="宋体" w:hAnsi="宋体"/>
        </w:rPr>
        <w:t xml:space="preserve">供应商（盖公章）：      </w:t>
      </w:r>
    </w:p>
    <w:p w14:paraId="7F3F73F2">
      <w:pPr>
        <w:ind w:right="-817" w:rightChars="-389" w:firstLine="8190" w:firstLineChars="3900"/>
        <w:contextualSpacing/>
        <w:rPr>
          <w:rFonts w:ascii="Calibri" w:hAnsi="Calibri"/>
        </w:rPr>
      </w:pPr>
      <w:r>
        <w:rPr>
          <w:rFonts w:hint="eastAsia" w:ascii="宋体" w:hAnsi="宋体"/>
        </w:rPr>
        <w:t>日  期：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98D40"/>
    <w:multiLevelType w:val="singleLevel"/>
    <w:tmpl w:val="44398D40"/>
    <w:lvl w:ilvl="0" w:tentative="0">
      <w:start w:val="2"/>
      <w:numFmt w:val="decimal"/>
      <w:lvlText w:val="%1."/>
      <w:lvlJc w:val="left"/>
      <w:pPr>
        <w:tabs>
          <w:tab w:val="left" w:pos="312"/>
        </w:tabs>
      </w:pPr>
    </w:lvl>
  </w:abstractNum>
  <w:abstractNum w:abstractNumId="1">
    <w:nsid w:val="4945118C"/>
    <w:multiLevelType w:val="multilevel"/>
    <w:tmpl w:val="4945118C"/>
    <w:lvl w:ilvl="0" w:tentative="0">
      <w:start w:val="1"/>
      <w:numFmt w:val="japaneseCounting"/>
      <w:lvlText w:val="%1、"/>
      <w:lvlJc w:val="left"/>
      <w:pPr>
        <w:ind w:left="1360" w:hanging="720"/>
      </w:pPr>
      <w:rPr>
        <w:rFonts w:hint="default" w:ascii="方正小标宋_GBK" w:hAnsi="方正小标宋_GBK" w:eastAsia="方正小标宋_GBK"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2"/>
    <w:rsid w:val="0002633C"/>
    <w:rsid w:val="000373C2"/>
    <w:rsid w:val="00047017"/>
    <w:rsid w:val="00047884"/>
    <w:rsid w:val="00090198"/>
    <w:rsid w:val="00102A40"/>
    <w:rsid w:val="00114B76"/>
    <w:rsid w:val="001422A3"/>
    <w:rsid w:val="00172C6F"/>
    <w:rsid w:val="00176390"/>
    <w:rsid w:val="001A0840"/>
    <w:rsid w:val="001C6ADE"/>
    <w:rsid w:val="001D7A26"/>
    <w:rsid w:val="001F5639"/>
    <w:rsid w:val="00200364"/>
    <w:rsid w:val="00204CF2"/>
    <w:rsid w:val="0022750B"/>
    <w:rsid w:val="00232A91"/>
    <w:rsid w:val="0024043F"/>
    <w:rsid w:val="002B02B0"/>
    <w:rsid w:val="002E04F3"/>
    <w:rsid w:val="003079DA"/>
    <w:rsid w:val="00310B87"/>
    <w:rsid w:val="003212F5"/>
    <w:rsid w:val="003461CB"/>
    <w:rsid w:val="00381789"/>
    <w:rsid w:val="0038303D"/>
    <w:rsid w:val="003C0326"/>
    <w:rsid w:val="003C2FFC"/>
    <w:rsid w:val="0040105C"/>
    <w:rsid w:val="00435C12"/>
    <w:rsid w:val="004A5381"/>
    <w:rsid w:val="004B7126"/>
    <w:rsid w:val="004D26F6"/>
    <w:rsid w:val="004D5811"/>
    <w:rsid w:val="00500963"/>
    <w:rsid w:val="005049D3"/>
    <w:rsid w:val="0054409F"/>
    <w:rsid w:val="00577038"/>
    <w:rsid w:val="00592E76"/>
    <w:rsid w:val="005939AC"/>
    <w:rsid w:val="005D155A"/>
    <w:rsid w:val="005F0AC1"/>
    <w:rsid w:val="00645F03"/>
    <w:rsid w:val="00654C77"/>
    <w:rsid w:val="006A0CBD"/>
    <w:rsid w:val="006C41F9"/>
    <w:rsid w:val="006D0A7C"/>
    <w:rsid w:val="007556F1"/>
    <w:rsid w:val="007E60DB"/>
    <w:rsid w:val="007E7875"/>
    <w:rsid w:val="007F0CA9"/>
    <w:rsid w:val="00845B71"/>
    <w:rsid w:val="008772C0"/>
    <w:rsid w:val="00884262"/>
    <w:rsid w:val="008906FD"/>
    <w:rsid w:val="008F5C82"/>
    <w:rsid w:val="00977BBF"/>
    <w:rsid w:val="00A12176"/>
    <w:rsid w:val="00A47114"/>
    <w:rsid w:val="00AB3127"/>
    <w:rsid w:val="00B2031B"/>
    <w:rsid w:val="00B4267F"/>
    <w:rsid w:val="00B47623"/>
    <w:rsid w:val="00BB435E"/>
    <w:rsid w:val="00BD409F"/>
    <w:rsid w:val="00C438B5"/>
    <w:rsid w:val="00C60BD5"/>
    <w:rsid w:val="00CA178D"/>
    <w:rsid w:val="00CF22C2"/>
    <w:rsid w:val="00D058BE"/>
    <w:rsid w:val="00D27E8C"/>
    <w:rsid w:val="00D47D29"/>
    <w:rsid w:val="00DD449E"/>
    <w:rsid w:val="00DD5814"/>
    <w:rsid w:val="00DF0F90"/>
    <w:rsid w:val="00DF17B2"/>
    <w:rsid w:val="00DF4533"/>
    <w:rsid w:val="00E0754E"/>
    <w:rsid w:val="00E1296F"/>
    <w:rsid w:val="00E22AC5"/>
    <w:rsid w:val="00E27AC8"/>
    <w:rsid w:val="00E82AB6"/>
    <w:rsid w:val="00EC549E"/>
    <w:rsid w:val="00F05FF2"/>
    <w:rsid w:val="00F12F44"/>
    <w:rsid w:val="034476D8"/>
    <w:rsid w:val="03AF33C7"/>
    <w:rsid w:val="06253E14"/>
    <w:rsid w:val="07F97307"/>
    <w:rsid w:val="0C273F9F"/>
    <w:rsid w:val="0C41127C"/>
    <w:rsid w:val="0D8E229F"/>
    <w:rsid w:val="0E010CC3"/>
    <w:rsid w:val="0EA93C67"/>
    <w:rsid w:val="0F6B6D3C"/>
    <w:rsid w:val="14B22C25"/>
    <w:rsid w:val="159F14ED"/>
    <w:rsid w:val="166C5148"/>
    <w:rsid w:val="16C613C0"/>
    <w:rsid w:val="17821ADB"/>
    <w:rsid w:val="18A70562"/>
    <w:rsid w:val="19241D0A"/>
    <w:rsid w:val="19EB24C3"/>
    <w:rsid w:val="1A3366A8"/>
    <w:rsid w:val="1ACE586F"/>
    <w:rsid w:val="1F813A12"/>
    <w:rsid w:val="1FA14EA2"/>
    <w:rsid w:val="20BD6CCC"/>
    <w:rsid w:val="2120725A"/>
    <w:rsid w:val="21D50045"/>
    <w:rsid w:val="23502079"/>
    <w:rsid w:val="25826736"/>
    <w:rsid w:val="282B09BF"/>
    <w:rsid w:val="2A5306A1"/>
    <w:rsid w:val="2B0B2D29"/>
    <w:rsid w:val="2BDF7702"/>
    <w:rsid w:val="2CB83301"/>
    <w:rsid w:val="318A2BFA"/>
    <w:rsid w:val="3460040C"/>
    <w:rsid w:val="346321DD"/>
    <w:rsid w:val="39602492"/>
    <w:rsid w:val="3B581673"/>
    <w:rsid w:val="3CCB3E6D"/>
    <w:rsid w:val="3E3D0FF4"/>
    <w:rsid w:val="4084115C"/>
    <w:rsid w:val="44FE772F"/>
    <w:rsid w:val="463B22BD"/>
    <w:rsid w:val="48111527"/>
    <w:rsid w:val="488937B4"/>
    <w:rsid w:val="495E0009"/>
    <w:rsid w:val="4C066EC9"/>
    <w:rsid w:val="4C7B78B7"/>
    <w:rsid w:val="4C7D362F"/>
    <w:rsid w:val="4D461C73"/>
    <w:rsid w:val="4DC4703C"/>
    <w:rsid w:val="5119769F"/>
    <w:rsid w:val="53654E1D"/>
    <w:rsid w:val="53734A39"/>
    <w:rsid w:val="573B5393"/>
    <w:rsid w:val="57A9177C"/>
    <w:rsid w:val="59B47F65"/>
    <w:rsid w:val="5A007FC9"/>
    <w:rsid w:val="5A551748"/>
    <w:rsid w:val="5AF764BB"/>
    <w:rsid w:val="5B1E7D8B"/>
    <w:rsid w:val="5BB7009B"/>
    <w:rsid w:val="5C3C3BB3"/>
    <w:rsid w:val="5DB03139"/>
    <w:rsid w:val="5FA4410B"/>
    <w:rsid w:val="611651B1"/>
    <w:rsid w:val="631B36A0"/>
    <w:rsid w:val="63584057"/>
    <w:rsid w:val="680B78E9"/>
    <w:rsid w:val="6BF54B38"/>
    <w:rsid w:val="6D460A1A"/>
    <w:rsid w:val="6D665378"/>
    <w:rsid w:val="6D6F091A"/>
    <w:rsid w:val="741713C4"/>
    <w:rsid w:val="76EC2FDC"/>
    <w:rsid w:val="78056103"/>
    <w:rsid w:val="797E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line="380" w:lineRule="exact"/>
    </w:pPr>
    <w:rPr>
      <w:rFonts w:ascii="Calibri" w:hAnsi="Calibri" w:eastAsia="宋体" w:cs="宋体"/>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Table Paragraph"/>
    <w:basedOn w:val="1"/>
    <w:qFormat/>
    <w:uiPriority w:val="1"/>
    <w:rPr>
      <w:rFonts w:ascii="等线" w:hAnsi="等线" w:eastAsia="等线" w:cs="Times New Roman"/>
      <w:szCs w:val="24"/>
    </w:rPr>
  </w:style>
  <w:style w:type="paragraph" w:styleId="12">
    <w:name w:val="List Paragraph"/>
    <w:basedOn w:val="1"/>
    <w:uiPriority w:val="99"/>
    <w:pPr>
      <w:ind w:firstLine="420" w:firstLineChars="200"/>
    </w:pPr>
  </w:style>
  <w:style w:type="character" w:customStyle="1" w:styleId="13">
    <w:name w:val="15"/>
    <w:basedOn w:val="8"/>
    <w:qFormat/>
    <w:uiPriority w:val="0"/>
    <w:rPr>
      <w:rFonts w:hint="eastAsia" w:ascii="宋体" w:hAnsi="宋体" w:eastAsia="宋体"/>
      <w:color w:val="000000"/>
      <w:sz w:val="20"/>
      <w:szCs w:val="20"/>
    </w:rPr>
  </w:style>
  <w:style w:type="character" w:customStyle="1" w:styleId="14">
    <w:name w:val="正文文本 Char"/>
    <w:basedOn w:val="8"/>
    <w:link w:val="2"/>
    <w:qFormat/>
    <w:uiPriority w:val="99"/>
    <w:rPr>
      <w:rFonts w:ascii="Calibri" w:hAnsi="Calibri" w:cs="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2696</Words>
  <Characters>3339</Characters>
  <Lines>61</Lines>
  <Paragraphs>17</Paragraphs>
  <TotalTime>29</TotalTime>
  <ScaleCrop>false</ScaleCrop>
  <LinksUpToDate>false</LinksUpToDate>
  <CharactersWithSpaces>3843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2025-06-17T08:25:00Z</dcterms:created>
  <dc:creator>覃志敏</dc:creator>
  <cp:lastModifiedBy>芸芝</cp:lastModifiedBy>
  <dcterms:modified xsi:type="dcterms:W3CDTF">2025-06-24T07:24:05Z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eyJoZGlkIjoiZTYxZmRiY2M2NTM3MzRkZWZmMTJkZjgzMjA2MTY4MzYiLCJ1c2VySWQiOiI0MTUwNTM0OTcifQ==</vt:lpwstr>
  </property>
  <property fmtid="{D5CDD505-2E9C-101B-9397-08002B2CF9AE}" pid="3" name="KSOProductBuildVer">
    <vt:lpwstr>2052-12.1.0.21541</vt:lpwstr>
  </property>
  <property fmtid="{D5CDD505-2E9C-101B-9397-08002B2CF9AE}" pid="4" name="ICV">
    <vt:lpwstr>947C2AFCD4504935BC36244AE8179A75_13</vt:lpwstr>
  </property>
</Properties>
</file>