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ind w:left="0" w:leftChars="0" w:firstLine="0" w:firstLineChars="0"/>
        <w:jc w:val="center"/>
        <w:rPr>
          <w:rFonts w:ascii="宋体" w:hAnsi="宋体"/>
          <w:sz w:val="24"/>
          <w:szCs w:val="72"/>
        </w:rPr>
      </w:pPr>
      <w:r>
        <w:rPr>
          <w:rFonts w:hint="eastAsia" w:ascii="宋体" w:hAnsi="宋体"/>
          <w:sz w:val="52"/>
          <w:szCs w:val="72"/>
          <w:lang w:val="en-US" w:eastAsia="zh-CN"/>
        </w:rPr>
        <w:t>询价文件</w:t>
      </w:r>
      <w:r>
        <w:rPr>
          <w:rFonts w:hint="eastAsia" w:ascii="宋体" w:hAnsi="宋体"/>
          <w:sz w:val="52"/>
          <w:szCs w:val="72"/>
        </w:rPr>
        <w:t>关键性条款</w:t>
      </w:r>
    </w:p>
    <w:p>
      <w:pPr>
        <w:pStyle w:val="11"/>
        <w:snapToGrid w:val="0"/>
        <w:spacing w:before="120" w:after="120" w:line="360" w:lineRule="auto"/>
        <w:rPr>
          <w:rFonts w:ascii="方正小标宋简体" w:hAnsi="宋体" w:eastAsia="方正小标宋简体"/>
          <w:bCs/>
          <w:sz w:val="30"/>
          <w:szCs w:val="30"/>
        </w:rPr>
      </w:pPr>
    </w:p>
    <w:p>
      <w:pPr>
        <w:snapToGrid w:val="0"/>
        <w:spacing w:before="156" w:beforeLines="50" w:line="400" w:lineRule="exact"/>
        <w:ind w:left="0" w:leftChars="0" w:firstLine="0" w:firstLineChars="0"/>
        <w:jc w:val="center"/>
        <w:rPr>
          <w:rFonts w:ascii="方正小标宋简体" w:hAnsi="宋体" w:eastAsia="方正小标宋简体"/>
          <w:sz w:val="30"/>
          <w:szCs w:val="30"/>
        </w:rPr>
      </w:pPr>
      <w:r>
        <w:rPr>
          <w:rFonts w:hint="eastAsia" w:ascii="方正小标宋简体" w:hAnsi="宋体" w:eastAsia="方正小标宋简体"/>
          <w:spacing w:val="6"/>
          <w:sz w:val="30"/>
          <w:szCs w:val="72"/>
        </w:rPr>
        <w:t>项目名称</w:t>
      </w:r>
      <w:r>
        <w:rPr>
          <w:rFonts w:hint="eastAsia" w:ascii="方正小标宋简体" w:hAnsi="宋体" w:eastAsia="方正小标宋简体"/>
          <w:sz w:val="30"/>
          <w:szCs w:val="72"/>
        </w:rPr>
        <w:t>：</w:t>
      </w:r>
      <w:r>
        <w:rPr>
          <w:rFonts w:hint="eastAsia" w:ascii="方正小标宋简体" w:hAnsi="宋体" w:eastAsia="方正小标宋简体"/>
          <w:sz w:val="30"/>
          <w:szCs w:val="72"/>
          <w:lang w:val="en-US" w:eastAsia="zh-CN"/>
        </w:rPr>
        <w:t>互联网专线</w:t>
      </w:r>
    </w:p>
    <w:p>
      <w:pPr>
        <w:snapToGrid w:val="0"/>
        <w:spacing w:before="156" w:beforeLines="50" w:line="400" w:lineRule="exact"/>
        <w:rPr>
          <w:rFonts w:ascii="方正小标宋简体" w:hAnsi="宋体" w:eastAsia="方正小标宋简体"/>
          <w:sz w:val="30"/>
          <w:szCs w:val="30"/>
        </w:rPr>
      </w:pPr>
    </w:p>
    <w:p>
      <w:pPr>
        <w:snapToGrid w:val="0"/>
        <w:spacing w:before="156" w:beforeLines="50" w:line="360" w:lineRule="auto"/>
        <w:rPr>
          <w:rFonts w:ascii="方正小标宋简体" w:hAnsi="宋体" w:eastAsia="方正小标宋简体"/>
          <w:sz w:val="30"/>
          <w:szCs w:val="72"/>
        </w:rPr>
      </w:pPr>
    </w:p>
    <w:p>
      <w:pPr>
        <w:pStyle w:val="16"/>
        <w:rPr>
          <w:rFonts w:ascii="方正小标宋简体" w:hAnsi="宋体" w:eastAsia="方正小标宋简体"/>
          <w:color w:val="auto"/>
          <w:sz w:val="30"/>
          <w:szCs w:val="72"/>
        </w:rPr>
      </w:pPr>
    </w:p>
    <w:p>
      <w:pPr>
        <w:pStyle w:val="16"/>
        <w:rPr>
          <w:rFonts w:ascii="方正小标宋简体" w:hAnsi="宋体" w:eastAsia="方正小标宋简体"/>
          <w:color w:val="auto"/>
          <w:sz w:val="30"/>
          <w:szCs w:val="72"/>
        </w:rPr>
      </w:pPr>
    </w:p>
    <w:p>
      <w:pPr>
        <w:snapToGrid w:val="0"/>
        <w:spacing w:before="156" w:beforeLines="50" w:line="530" w:lineRule="exact"/>
        <w:rPr>
          <w:rFonts w:ascii="方正小标宋简体" w:hAnsi="宋体" w:eastAsia="方正小标宋简体"/>
          <w:sz w:val="30"/>
          <w:szCs w:val="72"/>
        </w:rPr>
      </w:pPr>
    </w:p>
    <w:p/>
    <w:p/>
    <w:p/>
    <w:p>
      <w:pPr>
        <w:spacing w:line="640" w:lineRule="exact"/>
        <w:jc w:val="center"/>
        <w:rPr>
          <w:rFonts w:ascii="宋体" w:hAnsi="宋体"/>
          <w:b/>
          <w:color w:val="000000"/>
          <w:sz w:val="28"/>
          <w:szCs w:val="32"/>
        </w:rPr>
      </w:pPr>
      <w:r>
        <w:rPr>
          <w:rFonts w:hint="eastAsia" w:ascii="方正小标宋_GBK" w:hAnsi="宋体" w:eastAsia="方正小标宋_GBK"/>
          <w:b/>
          <w:sz w:val="44"/>
          <w:szCs w:val="44"/>
        </w:rPr>
        <w:br w:type="page"/>
      </w:r>
      <w:r>
        <w:rPr>
          <w:rFonts w:hint="eastAsia" w:ascii="宋体" w:hAnsi="宋体" w:eastAsia="宋体" w:cs="宋体"/>
          <w:b/>
          <w:sz w:val="32"/>
          <w:szCs w:val="32"/>
          <w:lang w:val="en-US" w:eastAsia="zh-CN"/>
        </w:rPr>
        <w:t>一、</w:t>
      </w:r>
      <w:r>
        <w:rPr>
          <w:rFonts w:hint="eastAsia" w:ascii="宋体" w:hAnsi="宋体" w:eastAsia="宋体" w:cs="宋体"/>
          <w:b/>
          <w:sz w:val="32"/>
          <w:szCs w:val="32"/>
        </w:rPr>
        <w:t>申请人的</w:t>
      </w:r>
      <w:r>
        <w:rPr>
          <w:rFonts w:hint="eastAsia" w:ascii="宋体" w:hAnsi="宋体" w:cs="宋体"/>
          <w:b/>
          <w:sz w:val="32"/>
          <w:szCs w:val="32"/>
        </w:rPr>
        <w:t>资格条件：</w:t>
      </w:r>
    </w:p>
    <w:p>
      <w:pPr>
        <w:spacing w:line="440" w:lineRule="exact"/>
        <w:ind w:firstLine="420"/>
        <w:rPr>
          <w:rFonts w:ascii="宋体" w:hAnsi="宋体"/>
          <w:b/>
          <w:color w:val="000000"/>
          <w:sz w:val="28"/>
          <w:szCs w:val="32"/>
        </w:rPr>
      </w:pPr>
      <w:r>
        <w:rPr>
          <w:rFonts w:hint="eastAsia" w:ascii="宋体" w:hAnsi="宋体"/>
          <w:color w:val="000000"/>
          <w:sz w:val="28"/>
          <w:szCs w:val="32"/>
        </w:rPr>
        <w:t>1.满足《中华人民共和国政府采购法》第二十二条规定；</w:t>
      </w:r>
    </w:p>
    <w:p>
      <w:pPr>
        <w:spacing w:line="440" w:lineRule="exact"/>
        <w:ind w:firstLine="420"/>
        <w:rPr>
          <w:rFonts w:ascii="宋体" w:hAnsi="宋体"/>
          <w:color w:val="000000"/>
          <w:sz w:val="28"/>
          <w:szCs w:val="32"/>
        </w:rPr>
      </w:pPr>
      <w:r>
        <w:rPr>
          <w:rFonts w:hint="eastAsia" w:ascii="宋体" w:hAnsi="宋体"/>
          <w:color w:val="000000"/>
          <w:sz w:val="28"/>
          <w:szCs w:val="32"/>
        </w:rPr>
        <w:t>2.落实政府采购政策需满足的资格要求：无</w:t>
      </w:r>
    </w:p>
    <w:p>
      <w:pPr>
        <w:spacing w:line="440" w:lineRule="exact"/>
        <w:ind w:firstLine="435"/>
        <w:rPr>
          <w:rFonts w:ascii="宋体" w:hAnsi="宋体"/>
          <w:color w:val="000000"/>
          <w:sz w:val="28"/>
          <w:szCs w:val="32"/>
        </w:rPr>
      </w:pPr>
      <w:r>
        <w:rPr>
          <w:rFonts w:hint="eastAsia" w:ascii="宋体" w:hAnsi="宋体"/>
          <w:color w:val="000000"/>
          <w:sz w:val="28"/>
          <w:szCs w:val="32"/>
        </w:rPr>
        <w:t>3.本项目的特定资格要求：无</w:t>
      </w:r>
    </w:p>
    <w:p/>
    <w:p>
      <w:pPr>
        <w:widowControl/>
        <w:jc w:val="left"/>
      </w:pPr>
    </w:p>
    <w:p/>
    <w:p/>
    <w:p/>
    <w:p/>
    <w:p/>
    <w:p/>
    <w:p/>
    <w:p/>
    <w:p/>
    <w:p/>
    <w:p/>
    <w:p>
      <w:pPr>
        <w:spacing w:line="440" w:lineRule="exact"/>
        <w:jc w:val="center"/>
        <w:rPr>
          <w:rFonts w:hint="eastAsia" w:ascii="宋体" w:hAnsi="宋体" w:eastAsia="宋体"/>
          <w:b/>
          <w:color w:val="auto"/>
          <w:sz w:val="36"/>
          <w:szCs w:val="36"/>
          <w:lang w:val="en-US" w:eastAsia="zh-CN"/>
        </w:rPr>
      </w:pPr>
      <w:r>
        <w:br w:type="page"/>
      </w:r>
      <w:r>
        <w:rPr>
          <w:rFonts w:hint="eastAsia" w:ascii="宋体" w:hAnsi="宋体" w:eastAsia="宋体"/>
          <w:b/>
          <w:color w:val="auto"/>
          <w:sz w:val="36"/>
          <w:szCs w:val="36"/>
          <w:lang w:val="en-US" w:eastAsia="zh-CN"/>
        </w:rPr>
        <w:t>二、</w:t>
      </w:r>
      <w:r>
        <w:rPr>
          <w:rFonts w:hint="eastAsia" w:ascii="宋体" w:hAnsi="宋体" w:eastAsia="宋体"/>
          <w:b/>
          <w:color w:val="auto"/>
          <w:sz w:val="36"/>
          <w:szCs w:val="36"/>
        </w:rPr>
        <w:t>项目需求</w:t>
      </w:r>
      <w:r>
        <w:rPr>
          <w:rFonts w:hint="eastAsia" w:ascii="宋体" w:hAnsi="宋体" w:eastAsia="宋体"/>
          <w:b/>
          <w:color w:val="auto"/>
          <w:sz w:val="36"/>
          <w:szCs w:val="36"/>
          <w:lang w:val="en-US" w:eastAsia="zh-CN"/>
        </w:rPr>
        <w:t>一览表</w:t>
      </w:r>
    </w:p>
    <w:p>
      <w:pPr>
        <w:spacing w:line="396" w:lineRule="exact"/>
        <w:rPr>
          <w:rFonts w:ascii="宋体" w:hAnsi="宋体"/>
          <w:b/>
          <w:color w:val="auto"/>
          <w:szCs w:val="21"/>
        </w:rPr>
      </w:pPr>
    </w:p>
    <w:p>
      <w:pPr>
        <w:rPr>
          <w:rFonts w:hint="eastAsia"/>
        </w:rPr>
      </w:pPr>
    </w:p>
    <w:p>
      <w:pPr>
        <w:rPr>
          <w:rFonts w:hint="eastAsia"/>
          <w:b/>
          <w:bCs/>
        </w:rPr>
      </w:pPr>
      <w:r>
        <w:rPr>
          <w:rFonts w:ascii="宋体" w:hAnsi="宋体" w:cs="宋体"/>
          <w:b/>
          <w:kern w:val="1"/>
          <w:szCs w:val="21"/>
        </w:rPr>
        <w:t>说明：</w:t>
      </w:r>
    </w:p>
    <w:p>
      <w:pPr>
        <w:spacing w:line="400" w:lineRule="exact"/>
        <w:ind w:firstLine="411" w:firstLineChars="196"/>
        <w:jc w:val="left"/>
        <w:rPr>
          <w:rFonts w:hint="eastAsia" w:ascii="宋体" w:hAnsi="宋体" w:cs="宋体"/>
          <w:b/>
          <w:kern w:val="1"/>
          <w:szCs w:val="21"/>
        </w:rPr>
      </w:pPr>
      <w:r>
        <w:rPr>
          <w:rFonts w:hint="eastAsia" w:ascii="宋体" w:hAnsi="宋体" w:cs="宋体"/>
          <w:kern w:val="1"/>
          <w:szCs w:val="21"/>
        </w:rPr>
        <w:t>1</w:t>
      </w:r>
      <w:r>
        <w:rPr>
          <w:rFonts w:ascii="宋体" w:hAnsi="宋体" w:cs="宋体"/>
          <w:kern w:val="1"/>
          <w:szCs w:val="21"/>
        </w:rPr>
        <w:t>、</w:t>
      </w:r>
      <w:r>
        <w:rPr>
          <w:rFonts w:hint="eastAsia" w:ascii="宋体" w:hAnsi="宋体" w:cs="宋体"/>
          <w:kern w:val="1"/>
          <w:szCs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w:t>
      </w:r>
      <w:r>
        <w:rPr>
          <w:rFonts w:hint="eastAsia" w:ascii="宋体" w:hAnsi="宋体" w:cs="宋体"/>
          <w:b/>
          <w:kern w:val="1"/>
          <w:szCs w:val="21"/>
        </w:rPr>
        <w:t>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投标无效。</w:t>
      </w:r>
    </w:p>
    <w:p>
      <w:pPr>
        <w:spacing w:line="360" w:lineRule="exact"/>
        <w:ind w:firstLine="420"/>
        <w:rPr>
          <w:rFonts w:ascii="宋体" w:hAnsi="宋体"/>
        </w:rPr>
      </w:pPr>
      <w:r>
        <w:rPr>
          <w:rFonts w:hint="eastAsia" w:ascii="宋体" w:hAnsi="宋体" w:cs="宋体"/>
          <w:kern w:val="1"/>
          <w:szCs w:val="21"/>
        </w:rPr>
        <w:t>2、</w:t>
      </w:r>
      <w:r>
        <w:rPr>
          <w:rFonts w:hint="eastAsia" w:ascii="宋体" w:hAnsi="宋体"/>
          <w:lang w:eastAsia="zh-CN"/>
        </w:rPr>
        <w:t>报价人</w:t>
      </w:r>
      <w:r>
        <w:rPr>
          <w:rFonts w:hint="eastAsia" w:ascii="宋体" w:hAnsi="宋体"/>
        </w:rPr>
        <w:t>必须自行为其投标产品侵犯其他</w:t>
      </w:r>
      <w:r>
        <w:rPr>
          <w:rFonts w:hint="eastAsia" w:ascii="宋体" w:hAnsi="宋体"/>
          <w:lang w:eastAsia="zh-CN"/>
        </w:rPr>
        <w:t>报价人</w:t>
      </w:r>
      <w:r>
        <w:rPr>
          <w:rFonts w:hint="eastAsia" w:ascii="宋体" w:hAnsi="宋体"/>
        </w:rPr>
        <w:t>或专利人的专利成果承担相应法律责任；同时，具有产品专利的</w:t>
      </w:r>
      <w:r>
        <w:rPr>
          <w:rFonts w:hint="eastAsia" w:ascii="宋体" w:hAnsi="宋体"/>
          <w:lang w:eastAsia="zh-CN"/>
        </w:rPr>
        <w:t>报价人</w:t>
      </w:r>
      <w:r>
        <w:rPr>
          <w:rFonts w:hint="eastAsia" w:ascii="宋体" w:hAnsi="宋体"/>
        </w:rPr>
        <w:t>应在其投标文件中提供与其自有产品专利相关的有效证明材料，否则不能就其产品的专利在本项目投标过程中被侵权问题提出异议。</w:t>
      </w:r>
    </w:p>
    <w:p>
      <w:pPr>
        <w:spacing w:line="360" w:lineRule="exact"/>
        <w:ind w:firstLine="420"/>
        <w:rPr>
          <w:rFonts w:hint="eastAsia" w:ascii="宋体" w:hAnsi="宋体" w:eastAsia="宋体" w:cs="宋体"/>
          <w:b/>
          <w:bCs/>
          <w:kern w:val="1"/>
          <w:szCs w:val="21"/>
          <w:lang w:eastAsia="zh-CN"/>
        </w:rPr>
      </w:pPr>
      <w:r>
        <w:rPr>
          <w:rFonts w:hint="eastAsia" w:ascii="宋体" w:hAnsi="宋体" w:eastAsia="宋体" w:cs="宋体"/>
          <w:b/>
          <w:bCs/>
          <w:kern w:val="1"/>
          <w:szCs w:val="21"/>
        </w:rPr>
        <w:t>3、本项目货物一览表中标注</w:t>
      </w:r>
      <w:r>
        <w:rPr>
          <w:rFonts w:hint="eastAsia" w:ascii="宋体" w:hAnsi="宋体" w:cs="宋体"/>
          <w:b/>
          <w:bCs/>
          <w:kern w:val="1"/>
          <w:szCs w:val="21"/>
          <w:lang w:eastAsia="zh-CN"/>
        </w:rPr>
        <w:t>“</w:t>
      </w:r>
      <w:r>
        <w:rPr>
          <w:rFonts w:hint="eastAsia" w:ascii="宋体" w:hAnsi="宋体" w:eastAsia="宋体" w:cs="宋体"/>
          <w:b/>
          <w:bCs/>
          <w:kern w:val="1"/>
          <w:szCs w:val="21"/>
          <w:lang w:eastAsia="zh-CN"/>
        </w:rPr>
        <w:t>▲</w:t>
      </w:r>
      <w:r>
        <w:rPr>
          <w:rFonts w:hint="eastAsia" w:ascii="宋体" w:hAnsi="宋体" w:cs="宋体"/>
          <w:b/>
          <w:bCs/>
          <w:kern w:val="1"/>
          <w:szCs w:val="21"/>
          <w:lang w:eastAsia="zh-CN"/>
        </w:rPr>
        <w:t>”</w:t>
      </w:r>
      <w:r>
        <w:rPr>
          <w:rFonts w:hint="eastAsia" w:ascii="宋体" w:hAnsi="宋体" w:cs="宋体"/>
          <w:b/>
          <w:bCs/>
          <w:kern w:val="1"/>
          <w:szCs w:val="21"/>
          <w:lang w:val="en-US" w:eastAsia="zh-CN"/>
        </w:rPr>
        <w:t>及</w:t>
      </w:r>
      <w:r>
        <w:rPr>
          <w:rFonts w:hint="eastAsia" w:ascii="宋体" w:hAnsi="宋体" w:eastAsia="宋体" w:cs="宋体"/>
          <w:b/>
          <w:bCs/>
          <w:kern w:val="1"/>
          <w:szCs w:val="21"/>
        </w:rPr>
        <w:t>“★”号的内容为实质性要求和条件，必须满足或优于，否则投标无效。</w:t>
      </w:r>
    </w:p>
    <w:tbl>
      <w:tblPr>
        <w:tblStyle w:val="13"/>
        <w:tblW w:w="9087" w:type="dxa"/>
        <w:tblInd w:w="0" w:type="dxa"/>
        <w:tblLayout w:type="fixed"/>
        <w:tblCellMar>
          <w:top w:w="0" w:type="dxa"/>
          <w:left w:w="108" w:type="dxa"/>
          <w:bottom w:w="0" w:type="dxa"/>
          <w:right w:w="108" w:type="dxa"/>
        </w:tblCellMar>
      </w:tblPr>
      <w:tblGrid>
        <w:gridCol w:w="582"/>
        <w:gridCol w:w="1418"/>
        <w:gridCol w:w="709"/>
        <w:gridCol w:w="850"/>
        <w:gridCol w:w="4820"/>
        <w:gridCol w:w="708"/>
      </w:tblGrid>
      <w:tr>
        <w:tblPrEx>
          <w:tblCellMar>
            <w:top w:w="0" w:type="dxa"/>
            <w:left w:w="108" w:type="dxa"/>
            <w:bottom w:w="0" w:type="dxa"/>
            <w:right w:w="108" w:type="dxa"/>
          </w:tblCellMar>
        </w:tblPrEx>
        <w:trPr>
          <w:trHeight w:val="285"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lang w:bidi="ar"/>
              </w:rPr>
              <w:t>序号</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lang w:bidi="ar"/>
              </w:rPr>
              <w:t>服务名称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lang w:bidi="ar"/>
              </w:rPr>
              <w:t>数量</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lang w:bidi="ar"/>
              </w:rPr>
              <w:t>单位</w:t>
            </w:r>
          </w:p>
        </w:tc>
        <w:tc>
          <w:tcPr>
            <w:tcW w:w="4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lang w:bidi="ar"/>
              </w:rPr>
              <w:t>服务技术参数及功能要求</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lang w:bidi="ar"/>
              </w:rPr>
              <w:t>备注</w:t>
            </w:r>
          </w:p>
        </w:tc>
      </w:tr>
      <w:tr>
        <w:tblPrEx>
          <w:tblCellMar>
            <w:top w:w="0" w:type="dxa"/>
            <w:left w:w="108" w:type="dxa"/>
            <w:bottom w:w="0" w:type="dxa"/>
            <w:right w:w="108" w:type="dxa"/>
          </w:tblCellMar>
        </w:tblPrEx>
        <w:trPr>
          <w:trHeight w:val="4040"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200M互联网专线服务</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条</w:t>
            </w:r>
          </w:p>
        </w:tc>
        <w:tc>
          <w:tcPr>
            <w:tcW w:w="4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tabs>
                <w:tab w:val="left" w:pos="294"/>
              </w:tabs>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1.服务期：1年；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2.速率：上、下行不低于200Mbps；</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线路连接方式：光纤专线线路或更先进的专用专线；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▲4.配置公网IP共1个，与原有静态固定IP一致。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5.线路技术指标：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（1）线路可用率≥99.50%;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（2）系统端到端的时延上限400ms，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其中网络时延不超过50ms；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（3）网络丢包率上限值为 1×10-3；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（4）包误差率上限值为 1×10-4；</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6.具备自愈保护功能接入段节点业务恢复时间小于50ms。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★7.专线要求必须配置一项“安全”服务，该服务平台须具备以下功能参数：</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（1）投标人互联网专线提供互联网DDOS攻击流量清洗服务，可提供近源式清洗，即在靠近攻击发起方的清洗节点进行清洗，攻击流量不到达用户网络入口。无需用户改变业务流量流向。 </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（2）总体防护能力≥14Tbps。 </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（3）在广西具备本地清洗节点。</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（4）在中国大陆所有省级行政区均具备清洗节点。 </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sz w:val="22"/>
                <w:szCs w:val="22"/>
                <w:lang w:val="en-US" w:eastAsia="zh-CN"/>
              </w:rPr>
            </w:pPr>
            <w:r>
              <w:rPr>
                <w:rFonts w:hint="eastAsia" w:ascii="宋体" w:hAnsi="宋体" w:eastAsia="宋体" w:cs="宋体"/>
                <w:b/>
                <w:bCs/>
                <w:i w:val="0"/>
                <w:iCs w:val="0"/>
                <w:color w:val="000000"/>
                <w:kern w:val="0"/>
                <w:sz w:val="22"/>
                <w:szCs w:val="22"/>
                <w:u w:val="none"/>
                <w:lang w:val="en-US" w:eastAsia="zh-CN" w:bidi="ar"/>
              </w:rPr>
              <w:t>（以上带</w:t>
            </w:r>
            <w:r>
              <w:rPr>
                <w:rFonts w:hint="eastAsia" w:ascii="宋体" w:hAnsi="宋体" w:eastAsia="宋体" w:cs="宋体"/>
                <w:i w:val="0"/>
                <w:iCs w:val="0"/>
                <w:color w:val="000000"/>
                <w:kern w:val="0"/>
                <w:sz w:val="22"/>
                <w:szCs w:val="22"/>
                <w:u w:val="none"/>
                <w:lang w:val="en-US" w:eastAsia="zh-CN" w:bidi="ar"/>
              </w:rPr>
              <w:t>▲及</w:t>
            </w:r>
            <w:r>
              <w:rPr>
                <w:rFonts w:hint="eastAsia" w:ascii="宋体" w:hAnsi="宋体" w:eastAsia="宋体" w:cs="宋体"/>
                <w:b/>
                <w:bCs/>
                <w:i w:val="0"/>
                <w:iCs w:val="0"/>
                <w:color w:val="000000"/>
                <w:kern w:val="0"/>
                <w:sz w:val="22"/>
                <w:szCs w:val="22"/>
                <w:u w:val="none"/>
                <w:lang w:val="en-US" w:eastAsia="zh-CN" w:bidi="ar"/>
              </w:rPr>
              <w:t>★的参数为必须具备，其中带★的参数需提供投标人或其上级公司(母公司)产品能力证明材料：具有CNAS·认可的三方测试证明文件加盖投标人公章）</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2190"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300M互联网专线服务</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eastAsia="zh-CN" w:bidi="ar"/>
              </w:rPr>
            </w:pPr>
            <w:r>
              <w:rPr>
                <w:rFonts w:hint="eastAsia" w:ascii="宋体" w:hAnsi="宋体" w:eastAsia="宋体" w:cs="宋体"/>
                <w:i w:val="0"/>
                <w:iCs w:val="0"/>
                <w:color w:val="000000"/>
                <w:kern w:val="0"/>
                <w:sz w:val="22"/>
                <w:szCs w:val="22"/>
                <w:u w:val="none"/>
                <w:lang w:val="en-US" w:eastAsia="zh-CN" w:bidi="ar"/>
              </w:rPr>
              <w:t>条</w:t>
            </w:r>
          </w:p>
        </w:tc>
        <w:tc>
          <w:tcPr>
            <w:tcW w:w="4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tabs>
                <w:tab w:val="left" w:pos="294"/>
              </w:tabs>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1.服务期：1年；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2.速率：上、下行不低于300Mbps；</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3.线路连接方式：光纤专线线路或更先进的专用专线；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▲4.配置公网IP共1个，与原有静态固定IP一致。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5.线路技术指标：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（1）线路可用率≥99.50%;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（2）系统端到端的时延上限400ms，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其中网络时延不超过50ms；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（3）网络丢包率上限值为 1×10-3；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（4）包误差率上限值为 1×10-4；</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6.具备自愈保护功能接入段节点业务恢复时间小于50ms。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★7.专线要求必须配置一项“安全”服务，该服务平台须具备以下功能参数：</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（1）投标人互联网专线提供互联网DDOS攻击流量清洗服务，可提供近源式清洗，即在靠近攻击发起方的清洗节点进行清洗，攻击流量不到达用户网络入口。无需用户改变业务流量流向。 </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（2）总体防护能力≥14Tbps。 </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（3）在广西具备本地清洗节点。</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（4）在中国大陆所有省级行政区均具备清洗节点。 </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sz w:val="22"/>
                <w:szCs w:val="22"/>
              </w:rPr>
            </w:pPr>
            <w:r>
              <w:rPr>
                <w:rFonts w:hint="eastAsia" w:ascii="宋体" w:hAnsi="宋体" w:eastAsia="宋体" w:cs="宋体"/>
                <w:b/>
                <w:bCs/>
                <w:i w:val="0"/>
                <w:iCs w:val="0"/>
                <w:color w:val="000000"/>
                <w:kern w:val="0"/>
                <w:sz w:val="22"/>
                <w:szCs w:val="22"/>
                <w:u w:val="none"/>
                <w:lang w:val="en-US" w:eastAsia="zh-CN" w:bidi="ar"/>
              </w:rPr>
              <w:t>（以上带</w:t>
            </w:r>
            <w:r>
              <w:rPr>
                <w:rFonts w:hint="eastAsia" w:ascii="宋体" w:hAnsi="宋体" w:eastAsia="宋体" w:cs="宋体"/>
                <w:i w:val="0"/>
                <w:iCs w:val="0"/>
                <w:color w:val="000000"/>
                <w:kern w:val="0"/>
                <w:sz w:val="22"/>
                <w:szCs w:val="22"/>
                <w:u w:val="none"/>
                <w:lang w:val="en-US" w:eastAsia="zh-CN" w:bidi="ar"/>
              </w:rPr>
              <w:t>▲及</w:t>
            </w:r>
            <w:r>
              <w:rPr>
                <w:rFonts w:hint="eastAsia" w:ascii="宋体" w:hAnsi="宋体" w:eastAsia="宋体" w:cs="宋体"/>
                <w:b/>
                <w:bCs/>
                <w:i w:val="0"/>
                <w:iCs w:val="0"/>
                <w:color w:val="000000"/>
                <w:kern w:val="0"/>
                <w:sz w:val="22"/>
                <w:szCs w:val="22"/>
                <w:u w:val="none"/>
                <w:lang w:val="en-US" w:eastAsia="zh-CN" w:bidi="ar"/>
              </w:rPr>
              <w:t>★的参数为必须具备，其中带★的参数需提供投标人或其上级公司(母公司)产品能力证明材料：具有CNAS·认可的三方测试证明文件加盖投标人公章）</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2190"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安全服务</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4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1.具有License授权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220" w:firstLineChars="10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（1）配置勒索防护服务器类主机防护授权；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220" w:firstLineChars="10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（2）配置勒索防护PC终端类主机防护授权</w:t>
            </w:r>
          </w:p>
          <w:p>
            <w:pPr>
              <w:pStyle w:val="2"/>
              <w:numPr>
                <w:ilvl w:val="0"/>
                <w:numId w:val="0"/>
              </w:numPr>
              <w:ind w:left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管理边界性：管理平台软硬一体化交付，无需安装部署单独的操作系统，内置定制专用操作系统和管理服务软件系统，全中文的BS架构的全中文的管理界面，支持在电脑、手机、平板上完成系统运行状态的监控、管理、配置、策略下发和事件相应；</w:t>
            </w:r>
          </w:p>
          <w:p>
            <w:pPr>
              <w:pStyle w:val="2"/>
              <w:numPr>
                <w:ilvl w:val="0"/>
                <w:numId w:val="0"/>
              </w:numPr>
              <w:ind w:left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3.系统安全性：</w:t>
            </w:r>
          </w:p>
          <w:p>
            <w:pPr>
              <w:pStyle w:val="2"/>
              <w:numPr>
                <w:ilvl w:val="0"/>
                <w:numId w:val="0"/>
              </w:numPr>
              <w:ind w:firstLine="220" w:firstLineChars="1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（1）客户端和管理端采用SSL协议建立加密链接,保证策略、信息和数据传输的安全；</w:t>
            </w:r>
          </w:p>
          <w:p>
            <w:pPr>
              <w:pStyle w:val="2"/>
              <w:numPr>
                <w:ilvl w:val="0"/>
                <w:numId w:val="0"/>
              </w:numPr>
              <w:ind w:firstLine="220" w:firstLineChars="1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管理端系统维护后台采用动态口令机制，动态口令由设备管理员和原厂口令组成，原厂口令随着设备管理员的改密码操作而变化，确保系统后台密码都是唯一的，降低被攻破的概率（提供截图证明材料）；</w:t>
            </w:r>
          </w:p>
          <w:p>
            <w:pPr>
              <w:pStyle w:val="2"/>
              <w:numPr>
                <w:ilvl w:val="0"/>
                <w:numId w:val="0"/>
              </w:numPr>
              <w:ind w:firstLine="220" w:firstLineChars="1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（3）管理服务器完成网络和相关防护策略配置、下发到客户端后，客户端能脱离管理端支持独立运行；</w:t>
            </w:r>
          </w:p>
          <w:p>
            <w:pPr>
              <w:pStyle w:val="2"/>
              <w:numPr>
                <w:ilvl w:val="0"/>
                <w:numId w:val="0"/>
              </w:numPr>
              <w:ind w:left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4.操作系统兼容性：支持对32/64位Windows Server/Linux系统、WindowsXP SP2/Win7/8/10系统、中标麒麟/银河麒麟/统信UOS/中科方德等操作系统主机防勒索保护功能；</w:t>
            </w:r>
          </w:p>
          <w:p>
            <w:pPr>
              <w:pStyle w:val="2"/>
              <w:numPr>
                <w:ilvl w:val="0"/>
                <w:numId w:val="0"/>
              </w:numPr>
              <w:ind w:left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防护策略：防勒索策略支持内置防护策略、自定义防护策路应用统计、最后修改时间、来源类型等信息，业务管理员也可自行创建防护规则将其组合成为一条防护策略，井将其部署到客户端或组中（提供截图证明材料）；</w:t>
            </w:r>
          </w:p>
          <w:p>
            <w:pPr>
              <w:pStyle w:val="2"/>
              <w:numPr>
                <w:ilvl w:val="0"/>
                <w:numId w:val="0"/>
              </w:numPr>
              <w:ind w:left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6.勒索软件诱捕和发现：</w:t>
            </w:r>
          </w:p>
          <w:p>
            <w:pPr>
              <w:pStyle w:val="2"/>
              <w:numPr>
                <w:ilvl w:val="0"/>
                <w:numId w:val="0"/>
              </w:numPr>
              <w:ind w:left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1）支持对勒索病毒的主动诱发、捕获，通过服务端隔离区伪装数据诱发潜伏的已知/未知勒索病毒的勒索攻击行为，可联合服务端获取勒索病毒特征、可信代码级DNA特征库，自动封锁高危/未知勒索病毒进程和加密行为，进行告警和防勒索；（提供截图证明材料）；</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（2）支持在线自动或者按需手动对可信代码级DNA特征库进行更新，免配置即可自动发现已知、新型未知或基于已知勒索病毒修改和编译的勒索病毒的勒索行为并终止，保障业务系统正常运行；</w:t>
            </w:r>
          </w:p>
          <w:p>
            <w:pPr>
              <w:pStyle w:val="2"/>
              <w:numPr>
                <w:ilvl w:val="0"/>
                <w:numId w:val="0"/>
              </w:numPr>
              <w:ind w:firstLine="220" w:firstLineChars="1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（3）支持发现可疑、恶意程序后的自动隔离，避免主机重启和恶意程序再次启动运行；</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★7.卷级、磁盘级防勒索：支持对使用磁盘和卷级别的扇区级加密技术的防勒索防护保护，杜绝勒索病毒技术从文件级升级为卷和磁盘级维度的加密勒索风险（提供截图证明材料）；</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8.可信DNA特征库：</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（1）可对每台主机的合法应用软件和访问程序进行应用程序代码级DNA解析和识别，为每台主机生成可信代码级DNA特征库；</w:t>
            </w:r>
          </w:p>
          <w:p>
            <w:pPr>
              <w:pStyle w:val="2"/>
              <w:numPr>
                <w:ilvl w:val="0"/>
                <w:numId w:val="0"/>
              </w:numPr>
              <w:ind w:firstLine="220" w:firstLineChars="1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★（2）为保证对已知和未知病毒的有效防护，需具备内置防勒索软件/病毒库：自定义防勒索软件库，自定义可信任DNA库，规则访问控制名单等（提供截图证明材料）；</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9.应用智能防勒索：</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★（1）支持自动识别各品牌数据库，且可对各类数据库实现免配置防勒索保护，包括Oracle、SQL sever、My SQL、PostgreSQL、HANA数据库、Cache数据库、 TiDB、OceanBase、PolarDB、达梦数据库、人大金仓、南大通用、神舟通用等数据库（提供截图证明材料）；</w:t>
            </w:r>
          </w:p>
          <w:p>
            <w:pPr>
              <w:pStyle w:val="2"/>
              <w:numPr>
                <w:ilvl w:val="0"/>
                <w:numId w:val="2"/>
              </w:numPr>
              <w:ind w:left="105"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支持对中间件/应用软件、软件配置和产生的数据文件的免配置防勒索保护，如对消息队列MQ、Jar包、War包、php程序、xml配置、各种软件系统自身及产生的数据如doc、docx、xls、pdf、jgp、dwg等</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文件目录防护：可对特定文件、目录配置安全的防护，基于可信代码级DNA特征库对所有访问该类数据的软件和行为进行代码级DNA解析和识别比对，杜绝任何非法访问，达到数据访问防勒索安全防护（提供截图证明材料）；</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★11.文件类型防护：可对*.doc;*.docx;*.wps;*,xls;*.xlsx;*.et;*.xlt;*,xltx;*.xlsm; *.ppt;*.pptm;*.pptx;*.pps;*.ppsx;*.potx;*.potm;*.vsd;*.vsdx;*.mpp;*.mpt等不同文件类型分别配置安全的防护，基于可信代码级DNA特征库对所有访问该类数据的软件和行为进行代码级DNA解析和识别比对，杜绝任何非法访问，达到数据访问防勒索安全防护（提供截图证明材料）；</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12.可信安全区：</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★（1）可配置可信安全区对特定数据目录进行加固防护，且加固后的已有目录和数据无法修改、删除，但可以按需添加新目录和写入新数据（提供截图证明材料）；</w:t>
            </w:r>
          </w:p>
          <w:p>
            <w:pPr>
              <w:pStyle w:val="2"/>
              <w:numPr>
                <w:ilvl w:val="0"/>
                <w:numId w:val="0"/>
              </w:numPr>
              <w:ind w:firstLine="220" w:firstLineChars="1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★（2）可对特定文件、目录或文件扩展名配置复制拷贝权限，基于可信代码级DNA特征库对任意拷贝数据的软件和行为做比对，杜绝任何非法访问保证文件不被非法拷贝、窃取泄露（提供截图证明材料）；</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13.勒索攻击预警：</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（1）自动发现网络中的主机攻击行为，并进行告警；</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（2）自动发现客户端的勒索病毒危险行为，并进行告警和拦截；</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（3）客户端所有行为日志定时上传到管理端，方便客户端在关机状态下，管理端可回朔分析所有客户端的相关日志；</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14.安全事件处理：</w:t>
            </w:r>
          </w:p>
          <w:p>
            <w:pPr>
              <w:pStyle w:val="2"/>
              <w:numPr>
                <w:ilvl w:val="0"/>
                <w:numId w:val="0"/>
              </w:numPr>
              <w:ind w:firstLine="220" w:firstLineChars="1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★（1）在安全事件处理界面，支持对客户端产生的各种安全事件进行二次集中手动处理，处理方式包括：阻止操作、阻止并隔离、从隔离区还原、后续处理（提供截图证明材料）；</w:t>
            </w:r>
          </w:p>
          <w:p>
            <w:pPr>
              <w:pStyle w:val="2"/>
              <w:numPr>
                <w:ilvl w:val="0"/>
                <w:numId w:val="0"/>
              </w:numPr>
              <w:ind w:firstLine="220" w:firstLineChars="100"/>
              <w:rPr>
                <w:rFonts w:hint="eastAsia" w:ascii="宋体" w:hAnsi="宋体" w:eastAsia="宋体" w:cs="宋体"/>
                <w:sz w:val="22"/>
                <w:szCs w:val="22"/>
                <w:lang w:val="en-US" w:eastAsia="zh-CN"/>
              </w:rPr>
            </w:pPr>
            <w:bookmarkStart w:id="0" w:name="_GoBack"/>
            <w:bookmarkEnd w:id="0"/>
            <w:r>
              <w:rPr>
                <w:rFonts w:hint="eastAsia" w:ascii="宋体" w:hAnsi="宋体" w:eastAsia="宋体" w:cs="宋体"/>
                <w:sz w:val="22"/>
                <w:szCs w:val="22"/>
                <w:lang w:val="en-US" w:eastAsia="zh-CN"/>
              </w:rPr>
              <w:t>★（2）在已隔离项管理-违例对象界面在已违例对象在已隔离项目处展示，当违例对象再次触发安全事件，系统自动对其拦截，业务管理员可以选择还原或者彻底删除（提供截图证明材料）；</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★15.Linux托管：为解决 Linx 客户端无安全事件处理界面，或某些无人值守的服务器无法及时处理事情，可为这些客户端设置托管机，使这些客户端的安全事件能够被转发到托管管理可按周设置托管日期以及托管时间段（提供截图证明材料）；</w:t>
            </w:r>
          </w:p>
          <w:p>
            <w:pPr>
              <w:pStyle w:val="2"/>
              <w:numPr>
                <w:ilvl w:val="0"/>
                <w:numId w:val="0"/>
              </w:numPr>
              <w:rPr>
                <w:rFonts w:hint="eastAsia" w:ascii="宋体" w:hAnsi="宋体" w:eastAsia="宋体" w:cs="宋体"/>
                <w:sz w:val="22"/>
                <w:szCs w:val="22"/>
                <w:lang w:val="en-US" w:eastAsia="zh-CN"/>
              </w:rPr>
            </w:pPr>
            <w:r>
              <w:rPr>
                <w:rFonts w:hint="eastAsia" w:ascii="宋体" w:hAnsi="宋体" w:eastAsia="宋体" w:cs="宋体"/>
                <w:b/>
                <w:bCs/>
                <w:i w:val="0"/>
                <w:iCs w:val="0"/>
                <w:color w:val="000000"/>
                <w:kern w:val="0"/>
                <w:sz w:val="22"/>
                <w:szCs w:val="22"/>
                <w:u w:val="none"/>
                <w:lang w:val="en-US" w:eastAsia="zh-CN" w:bidi="ar"/>
              </w:rPr>
              <w:t>（以上带★的参数为必须具备，其中带★的参数需提供产品能力证明材料：产品的检验检测报告以及相关功能截图加盖投标人公章）</w:t>
            </w:r>
          </w:p>
          <w:p>
            <w:pPr>
              <w:pStyle w:val="2"/>
              <w:rPr>
                <w:rFonts w:hint="eastAsia" w:ascii="宋体" w:hAnsi="宋体" w:eastAsia="宋体" w:cs="宋体"/>
                <w:sz w:val="22"/>
                <w:szCs w:val="22"/>
                <w:lang w:val="en-US" w:eastAsia="zh-CN"/>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sz w:val="22"/>
                <w:szCs w:val="22"/>
                <w:highlight w:val="none"/>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7FF5E"/>
    <w:multiLevelType w:val="singleLevel"/>
    <w:tmpl w:val="9EC7FF5E"/>
    <w:lvl w:ilvl="0" w:tentative="0">
      <w:start w:val="2"/>
      <w:numFmt w:val="decimal"/>
      <w:suff w:val="nothing"/>
      <w:lvlText w:val="（%1）"/>
      <w:lvlJc w:val="left"/>
      <w:pPr>
        <w:ind w:left="105" w:leftChars="0" w:firstLine="0" w:firstLineChars="0"/>
      </w:pPr>
    </w:lvl>
  </w:abstractNum>
  <w:abstractNum w:abstractNumId="1">
    <w:nsid w:val="F36273F0"/>
    <w:multiLevelType w:val="multilevel"/>
    <w:tmpl w:val="F36273F0"/>
    <w:lvl w:ilvl="0" w:tentative="0">
      <w:start w:val="1"/>
      <w:numFmt w:val="chineseCountingThousand"/>
      <w:pStyle w:val="3"/>
      <w:lvlText w:val="%1、"/>
      <w:lvlJc w:val="left"/>
      <w:pPr>
        <w:ind w:left="425" w:hanging="425"/>
      </w:pPr>
      <w:rPr>
        <w:rFonts w:hint="eastAsia"/>
      </w:rPr>
    </w:lvl>
    <w:lvl w:ilvl="1" w:tentative="0">
      <w:start w:val="1"/>
      <w:numFmt w:val="decimal"/>
      <w:pStyle w:val="4"/>
      <w:lvlText w:val="%2"/>
      <w:lvlJc w:val="left"/>
      <w:pPr>
        <w:ind w:left="992" w:hanging="567"/>
      </w:pPr>
      <w:rPr>
        <w:rFonts w:hint="eastAsia"/>
        <w:sz w:val="32"/>
      </w:rPr>
    </w:lvl>
    <w:lvl w:ilvl="2" w:tentative="0">
      <w:start w:val="1"/>
      <w:numFmt w:val="decimal"/>
      <w:pStyle w:val="5"/>
      <w:lvlText w:val="%2.%3"/>
      <w:lvlJc w:val="left"/>
      <w:pPr>
        <w:ind w:left="1418" w:hanging="567"/>
      </w:pPr>
      <w:rPr>
        <w:rFonts w:hint="eastAsia"/>
      </w:rPr>
    </w:lvl>
    <w:lvl w:ilvl="3" w:tentative="0">
      <w:start w:val="1"/>
      <w:numFmt w:val="decimal"/>
      <w:pStyle w:val="6"/>
      <w:lvlText w:val="%2.%3.%4"/>
      <w:lvlJc w:val="left"/>
      <w:pPr>
        <w:ind w:left="2693" w:hanging="708"/>
      </w:pPr>
      <w:rPr>
        <w:rFonts w:hint="eastAsia"/>
      </w:rPr>
    </w:lvl>
    <w:lvl w:ilvl="4" w:tentative="0">
      <w:start w:val="1"/>
      <w:numFmt w:val="decimal"/>
      <w:pStyle w:val="7"/>
      <w:lvlText w:val="%2.%3.%4.%5"/>
      <w:lvlJc w:val="left"/>
      <w:pPr>
        <w:ind w:left="2551" w:hanging="850"/>
      </w:pPr>
      <w:rPr>
        <w:rFonts w:hint="eastAsia"/>
      </w:rPr>
    </w:lvl>
    <w:lvl w:ilvl="5" w:tentative="0">
      <w:start w:val="1"/>
      <w:numFmt w:val="decimal"/>
      <w:pStyle w:val="8"/>
      <w:lvlText w:val="%2.%3.%4.%5.%6"/>
      <w:lvlJc w:val="left"/>
      <w:pPr>
        <w:ind w:left="3260" w:hanging="1134"/>
      </w:pPr>
      <w:rPr>
        <w:rFonts w:hint="eastAsia"/>
      </w:rPr>
    </w:lvl>
    <w:lvl w:ilvl="6" w:tentative="0">
      <w:start w:val="1"/>
      <w:numFmt w:val="decimal"/>
      <w:pStyle w:val="9"/>
      <w:lvlText w:val="%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YTVmZDA0YzQ5NWIyOTM1ODFmNTc0NzgxN2RjNmIifQ=="/>
  </w:docVars>
  <w:rsids>
    <w:rsidRoot w:val="2CD14D90"/>
    <w:rsid w:val="0F9D0EBF"/>
    <w:rsid w:val="0FF7237E"/>
    <w:rsid w:val="11551A52"/>
    <w:rsid w:val="138A0175"/>
    <w:rsid w:val="1B046FCE"/>
    <w:rsid w:val="1FEA7809"/>
    <w:rsid w:val="20270A5D"/>
    <w:rsid w:val="20CF41DB"/>
    <w:rsid w:val="21455860"/>
    <w:rsid w:val="232719F2"/>
    <w:rsid w:val="2B9F39C2"/>
    <w:rsid w:val="2CD14D90"/>
    <w:rsid w:val="31AE4041"/>
    <w:rsid w:val="40B82C13"/>
    <w:rsid w:val="41767C88"/>
    <w:rsid w:val="41891332"/>
    <w:rsid w:val="42734FE4"/>
    <w:rsid w:val="453D442C"/>
    <w:rsid w:val="476E1825"/>
    <w:rsid w:val="4CFD0EAB"/>
    <w:rsid w:val="554009D8"/>
    <w:rsid w:val="5CE4379A"/>
    <w:rsid w:val="5CFE256D"/>
    <w:rsid w:val="614B6636"/>
    <w:rsid w:val="61FC1236"/>
    <w:rsid w:val="70C64CF5"/>
    <w:rsid w:val="74156DD9"/>
    <w:rsid w:val="780D6D66"/>
    <w:rsid w:val="79A90CA8"/>
    <w:rsid w:val="7BF22E42"/>
    <w:rsid w:val="7D511DEB"/>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992" w:hanging="567"/>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567"/>
      <w:outlineLvl w:val="2"/>
    </w:pPr>
    <w:rPr>
      <w:b/>
      <w:sz w:val="32"/>
    </w:rPr>
  </w:style>
  <w:style w:type="paragraph" w:styleId="6">
    <w:name w:val="heading 4"/>
    <w:basedOn w:val="1"/>
    <w:next w:val="1"/>
    <w:link w:val="15"/>
    <w:semiHidden/>
    <w:unhideWhenUsed/>
    <w:qFormat/>
    <w:uiPriority w:val="0"/>
    <w:pPr>
      <w:keepNext/>
      <w:keepLines/>
      <w:numPr>
        <w:ilvl w:val="3"/>
        <w:numId w:val="1"/>
      </w:numPr>
      <w:spacing w:before="280" w:after="290" w:line="377" w:lineRule="auto"/>
      <w:ind w:left="0" w:firstLine="709"/>
      <w:outlineLvl w:val="3"/>
    </w:pPr>
    <w:rPr>
      <w:rFonts w:asciiTheme="majorAscii" w:hAnsiTheme="majorAscii" w:eastAsiaTheme="majorEastAsia" w:cstheme="majorBidi"/>
      <w:b/>
      <w:bCs/>
      <w:sz w:val="28"/>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85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3260" w:hanging="1134"/>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3827" w:hanging="1276"/>
      <w:outlineLvl w:val="6"/>
    </w:pPr>
    <w:rPr>
      <w:b/>
      <w:sz w:val="24"/>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首行缩进"/>
    <w:qFormat/>
    <w:uiPriority w:val="0"/>
    <w:pPr>
      <w:widowControl w:val="0"/>
      <w:ind w:firstLine="480" w:firstLineChars="200"/>
      <w:jc w:val="both"/>
    </w:pPr>
    <w:rPr>
      <w:rFonts w:ascii="Times New Roman" w:hAnsi="Times New Roman" w:eastAsia="宋体" w:cs="Times New Roman"/>
      <w:kern w:val="2"/>
      <w:sz w:val="21"/>
      <w:szCs w:val="24"/>
      <w:lang w:val="zh-CN" w:eastAsia="zh-CN" w:bidi="ar-SA"/>
    </w:rPr>
  </w:style>
  <w:style w:type="paragraph" w:styleId="10">
    <w:name w:val="Body Text Indent"/>
    <w:basedOn w:val="1"/>
    <w:qFormat/>
    <w:uiPriority w:val="0"/>
    <w:pPr>
      <w:spacing w:after="120"/>
    </w:pPr>
    <w:rPr>
      <w:rFonts w:ascii="仿宋_GB2312" w:eastAsia="仿宋_GB2312"/>
      <w:sz w:val="28"/>
    </w:rPr>
  </w:style>
  <w:style w:type="paragraph" w:styleId="11">
    <w:name w:val="Plain Text"/>
    <w:basedOn w:val="1"/>
    <w:qFormat/>
    <w:uiPriority w:val="0"/>
    <w:rPr>
      <w:rFonts w:ascii="宋体" w:hAnsi="Courier New" w:cs="Courier New"/>
      <w:szCs w:val="21"/>
    </w:rPr>
  </w:style>
  <w:style w:type="paragraph" w:styleId="12">
    <w:name w:val="Body Text First Indent 2"/>
    <w:basedOn w:val="10"/>
    <w:qFormat/>
    <w:uiPriority w:val="0"/>
    <w:pPr>
      <w:ind w:left="420" w:leftChars="200" w:firstLine="210" w:firstLineChars="200"/>
    </w:pPr>
    <w:rPr>
      <w:rFonts w:ascii="Times New Roman" w:eastAsia="宋体"/>
      <w:sz w:val="24"/>
    </w:rPr>
  </w:style>
  <w:style w:type="character" w:customStyle="1" w:styleId="15">
    <w:name w:val="标题 4 Char"/>
    <w:basedOn w:val="14"/>
    <w:link w:val="6"/>
    <w:qFormat/>
    <w:uiPriority w:val="0"/>
    <w:rPr>
      <w:rFonts w:asciiTheme="majorAscii" w:hAnsiTheme="majorAscii" w:eastAsiaTheme="majorEastAsia" w:cstheme="majorBidi"/>
      <w:b/>
      <w:bCs/>
      <w:kern w:val="2"/>
      <w:sz w:val="28"/>
      <w:szCs w:val="28"/>
    </w:rPr>
  </w:style>
  <w:style w:type="paragraph" w:customStyle="1" w:styleId="16">
    <w:name w:val="Default"/>
    <w:qFormat/>
    <w:uiPriority w:val="0"/>
    <w:pPr>
      <w:widowControl w:val="0"/>
      <w:autoSpaceDE w:val="0"/>
      <w:autoSpaceDN w:val="0"/>
      <w:adjustRightInd w:val="0"/>
      <w:spacing w:line="400" w:lineRule="exact"/>
      <w:ind w:firstLine="200" w:firstLineChars="200"/>
      <w:jc w:val="both"/>
    </w:pPr>
    <w:rPr>
      <w:rFonts w:ascii="宋体" w:hAnsi="Calibri" w:eastAsia="宋体" w:cs="宋体"/>
      <w:color w:val="000000"/>
      <w:sz w:val="24"/>
      <w:szCs w:val="24"/>
      <w:lang w:val="en-US" w:eastAsia="zh-CN" w:bidi="ar-SA"/>
    </w:rPr>
  </w:style>
  <w:style w:type="paragraph" w:customStyle="1" w:styleId="17">
    <w:name w:val="样式 标题 2 + 宋体"/>
    <w:basedOn w:val="4"/>
    <w:qFormat/>
    <w:uiPriority w:val="0"/>
    <w:pPr>
      <w:jc w:val="center"/>
    </w:pPr>
    <w:rPr>
      <w:rFonts w:ascii="宋体" w:hAnsi="宋体" w:eastAsia="宋体"/>
      <w:kern w:val="0"/>
    </w:rPr>
  </w:style>
  <w:style w:type="paragraph" w:customStyle="1" w:styleId="18">
    <w:name w:val="样式1"/>
    <w:basedOn w:val="12"/>
    <w:qFormat/>
    <w:uiPriority w:val="0"/>
    <w:pPr>
      <w:spacing w:line="360" w:lineRule="auto"/>
      <w:ind w:firstLine="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1537</Words>
  <Characters>1667</Characters>
  <Lines>0</Lines>
  <Paragraphs>0</Paragraphs>
  <TotalTime>12</TotalTime>
  <ScaleCrop>false</ScaleCrop>
  <LinksUpToDate>false</LinksUpToDate>
  <CharactersWithSpaces>1677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2023-08-14T09:11:00Z</dcterms:created>
  <dc:creator>梁钟(政企业务交付运营中心)</dc:creator>
  <cp:lastModifiedBy>赖仁秀</cp:lastModifiedBy>
  <dcterms:modified xsi:type="dcterms:W3CDTF">2025-05-12T09:26:11Z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1B33E72EAA5F441B9446900D9D704229</vt:lpwstr>
  </property>
</Properties>
</file>