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080" w:type="dxa"/>
        <w:tblInd w:w="-9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6"/>
        <w:gridCol w:w="643"/>
        <w:gridCol w:w="476"/>
        <w:gridCol w:w="8515"/>
      </w:tblGrid>
      <w:tr w14:paraId="7266D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0080" w:type="dxa"/>
            <w:gridSpan w:val="4"/>
            <w:tcBorders>
              <w:top w:val="single" w:color="auto" w:sz="4" w:space="0"/>
              <w:left w:val="single" w:color="auto" w:sz="4" w:space="0"/>
              <w:bottom w:val="single" w:color="auto" w:sz="4" w:space="0"/>
              <w:right w:val="single" w:color="auto" w:sz="4" w:space="0"/>
            </w:tcBorders>
            <w:vAlign w:val="center"/>
          </w:tcPr>
          <w:p w14:paraId="58A0A460">
            <w:pPr>
              <w:spacing w:line="340" w:lineRule="exact"/>
              <w:rPr>
                <w:rFonts w:ascii="宋体" w:hAnsi="宋体" w:cs="宋体"/>
                <w:b/>
                <w:bCs/>
                <w:color w:val="000000"/>
                <w:szCs w:val="21"/>
                <w:highlight w:val="none"/>
              </w:rPr>
            </w:pPr>
            <w:r>
              <w:rPr>
                <w:rFonts w:hint="eastAsia" w:ascii="宋体" w:hAnsi="宋体" w:cs="宋体"/>
                <w:b/>
                <w:bCs/>
                <w:szCs w:val="21"/>
                <w:highlight w:val="none"/>
              </w:rPr>
              <w:t>项目要求及技术条款</w:t>
            </w:r>
          </w:p>
        </w:tc>
      </w:tr>
      <w:tr w14:paraId="037F6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6" w:type="dxa"/>
            <w:tcBorders>
              <w:top w:val="single" w:color="auto" w:sz="4" w:space="0"/>
              <w:left w:val="single" w:color="auto" w:sz="4" w:space="0"/>
              <w:bottom w:val="single" w:color="auto" w:sz="4" w:space="0"/>
              <w:right w:val="single" w:color="auto" w:sz="4" w:space="0"/>
            </w:tcBorders>
            <w:vAlign w:val="center"/>
          </w:tcPr>
          <w:p w14:paraId="4398CB3A">
            <w:pPr>
              <w:spacing w:line="340" w:lineRule="exact"/>
              <w:jc w:val="center"/>
              <w:rPr>
                <w:rFonts w:ascii="宋体" w:hAnsi="宋体" w:cs="宋体"/>
                <w:b/>
                <w:bCs/>
                <w:color w:val="000000"/>
                <w:szCs w:val="21"/>
                <w:highlight w:val="none"/>
              </w:rPr>
            </w:pPr>
            <w:r>
              <w:rPr>
                <w:rFonts w:hint="eastAsia" w:ascii="宋体" w:hAnsi="宋体" w:cs="宋体"/>
                <w:b/>
                <w:bCs/>
                <w:color w:val="000000"/>
                <w:szCs w:val="21"/>
                <w:highlight w:val="none"/>
              </w:rPr>
              <w:t>项号</w:t>
            </w:r>
          </w:p>
        </w:tc>
        <w:tc>
          <w:tcPr>
            <w:tcW w:w="643" w:type="dxa"/>
            <w:tcBorders>
              <w:top w:val="single" w:color="auto" w:sz="4" w:space="0"/>
              <w:left w:val="single" w:color="auto" w:sz="4" w:space="0"/>
              <w:bottom w:val="single" w:color="auto" w:sz="4" w:space="0"/>
              <w:right w:val="single" w:color="auto" w:sz="4" w:space="0"/>
            </w:tcBorders>
            <w:vAlign w:val="center"/>
          </w:tcPr>
          <w:p w14:paraId="582ED24D">
            <w:pPr>
              <w:spacing w:line="340" w:lineRule="exact"/>
              <w:jc w:val="center"/>
              <w:rPr>
                <w:rFonts w:ascii="宋体" w:hAnsi="宋体" w:cs="宋体"/>
                <w:b/>
                <w:bCs/>
                <w:color w:val="000000"/>
                <w:szCs w:val="21"/>
                <w:highlight w:val="none"/>
              </w:rPr>
            </w:pPr>
            <w:r>
              <w:rPr>
                <w:rFonts w:hint="eastAsia" w:ascii="宋体" w:hAnsi="宋体" w:cs="宋体"/>
                <w:b/>
                <w:bCs/>
                <w:color w:val="000000"/>
                <w:szCs w:val="21"/>
                <w:highlight w:val="none"/>
              </w:rPr>
              <w:t>服务名称</w:t>
            </w:r>
          </w:p>
        </w:tc>
        <w:tc>
          <w:tcPr>
            <w:tcW w:w="476" w:type="dxa"/>
            <w:tcBorders>
              <w:top w:val="single" w:color="auto" w:sz="4" w:space="0"/>
              <w:left w:val="single" w:color="auto" w:sz="4" w:space="0"/>
              <w:bottom w:val="single" w:color="auto" w:sz="4" w:space="0"/>
              <w:right w:val="single" w:color="auto" w:sz="4" w:space="0"/>
            </w:tcBorders>
            <w:vAlign w:val="center"/>
          </w:tcPr>
          <w:p w14:paraId="49E2AACE">
            <w:pPr>
              <w:spacing w:line="340" w:lineRule="exact"/>
              <w:jc w:val="center"/>
              <w:rPr>
                <w:rFonts w:ascii="宋体" w:hAnsi="宋体" w:cs="宋体"/>
                <w:b/>
                <w:bCs/>
                <w:color w:val="000000"/>
                <w:szCs w:val="21"/>
                <w:highlight w:val="none"/>
              </w:rPr>
            </w:pPr>
            <w:r>
              <w:rPr>
                <w:rFonts w:hint="eastAsia" w:ascii="宋体" w:hAnsi="宋体" w:cs="宋体"/>
                <w:b/>
                <w:bCs/>
                <w:color w:val="000000"/>
                <w:szCs w:val="21"/>
                <w:highlight w:val="none"/>
              </w:rPr>
              <w:t>数量</w:t>
            </w:r>
          </w:p>
        </w:tc>
        <w:tc>
          <w:tcPr>
            <w:tcW w:w="8515" w:type="dxa"/>
            <w:tcBorders>
              <w:top w:val="single" w:color="auto" w:sz="4" w:space="0"/>
              <w:left w:val="single" w:color="auto" w:sz="4" w:space="0"/>
              <w:bottom w:val="single" w:color="auto" w:sz="4" w:space="0"/>
              <w:right w:val="single" w:color="auto" w:sz="4" w:space="0"/>
            </w:tcBorders>
            <w:vAlign w:val="center"/>
          </w:tcPr>
          <w:p w14:paraId="1D33EDC3">
            <w:pPr>
              <w:spacing w:line="340" w:lineRule="exact"/>
              <w:jc w:val="center"/>
              <w:rPr>
                <w:rFonts w:ascii="宋体" w:hAnsi="宋体" w:cs="宋体"/>
                <w:b/>
                <w:bCs/>
                <w:color w:val="000000"/>
                <w:szCs w:val="21"/>
                <w:highlight w:val="none"/>
              </w:rPr>
            </w:pPr>
            <w:r>
              <w:rPr>
                <w:rFonts w:hint="eastAsia" w:ascii="宋体" w:hAnsi="宋体" w:cs="宋体"/>
                <w:b/>
                <w:bCs/>
                <w:color w:val="000000"/>
                <w:szCs w:val="21"/>
                <w:highlight w:val="none"/>
              </w:rPr>
              <w:t>采购需求（技术参数、性能、配置等要求）</w:t>
            </w:r>
          </w:p>
        </w:tc>
      </w:tr>
      <w:tr w14:paraId="5CA3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446" w:type="dxa"/>
            <w:tcBorders>
              <w:top w:val="single" w:color="auto" w:sz="4" w:space="0"/>
              <w:left w:val="single" w:color="auto" w:sz="4" w:space="0"/>
              <w:bottom w:val="single" w:color="auto" w:sz="4" w:space="0"/>
              <w:right w:val="single" w:color="auto" w:sz="4" w:space="0"/>
            </w:tcBorders>
            <w:vAlign w:val="center"/>
          </w:tcPr>
          <w:p w14:paraId="111D85C2">
            <w:pPr>
              <w:spacing w:line="360" w:lineRule="exact"/>
              <w:jc w:val="center"/>
              <w:rPr>
                <w:rFonts w:ascii="宋体" w:hAnsi="宋体"/>
                <w:szCs w:val="21"/>
                <w:highlight w:val="none"/>
              </w:rPr>
            </w:pPr>
            <w:r>
              <w:rPr>
                <w:rFonts w:hint="eastAsia" w:ascii="宋体" w:hAnsi="宋体"/>
                <w:szCs w:val="21"/>
                <w:highlight w:val="none"/>
              </w:rPr>
              <w:t>1</w:t>
            </w:r>
          </w:p>
        </w:tc>
        <w:tc>
          <w:tcPr>
            <w:tcW w:w="643" w:type="dxa"/>
            <w:tcBorders>
              <w:top w:val="single" w:color="auto" w:sz="4" w:space="0"/>
              <w:left w:val="single" w:color="auto" w:sz="4" w:space="0"/>
              <w:bottom w:val="single" w:color="auto" w:sz="4" w:space="0"/>
              <w:right w:val="single" w:color="auto" w:sz="4" w:space="0"/>
            </w:tcBorders>
            <w:vAlign w:val="center"/>
          </w:tcPr>
          <w:p w14:paraId="395766AD">
            <w:pPr>
              <w:spacing w:line="440" w:lineRule="exact"/>
              <w:jc w:val="center"/>
              <w:rPr>
                <w:rFonts w:ascii="宋体" w:hAnsi="宋体"/>
                <w:szCs w:val="21"/>
                <w:highlight w:val="none"/>
              </w:rPr>
            </w:pPr>
            <w:r>
              <w:rPr>
                <w:rFonts w:hint="eastAsia" w:ascii="宋体" w:hAnsi="宋体"/>
                <w:szCs w:val="21"/>
                <w:highlight w:val="none"/>
              </w:rPr>
              <w:t>互联网接入服务</w:t>
            </w:r>
          </w:p>
        </w:tc>
        <w:tc>
          <w:tcPr>
            <w:tcW w:w="476" w:type="dxa"/>
            <w:tcBorders>
              <w:top w:val="single" w:color="auto" w:sz="4" w:space="0"/>
              <w:left w:val="single" w:color="auto" w:sz="4" w:space="0"/>
              <w:bottom w:val="single" w:color="auto" w:sz="4" w:space="0"/>
              <w:right w:val="single" w:color="auto" w:sz="4" w:space="0"/>
            </w:tcBorders>
            <w:vAlign w:val="center"/>
          </w:tcPr>
          <w:p w14:paraId="713A631B">
            <w:pPr>
              <w:spacing w:line="440" w:lineRule="exact"/>
              <w:jc w:val="center"/>
              <w:rPr>
                <w:rFonts w:ascii="宋体" w:hAnsi="宋体"/>
                <w:szCs w:val="21"/>
                <w:highlight w:val="none"/>
              </w:rPr>
            </w:pPr>
            <w:r>
              <w:rPr>
                <w:rFonts w:hint="eastAsia" w:ascii="宋体" w:hAnsi="宋体"/>
                <w:szCs w:val="21"/>
                <w:highlight w:val="none"/>
              </w:rPr>
              <w:t>1项</w:t>
            </w:r>
          </w:p>
        </w:tc>
        <w:tc>
          <w:tcPr>
            <w:tcW w:w="8515" w:type="dxa"/>
            <w:tcBorders>
              <w:top w:val="single" w:color="auto" w:sz="4" w:space="0"/>
              <w:left w:val="single" w:color="auto" w:sz="4" w:space="0"/>
              <w:bottom w:val="single" w:color="auto" w:sz="4" w:space="0"/>
              <w:right w:val="single" w:color="auto" w:sz="4" w:space="0"/>
            </w:tcBorders>
          </w:tcPr>
          <w:p w14:paraId="4A82E644">
            <w:pPr>
              <w:spacing w:line="440" w:lineRule="exact"/>
              <w:ind w:firstLine="420" w:firstLineChars="200"/>
              <w:rPr>
                <w:rFonts w:ascii="宋体" w:hAnsi="宋体"/>
                <w:szCs w:val="21"/>
                <w:highlight w:val="none"/>
              </w:rPr>
            </w:pPr>
            <w:r>
              <w:rPr>
                <w:rFonts w:hint="eastAsia" w:ascii="宋体" w:hAnsi="宋体"/>
                <w:szCs w:val="21"/>
                <w:highlight w:val="none"/>
              </w:rPr>
              <w:t>一、互联网光纤接入服务</w:t>
            </w:r>
          </w:p>
          <w:p w14:paraId="324A030D">
            <w:pPr>
              <w:spacing w:line="440" w:lineRule="exact"/>
              <w:rPr>
                <w:rFonts w:ascii="宋体" w:hAnsi="宋体"/>
                <w:szCs w:val="21"/>
                <w:highlight w:val="none"/>
              </w:rPr>
            </w:pPr>
            <w:r>
              <w:rPr>
                <w:rFonts w:hint="eastAsia" w:ascii="宋体" w:hAnsi="宋体"/>
                <w:szCs w:val="21"/>
                <w:highlight w:val="none"/>
              </w:rPr>
              <w:t>★1、电路类型：1条互联网数字电路，局域网连接到互联网的带宽≥</w:t>
            </w:r>
            <w:r>
              <w:rPr>
                <w:rFonts w:ascii="宋体" w:hAnsi="宋体"/>
                <w:szCs w:val="21"/>
                <w:highlight w:val="none"/>
              </w:rPr>
              <w:t>10</w:t>
            </w:r>
            <w:r>
              <w:rPr>
                <w:rFonts w:hint="eastAsia" w:ascii="宋体" w:hAnsi="宋体"/>
                <w:szCs w:val="21"/>
                <w:highlight w:val="none"/>
              </w:rPr>
              <w:t>00M，接入方式为光纤接入，要求免费提供接入设备；互联网带宽裸机测试，上下行速率稳定在≥</w:t>
            </w:r>
            <w:r>
              <w:rPr>
                <w:rFonts w:ascii="宋体" w:hAnsi="宋体"/>
                <w:szCs w:val="21"/>
                <w:highlight w:val="none"/>
              </w:rPr>
              <w:t>10</w:t>
            </w:r>
            <w:r>
              <w:rPr>
                <w:rFonts w:hint="eastAsia" w:ascii="宋体" w:hAnsi="宋体"/>
                <w:szCs w:val="21"/>
                <w:highlight w:val="none"/>
              </w:rPr>
              <w:t>00M；</w:t>
            </w:r>
          </w:p>
          <w:p w14:paraId="1E7F7CD9">
            <w:pPr>
              <w:spacing w:line="440" w:lineRule="exact"/>
              <w:rPr>
                <w:rFonts w:ascii="宋体" w:hAnsi="宋体"/>
                <w:szCs w:val="21"/>
                <w:highlight w:val="none"/>
              </w:rPr>
            </w:pPr>
            <w:r>
              <w:rPr>
                <w:rFonts w:hint="eastAsia" w:ascii="宋体" w:hAnsi="宋体"/>
                <w:szCs w:val="21"/>
                <w:highlight w:val="none"/>
              </w:rPr>
              <w:t>2、电路接入端接口类型：可提供RJ45、G.703、V.35等接口类型；</w:t>
            </w:r>
          </w:p>
          <w:p w14:paraId="4E1AD585">
            <w:pPr>
              <w:spacing w:line="440" w:lineRule="exact"/>
              <w:rPr>
                <w:rFonts w:ascii="宋体" w:hAnsi="宋体"/>
                <w:szCs w:val="21"/>
                <w:highlight w:val="none"/>
              </w:rPr>
            </w:pPr>
            <w:r>
              <w:rPr>
                <w:rFonts w:hint="eastAsia" w:ascii="宋体" w:hAnsi="宋体"/>
                <w:szCs w:val="21"/>
                <w:highlight w:val="none"/>
              </w:rPr>
              <w:t>3、电路可用率：单条电路端到端全年可用率≥99.9%；</w:t>
            </w:r>
          </w:p>
          <w:p w14:paraId="7ED601E2">
            <w:pPr>
              <w:spacing w:line="440" w:lineRule="exact"/>
              <w:rPr>
                <w:rFonts w:ascii="宋体" w:hAnsi="宋体"/>
                <w:szCs w:val="21"/>
                <w:highlight w:val="none"/>
              </w:rPr>
            </w:pPr>
            <w:r>
              <w:rPr>
                <w:rFonts w:hint="eastAsia" w:ascii="宋体" w:hAnsi="宋体"/>
                <w:szCs w:val="21"/>
                <w:highlight w:val="none"/>
              </w:rPr>
              <w:t>4、电路误码率：单条电路端到端比特误码率≤1×10-6；</w:t>
            </w:r>
          </w:p>
          <w:p w14:paraId="582272AD">
            <w:pPr>
              <w:spacing w:line="440" w:lineRule="exact"/>
              <w:rPr>
                <w:rFonts w:ascii="宋体" w:hAnsi="宋体"/>
                <w:szCs w:val="21"/>
                <w:highlight w:val="none"/>
              </w:rPr>
            </w:pPr>
            <w:r>
              <w:rPr>
                <w:rFonts w:hint="eastAsia" w:ascii="宋体" w:hAnsi="宋体"/>
                <w:szCs w:val="21"/>
                <w:highlight w:val="none"/>
              </w:rPr>
              <w:t>5、电路丢包率：单条电路端到端丢包率≤0.8%；</w:t>
            </w:r>
          </w:p>
          <w:p w14:paraId="33957DE5">
            <w:pPr>
              <w:spacing w:line="440" w:lineRule="exact"/>
              <w:rPr>
                <w:rFonts w:ascii="宋体" w:hAnsi="宋体"/>
                <w:szCs w:val="21"/>
                <w:highlight w:val="none"/>
              </w:rPr>
            </w:pPr>
            <w:r>
              <w:rPr>
                <w:rFonts w:hint="eastAsia" w:ascii="宋体" w:hAnsi="宋体"/>
                <w:szCs w:val="21"/>
                <w:highlight w:val="none"/>
              </w:rPr>
              <w:t>6、电路速率：电路各个节点最大时延≤20ms；</w:t>
            </w:r>
          </w:p>
          <w:p w14:paraId="16A8116B">
            <w:pPr>
              <w:spacing w:line="440" w:lineRule="exact"/>
              <w:rPr>
                <w:rFonts w:ascii="宋体" w:hAnsi="宋体"/>
                <w:szCs w:val="21"/>
                <w:highlight w:val="none"/>
              </w:rPr>
            </w:pPr>
            <w:r>
              <w:rPr>
                <w:rFonts w:hint="eastAsia" w:ascii="宋体" w:hAnsi="宋体"/>
                <w:szCs w:val="21"/>
                <w:highlight w:val="none"/>
              </w:rPr>
              <w:t>7、电路速率：单条电路端到端时延抖动率≤15ms；</w:t>
            </w:r>
          </w:p>
          <w:p w14:paraId="730672B5">
            <w:pPr>
              <w:spacing w:line="440" w:lineRule="exact"/>
              <w:rPr>
                <w:rFonts w:ascii="宋体" w:hAnsi="宋体"/>
                <w:szCs w:val="21"/>
                <w:highlight w:val="none"/>
              </w:rPr>
            </w:pPr>
            <w:r>
              <w:rPr>
                <w:rFonts w:hint="eastAsia" w:ascii="宋体" w:hAnsi="宋体"/>
                <w:szCs w:val="21"/>
                <w:highlight w:val="none"/>
              </w:rPr>
              <w:t>★8、</w:t>
            </w:r>
            <w:r>
              <w:rPr>
                <w:rFonts w:ascii="宋体" w:hAnsi="宋体"/>
                <w:szCs w:val="21"/>
                <w:highlight w:val="none"/>
              </w:rPr>
              <w:t>现网统计本地网元达8000个以上，具备在本地大规模使用网络技术组网的能力(</w:t>
            </w:r>
            <w:r>
              <w:rPr>
                <w:rFonts w:hint="eastAsia" w:ascii="宋体" w:hAnsi="宋体"/>
                <w:szCs w:val="21"/>
                <w:highlight w:val="none"/>
              </w:rPr>
              <w:t>中标后</w:t>
            </w:r>
            <w:r>
              <w:rPr>
                <w:rFonts w:ascii="宋体" w:hAnsi="宋体"/>
                <w:szCs w:val="21"/>
                <w:highlight w:val="none"/>
              </w:rPr>
              <w:t>提供本地网络现网网管系统的网元列表截图，并加盖投标人公章)；</w:t>
            </w:r>
          </w:p>
          <w:p w14:paraId="13C9993B">
            <w:pPr>
              <w:spacing w:line="440" w:lineRule="exact"/>
              <w:rPr>
                <w:rFonts w:hint="eastAsia" w:ascii="宋体" w:hAnsi="宋体" w:eastAsia="宋体"/>
                <w:szCs w:val="21"/>
                <w:highlight w:val="yellow"/>
                <w:lang w:val="en-US" w:eastAsia="zh-CN"/>
              </w:rPr>
            </w:pPr>
            <w:r>
              <w:rPr>
                <w:rFonts w:hint="eastAsia" w:ascii="宋体" w:hAnsi="宋体"/>
                <w:szCs w:val="21"/>
                <w:highlight w:val="none"/>
              </w:rPr>
              <w:t>★9、提供≥16个公网IP地址</w:t>
            </w:r>
            <w:r>
              <w:rPr>
                <w:rFonts w:hint="eastAsia" w:ascii="宋体" w:hAnsi="宋体"/>
                <w:szCs w:val="21"/>
                <w:highlight w:val="none"/>
                <w:lang w:val="en-US" w:eastAsia="zh-CN"/>
              </w:rPr>
              <w:t>,为保证采购人网站ICP备案信息的连续性，要求所提供IPv4地址范围应包含现有备案 IP 地址段（36.136.76.123-126），不对现有业务系统产生影响。</w:t>
            </w:r>
          </w:p>
          <w:p w14:paraId="2A49B079">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二、数据专线链路接入服务</w:t>
            </w:r>
          </w:p>
          <w:p w14:paraId="3EE3E9D4">
            <w:pPr>
              <w:spacing w:line="440" w:lineRule="exact"/>
              <w:rPr>
                <w:rFonts w:ascii="宋体" w:hAnsi="宋体"/>
                <w:szCs w:val="21"/>
                <w:highlight w:val="none"/>
              </w:rPr>
            </w:pPr>
            <w:r>
              <w:rPr>
                <w:rFonts w:ascii="宋体" w:hAnsi="宋体"/>
                <w:color w:val="000000"/>
                <w:szCs w:val="21"/>
                <w:highlight w:val="none"/>
              </w:rPr>
              <w:t>★</w:t>
            </w:r>
            <w:r>
              <w:rPr>
                <w:rFonts w:hint="eastAsia" w:ascii="宋体" w:hAnsi="宋体"/>
                <w:szCs w:val="21"/>
                <w:highlight w:val="none"/>
              </w:rPr>
              <w:t>1、点对点专线</w:t>
            </w:r>
            <w:r>
              <w:rPr>
                <w:rFonts w:hint="eastAsia" w:ascii="宋体" w:hAnsi="宋体"/>
                <w:szCs w:val="21"/>
                <w:highlight w:val="none"/>
                <w:lang w:val="en-US" w:eastAsia="zh-CN"/>
              </w:rPr>
              <w:t>1条</w:t>
            </w:r>
            <w:r>
              <w:rPr>
                <w:rFonts w:hint="eastAsia" w:ascii="宋体" w:hAnsi="宋体"/>
                <w:szCs w:val="21"/>
                <w:highlight w:val="none"/>
              </w:rPr>
              <w:t>，带宽为100Mbps，专线速率上、下行对称。</w:t>
            </w:r>
          </w:p>
          <w:p w14:paraId="322BC924">
            <w:pPr>
              <w:spacing w:line="440" w:lineRule="exact"/>
              <w:rPr>
                <w:rFonts w:ascii="宋体" w:hAnsi="宋体"/>
                <w:szCs w:val="21"/>
                <w:highlight w:val="none"/>
              </w:rPr>
            </w:pPr>
            <w:r>
              <w:rPr>
                <w:rFonts w:hint="eastAsia" w:ascii="宋体" w:hAnsi="宋体"/>
                <w:szCs w:val="21"/>
                <w:highlight w:val="none"/>
              </w:rPr>
              <w:t>2、传输设备要求具有全网网管监控功能，并实行7*24小时实时监控，具备MPLS tunnel OAM，可有效地检测并定位网络故障，确保对网络性能的监控；</w:t>
            </w:r>
          </w:p>
          <w:p w14:paraId="0FD77217">
            <w:pPr>
              <w:spacing w:line="440" w:lineRule="exact"/>
              <w:rPr>
                <w:highlight w:val="none"/>
              </w:rPr>
            </w:pPr>
            <w:r>
              <w:rPr>
                <w:rFonts w:hint="eastAsia" w:ascii="宋体" w:hAnsi="宋体"/>
                <w:szCs w:val="21"/>
                <w:highlight w:val="none"/>
              </w:rPr>
              <w:t>3、电路汇聚层至骨干层均为自愈网状保护，具有故障自动倒换功能，倒换时间不大于50ms，能保证各电路不会因光缆的意外阻断和部分设备的故障而中断。自愈保护是指在网络发生故障（例如光纤断）时，无需人为干预，网络自动地在极短的时间内，使业务自动从故障中恢复。保护恢复方式支持环网保护、链路保护、线性保护、链路聚合保护方式；</w:t>
            </w:r>
          </w:p>
          <w:p w14:paraId="64EE0A62">
            <w:pPr>
              <w:spacing w:line="440" w:lineRule="exact"/>
              <w:rPr>
                <w:rFonts w:ascii="宋体" w:hAnsi="宋体"/>
                <w:szCs w:val="21"/>
                <w:highlight w:val="none"/>
              </w:rPr>
            </w:pPr>
            <w:r>
              <w:rPr>
                <w:rFonts w:hint="eastAsia" w:ascii="宋体" w:hAnsi="宋体"/>
                <w:szCs w:val="21"/>
                <w:highlight w:val="none"/>
              </w:rPr>
              <w:t>4、提供各种主流物理光、电接口，如RJ45/LC/FC等供采购人使用。</w:t>
            </w:r>
          </w:p>
          <w:p w14:paraId="15751735">
            <w:pPr>
              <w:spacing w:line="440" w:lineRule="exact"/>
              <w:rPr>
                <w:rFonts w:ascii="宋体" w:hAnsi="宋体"/>
                <w:szCs w:val="21"/>
                <w:highlight w:val="none"/>
              </w:rPr>
            </w:pPr>
            <w:r>
              <w:rPr>
                <w:rFonts w:hint="eastAsia" w:ascii="宋体" w:hAnsi="宋体"/>
                <w:szCs w:val="21"/>
                <w:highlight w:val="none"/>
              </w:rPr>
              <w:t>5、线路技术指标：丢包率≤0.1%，且不允许出现连续丢包；PING测1M报文，最大时延≤10ms。</w:t>
            </w:r>
          </w:p>
          <w:p w14:paraId="3A93F776">
            <w:pPr>
              <w:pStyle w:val="4"/>
              <w:rPr>
                <w:rFonts w:hint="eastAsia" w:hAnsi="宋体"/>
                <w:kern w:val="2"/>
                <w:sz w:val="21"/>
                <w:szCs w:val="21"/>
                <w:highlight w:val="none"/>
              </w:rPr>
            </w:pPr>
            <w:r>
              <w:rPr>
                <w:rFonts w:hint="eastAsia" w:hAnsi="宋体"/>
                <w:kern w:val="2"/>
                <w:sz w:val="21"/>
                <w:szCs w:val="21"/>
                <w:highlight w:val="none"/>
              </w:rPr>
              <w:t>6、全网端到端采用SDH、MSTP、PTN、IPRAN、OTN、PON任意一种技术进行组网。为采购人满足信息互通、资源共享、数据更新等校园管理需要，实现采购人协同办公等工作目标。</w:t>
            </w:r>
          </w:p>
          <w:p w14:paraId="13B0F581">
            <w:pPr>
              <w:spacing w:line="360" w:lineRule="atLeast"/>
              <w:ind w:firstLine="420" w:firstLineChars="200"/>
              <w:rPr>
                <w:rFonts w:ascii="宋体" w:hAnsi="宋体"/>
                <w:highlight w:val="yellow"/>
              </w:rPr>
            </w:pPr>
            <w:r>
              <w:rPr>
                <w:rFonts w:hint="eastAsia" w:ascii="宋体" w:hAnsi="宋体"/>
                <w:color w:val="000000"/>
                <w:szCs w:val="21"/>
                <w:highlight w:val="none"/>
                <w:lang w:eastAsia="zh-CN"/>
              </w:rPr>
              <w:t>三</w:t>
            </w:r>
            <w:r>
              <w:rPr>
                <w:rFonts w:hint="eastAsia" w:ascii="宋体" w:hAnsi="宋体"/>
                <w:color w:val="000000"/>
                <w:szCs w:val="21"/>
                <w:highlight w:val="none"/>
              </w:rPr>
              <w:t>、</w:t>
            </w:r>
            <w:r>
              <w:rPr>
                <w:rFonts w:hint="eastAsia" w:ascii="宋体" w:hAnsi="宋体"/>
                <w:color w:val="000000"/>
                <w:szCs w:val="21"/>
                <w:highlight w:val="none"/>
                <w:lang w:eastAsia="zh-CN"/>
              </w:rPr>
              <w:t>网络集成服务：提供网络</w:t>
            </w:r>
            <w:r>
              <w:rPr>
                <w:rFonts w:hint="eastAsia" w:ascii="宋体" w:hAnsi="宋体"/>
                <w:szCs w:val="21"/>
                <w:highlight w:val="none"/>
              </w:rPr>
              <w:t>的调测运行服务，降低网络设备故障率，提高网络设备的运行性能，</w:t>
            </w:r>
            <w:r>
              <w:rPr>
                <w:rFonts w:hint="eastAsia" w:ascii="宋体" w:hAnsi="宋体"/>
                <w:szCs w:val="21"/>
                <w:highlight w:val="none"/>
                <w:lang w:eastAsia="zh-CN"/>
              </w:rPr>
              <w:t>保证所提供专线线路的稳定运行</w:t>
            </w:r>
            <w:r>
              <w:rPr>
                <w:rFonts w:hint="eastAsia" w:ascii="宋体" w:hAnsi="宋体"/>
                <w:szCs w:val="21"/>
                <w:highlight w:val="none"/>
              </w:rPr>
              <w:t>。</w:t>
            </w:r>
          </w:p>
          <w:p w14:paraId="295D250E">
            <w:pPr>
              <w:pStyle w:val="4"/>
              <w:rPr>
                <w:rFonts w:hint="eastAsia" w:hAnsi="宋体"/>
                <w:kern w:val="2"/>
                <w:sz w:val="21"/>
                <w:szCs w:val="21"/>
                <w:highlight w:val="none"/>
              </w:rPr>
            </w:pPr>
          </w:p>
          <w:p w14:paraId="6B4C2E1B">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lang w:eastAsia="zh-CN"/>
              </w:rPr>
              <w:t>四</w:t>
            </w:r>
            <w:r>
              <w:rPr>
                <w:rFonts w:hint="eastAsia" w:ascii="宋体" w:hAnsi="宋体"/>
                <w:color w:val="000000"/>
                <w:szCs w:val="21"/>
                <w:highlight w:val="none"/>
              </w:rPr>
              <w:t>、5G网络接入服务</w:t>
            </w:r>
          </w:p>
          <w:p w14:paraId="33E036ED">
            <w:pPr>
              <w:spacing w:line="440" w:lineRule="exact"/>
              <w:rPr>
                <w:rFonts w:ascii="宋体" w:hAnsi="宋体" w:cs="宋体"/>
                <w:szCs w:val="21"/>
                <w:highlight w:val="none"/>
              </w:rPr>
            </w:pPr>
            <w:r>
              <w:rPr>
                <w:rFonts w:hint="eastAsia" w:ascii="宋体" w:hAnsi="宋体"/>
                <w:color w:val="000000"/>
                <w:szCs w:val="21"/>
                <w:highlight w:val="none"/>
              </w:rPr>
              <w:t>★1、提供5G区域网络覆盖连接服务，</w:t>
            </w:r>
            <w:r>
              <w:rPr>
                <w:rFonts w:hint="eastAsia" w:ascii="宋体" w:hAnsi="宋体"/>
                <w:color w:val="auto"/>
                <w:szCs w:val="21"/>
                <w:highlight w:val="none"/>
              </w:rPr>
              <w:t>接入网络流量不</w:t>
            </w:r>
            <w:r>
              <w:rPr>
                <w:rFonts w:hint="eastAsia" w:ascii="宋体" w:hAnsi="宋体"/>
                <w:color w:val="auto"/>
                <w:szCs w:val="21"/>
                <w:highlight w:val="none"/>
                <w:lang w:val="en-US" w:eastAsia="zh-CN"/>
              </w:rPr>
              <w:t>低于</w:t>
            </w:r>
            <w:r>
              <w:rPr>
                <w:rFonts w:hint="eastAsia" w:ascii="宋体" w:hAnsi="宋体"/>
                <w:color w:val="auto"/>
                <w:szCs w:val="21"/>
                <w:highlight w:val="none"/>
              </w:rPr>
              <w:t>800G/月</w:t>
            </w:r>
            <w:r>
              <w:rPr>
                <w:rFonts w:hint="eastAsia" w:ascii="宋体" w:hAnsi="宋体"/>
                <w:color w:val="000000"/>
                <w:szCs w:val="21"/>
                <w:highlight w:val="none"/>
              </w:rPr>
              <w:t>，配套系统云管理平台及5G 网关一台</w:t>
            </w:r>
            <w:r>
              <w:rPr>
                <w:rFonts w:hint="eastAsia" w:ascii="宋体" w:hAnsi="宋体" w:cs="宋体"/>
                <w:szCs w:val="21"/>
                <w:highlight w:val="none"/>
              </w:rPr>
              <w:t>；</w:t>
            </w:r>
          </w:p>
          <w:p w14:paraId="0C47D5F7">
            <w:pPr>
              <w:spacing w:line="440" w:lineRule="exact"/>
              <w:rPr>
                <w:rFonts w:ascii="宋体" w:hAnsi="宋体" w:cs="宋体"/>
                <w:szCs w:val="21"/>
                <w:highlight w:val="none"/>
              </w:rPr>
            </w:pPr>
            <w:r>
              <w:rPr>
                <w:rFonts w:hint="eastAsia" w:ascii="宋体" w:hAnsi="宋体" w:cs="宋体"/>
                <w:szCs w:val="21"/>
                <w:highlight w:val="none"/>
              </w:rPr>
              <w:t>2、5G网关需采用5G贴片卡的方式，能够查看5G卡的卡状态、激活时间、本月流量详情；</w:t>
            </w:r>
          </w:p>
          <w:p w14:paraId="4D045BCD">
            <w:pPr>
              <w:spacing w:line="440" w:lineRule="exact"/>
              <w:rPr>
                <w:rFonts w:ascii="宋体" w:hAnsi="宋体" w:cs="宋体"/>
                <w:szCs w:val="21"/>
                <w:highlight w:val="none"/>
              </w:rPr>
            </w:pPr>
            <w:r>
              <w:rPr>
                <w:rFonts w:hint="eastAsia" w:ascii="宋体" w:hAnsi="宋体" w:cs="宋体"/>
                <w:szCs w:val="21"/>
                <w:highlight w:val="none"/>
              </w:rPr>
              <w:t>3、提供管理平台和小程序，管理平台和小程序共用一个账号密码，管理平台和小程序的功能如下：</w:t>
            </w:r>
          </w:p>
          <w:p w14:paraId="17BF68C7">
            <w:pPr>
              <w:spacing w:line="440" w:lineRule="exact"/>
              <w:rPr>
                <w:rFonts w:ascii="宋体" w:hAnsi="宋体" w:cs="宋体"/>
                <w:szCs w:val="21"/>
                <w:highlight w:val="none"/>
              </w:rPr>
            </w:pPr>
            <w:r>
              <w:rPr>
                <w:rFonts w:hint="eastAsia" w:ascii="宋体" w:hAnsi="宋体" w:cs="宋体"/>
                <w:szCs w:val="21"/>
                <w:highlight w:val="none"/>
              </w:rPr>
              <w:t>（1）管理平台：</w:t>
            </w:r>
          </w:p>
          <w:p w14:paraId="2C097804">
            <w:pPr>
              <w:spacing w:line="440" w:lineRule="exact"/>
              <w:rPr>
                <w:rFonts w:ascii="宋体" w:hAnsi="宋体" w:cs="宋体"/>
                <w:szCs w:val="21"/>
                <w:highlight w:val="none"/>
              </w:rPr>
            </w:pPr>
            <w:r>
              <w:rPr>
                <w:rFonts w:hint="eastAsia" w:ascii="宋体" w:hAnsi="宋体" w:cs="宋体"/>
                <w:szCs w:val="21"/>
                <w:highlight w:val="none"/>
              </w:rPr>
              <w:t>5G网关管理：能够查看5G网关在线状态、IMEI、ICCID、IMSI等信息，具备对5G网关WiFi远程配置的功能和基于MAC地址的黑白名单功能，支持远程重启，信号强度监控，设备列表导出，支持固件升级，具备DNN远程配置功能，能够查询流量使用情况。</w:t>
            </w:r>
          </w:p>
          <w:p w14:paraId="6AA2BE62">
            <w:pPr>
              <w:spacing w:line="440" w:lineRule="exact"/>
              <w:rPr>
                <w:rFonts w:ascii="宋体" w:hAnsi="宋体" w:cs="宋体"/>
                <w:szCs w:val="21"/>
                <w:highlight w:val="none"/>
              </w:rPr>
            </w:pPr>
            <w:r>
              <w:rPr>
                <w:rFonts w:hint="eastAsia" w:ascii="宋体" w:hAnsi="宋体" w:cs="宋体"/>
                <w:szCs w:val="21"/>
                <w:highlight w:val="none"/>
              </w:rPr>
              <w:t>5G卡管理：能够查看5G卡的卡状态、激活时间、本月流量详情。</w:t>
            </w:r>
          </w:p>
          <w:p w14:paraId="46CC0A3E">
            <w:pPr>
              <w:spacing w:line="440" w:lineRule="exact"/>
              <w:rPr>
                <w:rFonts w:ascii="宋体" w:hAnsi="宋体" w:cs="宋体"/>
                <w:szCs w:val="21"/>
                <w:highlight w:val="none"/>
              </w:rPr>
            </w:pPr>
            <w:r>
              <w:rPr>
                <w:rFonts w:hint="eastAsia" w:ascii="宋体" w:hAnsi="宋体" w:cs="宋体"/>
                <w:szCs w:val="21"/>
                <w:highlight w:val="none"/>
              </w:rPr>
              <w:t>（2）小程序：</w:t>
            </w:r>
          </w:p>
          <w:p w14:paraId="76AA4C23">
            <w:pPr>
              <w:spacing w:line="440" w:lineRule="exact"/>
              <w:rPr>
                <w:rFonts w:ascii="宋体" w:hAnsi="宋体" w:cs="宋体"/>
                <w:szCs w:val="21"/>
                <w:highlight w:val="none"/>
              </w:rPr>
            </w:pPr>
            <w:r>
              <w:rPr>
                <w:rFonts w:hint="eastAsia" w:ascii="宋体" w:hAnsi="宋体" w:cs="宋体"/>
                <w:szCs w:val="21"/>
                <w:highlight w:val="none"/>
              </w:rPr>
              <w:t>5G网关信息：能够查看配套5G网关的ICCID、MSISDN、当前网络制式、设备型号、设备状态、流量使用情况、信号强度等信息，能够通过扫配套5G网关的IMEI条码来快速查询该设备相关信息。</w:t>
            </w:r>
          </w:p>
          <w:p w14:paraId="514C711A">
            <w:pPr>
              <w:pStyle w:val="4"/>
              <w:numPr>
                <w:ilvl w:val="0"/>
                <w:numId w:val="1"/>
              </w:numPr>
              <w:rPr>
                <w:rFonts w:hAnsi="宋体" w:cs="宋体"/>
                <w:sz w:val="21"/>
                <w:szCs w:val="21"/>
                <w:highlight w:val="none"/>
              </w:rPr>
            </w:pPr>
            <w:r>
              <w:rPr>
                <w:rFonts w:hint="eastAsia" w:hAnsi="宋体" w:cs="宋体"/>
                <w:sz w:val="21"/>
                <w:szCs w:val="21"/>
                <w:highlight w:val="none"/>
              </w:rPr>
              <w:t>提供配套5G网关一台，性能参数如下：</w:t>
            </w:r>
          </w:p>
          <w:p w14:paraId="6921FA8E">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（1）蜂窝模式：NR/LTE</w:t>
            </w:r>
          </w:p>
          <w:p w14:paraId="52B9BD4F">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（2）内存：DDR3 4GB</w:t>
            </w:r>
          </w:p>
          <w:p w14:paraId="4E7381D1">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（3）以太网口：4 *10/100/1000 Mbps</w:t>
            </w:r>
          </w:p>
          <w:p w14:paraId="121651A8">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（4）工作温度为-10°C ~ +40°C。</w:t>
            </w:r>
          </w:p>
          <w:p w14:paraId="5D5B63D1">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（5）相对湿度为5% ~ 95%。</w:t>
            </w:r>
          </w:p>
          <w:p w14:paraId="1E000D25">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（6）电源参数:输入交流 100V~240V,50Hz~60Hz;输出直流 12V,2A。</w:t>
            </w:r>
          </w:p>
          <w:p w14:paraId="7DEB5AD3">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（7）上下行速率:5G:DL 2Gbps;UL 1Gbps</w:t>
            </w:r>
          </w:p>
          <w:p w14:paraId="263B5167">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（8）5G NR支持频段N1\N8\N28\N78\79\41</w:t>
            </w:r>
          </w:p>
          <w:p w14:paraId="48DC0641">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（9）MIMO（5G NR）选用NSA:1T4R;SA:2T4R标准</w:t>
            </w:r>
          </w:p>
          <w:p w14:paraId="6538748E">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（10）5G NR支持频宽5M, 10M, 15M, 20M, 25M, 30M, 40M, 50M, 60M, 80M, 90M, 100M</w:t>
            </w:r>
          </w:p>
          <w:p w14:paraId="2F721CBC">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（11）5G NR SCS支持30khz, 15khz</w:t>
            </w:r>
          </w:p>
          <w:p w14:paraId="1AAFD4D4">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（12）ip地址（5G NR）支持 IPv4、IPv6、IPv4&amp;IPv6 双栈</w:t>
            </w:r>
          </w:p>
          <w:p w14:paraId="6BA27FE8">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（13）5G NR上行峰值速率为1Gbps，下行峰值速率为2Gbps</w:t>
            </w:r>
          </w:p>
          <w:p w14:paraId="3A98491C">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（14）5G NR输出功率为23±2dBm,且支持高功率模式</w:t>
            </w:r>
          </w:p>
          <w:p w14:paraId="5B3BFB2A">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（15）5G NR内置6天线，且增益为3-5dBi</w:t>
            </w:r>
          </w:p>
          <w:p w14:paraId="3CF6A8CF">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（16）LTE支持频段B1\2\3\5\7\8\20\28\34\38\39\40\41</w:t>
            </w:r>
          </w:p>
          <w:p w14:paraId="6E1F43F1">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（17）MIMO（LTE）为2*MIMO</w:t>
            </w:r>
          </w:p>
          <w:p w14:paraId="62C95C83">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（18）LTE输出功率为23±2 dBm</w:t>
            </w:r>
          </w:p>
          <w:p w14:paraId="0F643451">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（19）LTE天线增益为3-5 dBi</w:t>
            </w:r>
          </w:p>
          <w:p w14:paraId="37738CBA">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（20）WIFI频段采用2.4GHz + 5GHz</w:t>
            </w:r>
          </w:p>
          <w:p w14:paraId="1BB77671">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（21）WIFI模式选用802.11b/g/a/n/ac</w:t>
            </w:r>
          </w:p>
          <w:p w14:paraId="10F9523F">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（22）WIFI内置 2.4+5G 双频天线</w:t>
            </w:r>
          </w:p>
          <w:p w14:paraId="72E730FB">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（23）WIFI输出功率为16dBm/2.4G; 18dBm/5G</w:t>
            </w:r>
          </w:p>
          <w:p w14:paraId="01FEE908">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（24）WIFI支持频宽20MHz, 40MHz,80MHz(ac)</w:t>
            </w:r>
          </w:p>
          <w:p w14:paraId="27C6C938">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（25）WIFI天线增益为3-5dBi/2.4G;3-5dBi/5G</w:t>
            </w:r>
          </w:p>
          <w:p w14:paraId="16C43122">
            <w:pPr>
              <w:pStyle w:val="4"/>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（26）软件功能：支持锁小区，锁SIM卡功能；路由模式支持支持 NAT/ Router 模式</w:t>
            </w:r>
          </w:p>
          <w:p w14:paraId="00AA6462">
            <w:pPr>
              <w:spacing w:line="440" w:lineRule="exact"/>
              <w:ind w:firstLine="420" w:firstLineChars="200"/>
              <w:rPr>
                <w:rFonts w:hint="eastAsia" w:ascii="宋体" w:hAnsi="宋体" w:eastAsia="宋体"/>
                <w:color w:val="000000"/>
                <w:szCs w:val="21"/>
                <w:highlight w:val="none"/>
                <w:lang w:val="en-US" w:eastAsia="zh-CN"/>
              </w:rPr>
            </w:pPr>
            <w:r>
              <w:rPr>
                <w:rFonts w:hint="eastAsia" w:ascii="宋体" w:hAnsi="宋体"/>
                <w:color w:val="000000"/>
                <w:szCs w:val="21"/>
                <w:highlight w:val="none"/>
                <w:lang w:eastAsia="zh-CN"/>
              </w:rPr>
              <w:t>五</w:t>
            </w:r>
            <w:r>
              <w:rPr>
                <w:rFonts w:hint="eastAsia" w:ascii="宋体" w:hAnsi="宋体"/>
                <w:color w:val="000000"/>
                <w:szCs w:val="21"/>
                <w:highlight w:val="none"/>
              </w:rPr>
              <w:t>、互联网云</w:t>
            </w:r>
            <w:r>
              <w:rPr>
                <w:rFonts w:hint="eastAsia" w:ascii="宋体" w:hAnsi="宋体"/>
                <w:color w:val="000000"/>
                <w:szCs w:val="21"/>
                <w:highlight w:val="none"/>
                <w:lang w:eastAsia="zh-CN"/>
              </w:rPr>
              <w:t>平板</w:t>
            </w:r>
            <w:r>
              <w:rPr>
                <w:rFonts w:hint="eastAsia" w:ascii="宋体" w:hAnsi="宋体"/>
                <w:color w:val="000000"/>
                <w:szCs w:val="21"/>
                <w:highlight w:val="none"/>
              </w:rPr>
              <w:t>服务</w:t>
            </w:r>
            <w:r>
              <w:rPr>
                <w:rFonts w:hint="eastAsia" w:ascii="宋体" w:hAnsi="宋体"/>
                <w:color w:val="000000"/>
                <w:szCs w:val="21"/>
                <w:highlight w:val="none"/>
                <w:lang w:val="en-US" w:eastAsia="zh-CN"/>
              </w:rPr>
              <w:t>1项</w:t>
            </w:r>
          </w:p>
          <w:p w14:paraId="16C38FB7">
            <w:pPr>
              <w:spacing w:line="440" w:lineRule="exact"/>
              <w:rPr>
                <w:rFonts w:hint="eastAsia" w:ascii="宋体" w:hAnsi="宋体"/>
                <w:color w:val="000000"/>
                <w:szCs w:val="21"/>
                <w:highlight w:val="none"/>
              </w:rPr>
            </w:pPr>
            <w:r>
              <w:rPr>
                <w:rFonts w:hint="eastAsia" w:ascii="宋体" w:hAnsi="宋体"/>
                <w:color w:val="000000"/>
                <w:szCs w:val="21"/>
                <w:highlight w:val="none"/>
              </w:rPr>
              <w:t>提供</w:t>
            </w:r>
            <w:r>
              <w:rPr>
                <w:rFonts w:hint="eastAsia" w:ascii="宋体" w:hAnsi="宋体"/>
                <w:color w:val="000000"/>
                <w:szCs w:val="21"/>
                <w:highlight w:val="none"/>
                <w:lang w:eastAsia="zh-CN"/>
              </w:rPr>
              <w:t>不低于</w:t>
            </w:r>
            <w:r>
              <w:rPr>
                <w:rFonts w:hint="eastAsia" w:ascii="宋体" w:hAnsi="宋体"/>
                <w:color w:val="000000"/>
                <w:szCs w:val="21"/>
                <w:highlight w:val="none"/>
                <w:lang w:val="en-US" w:eastAsia="zh-CN"/>
              </w:rPr>
              <w:t>1</w:t>
            </w:r>
            <w:r>
              <w:rPr>
                <w:rFonts w:hint="eastAsia" w:ascii="宋体" w:hAnsi="宋体"/>
                <w:color w:val="000000"/>
                <w:szCs w:val="21"/>
                <w:highlight w:val="none"/>
              </w:rPr>
              <w:t>年期</w:t>
            </w:r>
            <w:r>
              <w:rPr>
                <w:rFonts w:hint="eastAsia" w:ascii="宋体" w:hAnsi="宋体"/>
                <w:color w:val="000000"/>
                <w:szCs w:val="21"/>
                <w:highlight w:val="none"/>
                <w:lang w:eastAsia="zh-CN"/>
              </w:rPr>
              <w:t>双系统</w:t>
            </w:r>
            <w:r>
              <w:rPr>
                <w:rFonts w:hint="eastAsia" w:ascii="宋体" w:hAnsi="宋体"/>
                <w:color w:val="000000"/>
                <w:szCs w:val="21"/>
                <w:highlight w:val="none"/>
              </w:rPr>
              <w:t>云平台接入服务</w:t>
            </w:r>
            <w:r>
              <w:rPr>
                <w:rFonts w:hint="eastAsia" w:ascii="宋体" w:hAnsi="宋体"/>
                <w:color w:val="000000"/>
                <w:szCs w:val="21"/>
                <w:highlight w:val="none"/>
                <w:lang w:eastAsia="zh-CN"/>
              </w:rPr>
              <w:t>，</w:t>
            </w:r>
            <w:r>
              <w:rPr>
                <w:rFonts w:hint="eastAsia" w:ascii="宋体" w:hAnsi="宋体"/>
                <w:color w:val="000000"/>
                <w:szCs w:val="21"/>
                <w:highlight w:val="none"/>
              </w:rPr>
              <w:t>具体参数如下：</w:t>
            </w:r>
          </w:p>
          <w:p w14:paraId="7F7EA8C0">
            <w:pPr>
              <w:spacing w:line="440" w:lineRule="exact"/>
              <w:rPr>
                <w:rFonts w:hint="eastAsia" w:ascii="宋体" w:hAnsi="宋体"/>
                <w:color w:val="000000"/>
                <w:szCs w:val="21"/>
                <w:highlight w:val="none"/>
                <w:lang w:val="en-US"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1.提供基于云网资源及先进桌面虚拟化技术的办公服务，含1套一体化一体机服务，软终端性能参数：CPU8核、内存16GB、系统盘80G、数据盘1T，最大支持4k分辨率;</w:t>
            </w:r>
          </w:p>
          <w:p w14:paraId="04D529F4">
            <w:pPr>
              <w:numPr>
                <w:ilvl w:val="0"/>
                <w:numId w:val="2"/>
              </w:numPr>
              <w:spacing w:line="440" w:lineRule="exac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支持主流操作系统，</w:t>
            </w:r>
            <w:bookmarkStart w:id="0" w:name="_GoBack"/>
            <w:bookmarkEnd w:id="0"/>
            <w:r>
              <w:rPr>
                <w:rFonts w:hint="eastAsia" w:ascii="宋体" w:hAnsi="宋体"/>
                <w:color w:val="000000"/>
                <w:szCs w:val="21"/>
                <w:highlight w:val="none"/>
                <w:lang w:val="en-US" w:eastAsia="zh-CN"/>
              </w:rPr>
              <w:t>包括Windows server 2016、Win10、UOS、KylinOS;</w:t>
            </w:r>
          </w:p>
          <w:p w14:paraId="4ECA6EDF">
            <w:pPr>
              <w:spacing w:line="440" w:lineRule="exact"/>
              <w:rPr>
                <w:rFonts w:hint="eastAsia" w:ascii="宋体" w:hAnsi="宋体"/>
                <w:color w:val="000000"/>
                <w:szCs w:val="21"/>
                <w:highlight w:val="none"/>
                <w:lang w:val="en-US"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3.提供AI秘书功能，AI秘书需接入DeepSeek大模型和通义开源大模型，支持大模型灵活切换，面向多场景提供交互式会话能力，提供基于DeepSeek的深度思考模式，深度思考内容可查看可折叠，输出更优的多维度分析和逻辑推理能力，打造智慧化办公体验。</w:t>
            </w:r>
          </w:p>
          <w:p w14:paraId="792AC1DF">
            <w:pPr>
              <w:spacing w:line="440" w:lineRule="exac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4.软客户端支持双屏屏幕扩展显示需求，满足复杂应用场景办公需求;</w:t>
            </w:r>
          </w:p>
          <w:p w14:paraId="2E10BCA4">
            <w:pPr>
              <w:spacing w:line="440" w:lineRule="exac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5.提供电脑搬家能力，将本地电脑应用、文件数据一键搬家到云电脑中，实现新、老电脑之间的应用/文件数据传输和迁移;</w:t>
            </w:r>
          </w:p>
          <w:p w14:paraId="19A9E963">
            <w:pPr>
              <w:spacing w:line="440" w:lineRule="exac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6.支持用户一键上传客户端日志，便于后台排查分析故障原因。</w:t>
            </w:r>
          </w:p>
          <w:p w14:paraId="1B032D3F">
            <w:pPr>
              <w:spacing w:line="440" w:lineRule="exact"/>
              <w:rPr>
                <w:rFonts w:hint="default" w:eastAsia="宋体" w:cs="宋体"/>
                <w:szCs w:val="21"/>
                <w:highlight w:val="none"/>
                <w:lang w:val="en-US" w:eastAsia="zh-CN" w:bidi="en-US"/>
              </w:rPr>
            </w:pPr>
            <w:r>
              <w:rPr>
                <w:rFonts w:hint="eastAsia" w:ascii="宋体" w:hAnsi="宋体"/>
                <w:color w:val="000000"/>
                <w:szCs w:val="21"/>
                <w:highlight w:val="none"/>
              </w:rPr>
              <w:t>★</w:t>
            </w:r>
            <w:r>
              <w:rPr>
                <w:rFonts w:hint="eastAsia" w:ascii="宋体" w:hAnsi="宋体"/>
                <w:color w:val="000000"/>
                <w:szCs w:val="21"/>
                <w:highlight w:val="none"/>
                <w:lang w:val="en-US" w:eastAsia="zh-CN"/>
              </w:rPr>
              <w:t>7.配套提供显示设备，内存配置8G,存储256G；支持本地系统和云系统双模式，支持双模式自由选择，可实现非APP方式启动和模式切换。</w:t>
            </w:r>
          </w:p>
        </w:tc>
      </w:tr>
      <w:tr w14:paraId="308AB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14:paraId="6C339B06">
            <w:pPr>
              <w:adjustRightInd w:val="0"/>
              <w:spacing w:line="360" w:lineRule="exact"/>
              <w:jc w:val="center"/>
              <w:rPr>
                <w:rFonts w:ascii="宋体" w:hAnsi="宋体" w:cs="宋体"/>
                <w:color w:val="000000"/>
                <w:kern w:val="0"/>
                <w:szCs w:val="21"/>
                <w:highlight w:val="none"/>
              </w:rPr>
            </w:pPr>
            <w:r>
              <w:rPr>
                <w:rFonts w:hint="eastAsia" w:ascii="宋体" w:hAnsi="宋体" w:cs="宋体"/>
                <w:b/>
                <w:bCs/>
                <w:color w:val="000000"/>
                <w:kern w:val="0"/>
                <w:szCs w:val="21"/>
                <w:highlight w:val="none"/>
              </w:rPr>
              <w:t>商务条款</w:t>
            </w:r>
          </w:p>
        </w:tc>
        <w:tc>
          <w:tcPr>
            <w:tcW w:w="8991" w:type="dxa"/>
            <w:gridSpan w:val="2"/>
            <w:tcBorders>
              <w:top w:val="single" w:color="auto" w:sz="4" w:space="0"/>
              <w:left w:val="nil"/>
              <w:bottom w:val="single" w:color="auto" w:sz="4" w:space="0"/>
              <w:right w:val="single" w:color="auto" w:sz="4" w:space="0"/>
            </w:tcBorders>
            <w:vAlign w:val="center"/>
          </w:tcPr>
          <w:p w14:paraId="2B48658C">
            <w:pPr>
              <w:widowControl/>
              <w:shd w:val="clear" w:color="auto" w:fill="FFFFFF"/>
              <w:spacing w:line="440" w:lineRule="exact"/>
              <w:rPr>
                <w:rFonts w:ascii="宋体" w:hAnsi="宋体"/>
                <w:color w:val="auto"/>
                <w:szCs w:val="21"/>
                <w:highlight w:val="none"/>
              </w:rPr>
            </w:pPr>
            <w:r>
              <w:rPr>
                <w:rFonts w:ascii="宋体" w:hAnsi="宋体"/>
                <w:color w:val="000000"/>
                <w:szCs w:val="21"/>
                <w:highlight w:val="none"/>
              </w:rPr>
              <w:t>一、合同签订期：自中标通知书发出之日</w:t>
            </w:r>
            <w:r>
              <w:rPr>
                <w:rFonts w:ascii="宋体" w:hAnsi="宋体"/>
                <w:color w:val="auto"/>
                <w:szCs w:val="21"/>
                <w:highlight w:val="none"/>
              </w:rPr>
              <w:t>起</w:t>
            </w:r>
            <w:r>
              <w:rPr>
                <w:rFonts w:hint="eastAsia" w:ascii="宋体" w:hAnsi="宋体"/>
                <w:color w:val="auto"/>
                <w:szCs w:val="21"/>
                <w:highlight w:val="none"/>
                <w:lang w:val="en-US" w:eastAsia="zh-CN"/>
              </w:rPr>
              <w:t>15</w:t>
            </w:r>
            <w:r>
              <w:rPr>
                <w:rFonts w:hint="eastAsia" w:ascii="宋体" w:hAnsi="宋体"/>
                <w:color w:val="auto"/>
                <w:szCs w:val="21"/>
                <w:highlight w:val="none"/>
              </w:rPr>
              <w:t>日</w:t>
            </w:r>
            <w:r>
              <w:rPr>
                <w:rFonts w:ascii="宋体" w:hAnsi="宋体"/>
                <w:color w:val="auto"/>
                <w:szCs w:val="21"/>
                <w:highlight w:val="none"/>
              </w:rPr>
              <w:t>内</w:t>
            </w:r>
          </w:p>
          <w:p w14:paraId="7FF1FC38">
            <w:pPr>
              <w:widowControl/>
              <w:shd w:val="clear" w:color="auto" w:fill="FFFFFF"/>
              <w:spacing w:line="440" w:lineRule="exact"/>
              <w:rPr>
                <w:rFonts w:ascii="宋体" w:hAnsi="宋体" w:cs="宋体"/>
                <w:color w:val="000000"/>
                <w:kern w:val="0"/>
                <w:szCs w:val="21"/>
                <w:highlight w:val="none"/>
              </w:rPr>
            </w:pPr>
            <w:r>
              <w:rPr>
                <w:rFonts w:ascii="宋体" w:hAnsi="宋体"/>
                <w:color w:val="000000"/>
                <w:szCs w:val="21"/>
                <w:highlight w:val="none"/>
              </w:rPr>
              <w:t>★二、</w:t>
            </w:r>
            <w:r>
              <w:rPr>
                <w:rFonts w:ascii="宋体" w:hAnsi="宋体"/>
                <w:bCs/>
                <w:color w:val="000000"/>
                <w:szCs w:val="21"/>
                <w:highlight w:val="none"/>
              </w:rPr>
              <w:t>提交服务成果</w:t>
            </w:r>
            <w:r>
              <w:rPr>
                <w:rFonts w:hint="eastAsia" w:ascii="宋体" w:hAnsi="宋体"/>
                <w:bCs/>
                <w:color w:val="000000"/>
                <w:szCs w:val="21"/>
                <w:highlight w:val="none"/>
              </w:rPr>
              <w:t>时间</w:t>
            </w:r>
            <w:r>
              <w:rPr>
                <w:rFonts w:ascii="宋体" w:hAnsi="宋体"/>
                <w:bCs/>
                <w:color w:val="000000"/>
                <w:szCs w:val="21"/>
                <w:highlight w:val="none"/>
              </w:rPr>
              <w:t>：</w:t>
            </w:r>
            <w:r>
              <w:rPr>
                <w:rFonts w:hint="eastAsia" w:ascii="宋体" w:hAnsi="宋体"/>
                <w:bCs/>
                <w:color w:val="000000"/>
                <w:szCs w:val="21"/>
                <w:highlight w:val="none"/>
              </w:rPr>
              <w:t>自合同签订之日起</w:t>
            </w:r>
            <w:r>
              <w:rPr>
                <w:rFonts w:hint="eastAsia" w:ascii="宋体" w:hAnsi="宋体"/>
                <w:color w:val="000000"/>
                <w:szCs w:val="21"/>
                <w:highlight w:val="none"/>
              </w:rPr>
              <w:t>20日</w:t>
            </w:r>
            <w:r>
              <w:rPr>
                <w:rFonts w:hint="eastAsia" w:ascii="宋体" w:hAnsi="宋体"/>
                <w:bCs/>
                <w:color w:val="000000"/>
                <w:szCs w:val="21"/>
                <w:highlight w:val="none"/>
              </w:rPr>
              <w:t>内。</w:t>
            </w:r>
          </w:p>
          <w:p w14:paraId="2F04E8F0">
            <w:pPr>
              <w:widowControl/>
              <w:numPr>
                <w:ilvl w:val="0"/>
                <w:numId w:val="3"/>
              </w:numPr>
              <w:shd w:val="clear" w:color="auto" w:fill="FFFFFF"/>
              <w:spacing w:line="440" w:lineRule="exact"/>
              <w:rPr>
                <w:rFonts w:hint="eastAsia" w:ascii="宋体" w:hAnsi="宋体"/>
                <w:bCs/>
                <w:color w:val="000000"/>
                <w:szCs w:val="21"/>
                <w:highlight w:val="none"/>
              </w:rPr>
            </w:pPr>
            <w:r>
              <w:rPr>
                <w:rFonts w:ascii="宋体" w:hAnsi="宋体"/>
                <w:bCs/>
                <w:color w:val="000000"/>
                <w:szCs w:val="21"/>
                <w:highlight w:val="none"/>
              </w:rPr>
              <w:t>提交服务成果地点：南宁市（采购人指定地点）</w:t>
            </w:r>
            <w:r>
              <w:rPr>
                <w:rFonts w:hint="eastAsia" w:ascii="宋体" w:hAnsi="宋体"/>
                <w:bCs/>
                <w:color w:val="000000"/>
                <w:szCs w:val="21"/>
                <w:highlight w:val="none"/>
              </w:rPr>
              <w:t>。</w:t>
            </w:r>
          </w:p>
          <w:p w14:paraId="6F2886B7">
            <w:pPr>
              <w:widowControl/>
              <w:shd w:val="clear" w:color="auto" w:fill="FFFFFF"/>
              <w:spacing w:line="440" w:lineRule="exact"/>
              <w:rPr>
                <w:rFonts w:ascii="宋体" w:hAnsi="宋体"/>
                <w:color w:val="000000"/>
                <w:szCs w:val="21"/>
                <w:highlight w:val="none"/>
              </w:rPr>
            </w:pPr>
            <w:r>
              <w:rPr>
                <w:rFonts w:ascii="宋体" w:hAnsi="宋体"/>
                <w:color w:val="000000"/>
                <w:szCs w:val="21"/>
                <w:highlight w:val="none"/>
              </w:rPr>
              <w:t>★</w:t>
            </w:r>
            <w:r>
              <w:rPr>
                <w:rFonts w:hint="eastAsia" w:ascii="宋体" w:hAnsi="宋体"/>
                <w:color w:val="000000"/>
                <w:szCs w:val="21"/>
                <w:highlight w:val="none"/>
                <w:lang w:eastAsia="zh-CN"/>
              </w:rPr>
              <w:t>四</w:t>
            </w:r>
            <w:r>
              <w:rPr>
                <w:rFonts w:hint="eastAsia" w:ascii="宋体" w:hAnsi="宋体"/>
                <w:color w:val="000000"/>
                <w:szCs w:val="21"/>
                <w:highlight w:val="none"/>
              </w:rPr>
              <w:t>、应标真实性要求：</w:t>
            </w:r>
          </w:p>
          <w:p w14:paraId="066E5D1A">
            <w:pPr>
              <w:widowControl/>
              <w:shd w:val="clear" w:color="auto" w:fill="FFFFFF"/>
              <w:spacing w:line="440" w:lineRule="exact"/>
              <w:rPr>
                <w:rFonts w:ascii="宋体" w:hAnsi="宋体"/>
                <w:color w:val="000000"/>
                <w:szCs w:val="21"/>
                <w:highlight w:val="none"/>
              </w:rPr>
            </w:pPr>
            <w:r>
              <w:rPr>
                <w:rFonts w:hint="eastAsia" w:ascii="宋体" w:hAnsi="宋体"/>
                <w:color w:val="000000"/>
                <w:szCs w:val="21"/>
                <w:highlight w:val="none"/>
              </w:rPr>
              <w:t>1、招标文件中标注“</w:t>
            </w:r>
            <w:r>
              <w:rPr>
                <w:rFonts w:ascii="宋体" w:hAnsi="宋体"/>
                <w:color w:val="000000"/>
                <w:szCs w:val="21"/>
                <w:highlight w:val="none"/>
              </w:rPr>
              <w:t>★</w:t>
            </w:r>
            <w:r>
              <w:rPr>
                <w:rFonts w:hint="eastAsia" w:ascii="宋体" w:hAnsi="宋体"/>
                <w:color w:val="000000"/>
                <w:szCs w:val="21"/>
                <w:highlight w:val="none"/>
              </w:rPr>
              <w:t>”号的条款为实质性条款或指标，要求必须满足或优于，中标人须在中标结果公示起2个日历日内按照条款要求提供相关证明材料。若不按时提供全部材料，则视为虚假应标，投标无效。采购人有权追究该投标人相关法律责任。</w:t>
            </w:r>
          </w:p>
          <w:p w14:paraId="7CBE11ED">
            <w:pPr>
              <w:widowControl/>
              <w:shd w:val="clear" w:color="auto" w:fill="FFFFFF"/>
              <w:spacing w:line="440" w:lineRule="exact"/>
              <w:rPr>
                <w:rFonts w:ascii="宋体" w:hAnsi="宋体"/>
                <w:color w:val="000000"/>
                <w:szCs w:val="21"/>
                <w:highlight w:val="none"/>
              </w:rPr>
            </w:pPr>
            <w:r>
              <w:rPr>
                <w:rFonts w:ascii="宋体" w:hAnsi="宋体"/>
                <w:color w:val="000000"/>
                <w:szCs w:val="21"/>
                <w:highlight w:val="none"/>
              </w:rPr>
              <w:t>★</w:t>
            </w:r>
            <w:r>
              <w:rPr>
                <w:rFonts w:hint="eastAsia" w:ascii="宋体" w:hAnsi="宋体"/>
                <w:color w:val="000000"/>
                <w:szCs w:val="21"/>
                <w:highlight w:val="none"/>
              </w:rPr>
              <w:t>2、参加</w:t>
            </w:r>
            <w:r>
              <w:rPr>
                <w:rFonts w:ascii="宋体" w:hAnsi="宋体"/>
                <w:color w:val="000000"/>
                <w:szCs w:val="21"/>
                <w:highlight w:val="none"/>
              </w:rPr>
              <w:t>供应商须为</w:t>
            </w:r>
            <w:r>
              <w:rPr>
                <w:rFonts w:hint="eastAsia" w:ascii="宋体" w:hAnsi="宋体"/>
                <w:color w:val="000000"/>
                <w:szCs w:val="21"/>
                <w:highlight w:val="none"/>
              </w:rPr>
              <w:t>国内注册（指按国家有关规定要求注册的），符合《中华人民共和国政府采购法》第二十二条规定，具备法人资格的供应商或其分支机构。</w:t>
            </w:r>
          </w:p>
          <w:p w14:paraId="112C7A53">
            <w:pPr>
              <w:widowControl/>
              <w:shd w:val="clear" w:color="auto" w:fill="FFFFFF"/>
              <w:spacing w:line="440" w:lineRule="exact"/>
              <w:rPr>
                <w:rFonts w:ascii="宋体" w:hAnsi="宋体"/>
                <w:color w:val="000000"/>
                <w:szCs w:val="21"/>
                <w:highlight w:val="none"/>
              </w:rPr>
            </w:pPr>
            <w:r>
              <w:rPr>
                <w:rFonts w:ascii="宋体" w:hAnsi="宋体"/>
                <w:color w:val="000000"/>
                <w:szCs w:val="21"/>
                <w:highlight w:val="none"/>
              </w:rPr>
              <w:t>★</w:t>
            </w:r>
            <w:r>
              <w:rPr>
                <w:rFonts w:hint="eastAsia" w:ascii="宋体" w:hAnsi="宋体"/>
                <w:color w:val="000000"/>
                <w:szCs w:val="21"/>
                <w:highlight w:val="none"/>
              </w:rPr>
              <w:t>3、要求中标人对所选用网络技术基于分组交换、面向连接等特性提供科普中国(或中国科技网，或中国科普博览，或同等级别) 网站截图证明材料，并加盖供应商公章(中标后提供有效证书复印件无法提供则视为虚假应标，采购人有权进行废标外理并追究该投标人相关法律责任)。</w:t>
            </w:r>
          </w:p>
          <w:p w14:paraId="2620ED7B">
            <w:pPr>
              <w:widowControl/>
              <w:shd w:val="clear" w:color="auto" w:fill="FFFFFF"/>
              <w:spacing w:line="440" w:lineRule="exact"/>
              <w:rPr>
                <w:rFonts w:ascii="宋体" w:hAnsi="宋体"/>
                <w:color w:val="000000"/>
                <w:szCs w:val="21"/>
                <w:highlight w:val="none"/>
              </w:rPr>
            </w:pPr>
            <w:r>
              <w:rPr>
                <w:rFonts w:ascii="宋体" w:hAnsi="宋体"/>
                <w:color w:val="000000"/>
                <w:szCs w:val="21"/>
                <w:highlight w:val="none"/>
              </w:rPr>
              <w:t>★</w:t>
            </w:r>
            <w:r>
              <w:rPr>
                <w:rFonts w:hint="eastAsia" w:ascii="宋体" w:hAnsi="宋体"/>
                <w:color w:val="000000"/>
                <w:szCs w:val="21"/>
                <w:highlight w:val="none"/>
              </w:rPr>
              <w:t>4、投标人或其上级机构 IPV6 国际出口达 1000G 及以上(中标后</w:t>
            </w:r>
            <w:r>
              <w:rPr>
                <w:rFonts w:hint="eastAsia" w:ascii="宋体" w:hAnsi="宋体"/>
                <w:color w:val="000000"/>
                <w:szCs w:val="21"/>
                <w:highlight w:val="none"/>
                <w:lang w:eastAsia="zh-CN"/>
              </w:rPr>
              <w:t>需</w:t>
            </w:r>
            <w:r>
              <w:rPr>
                <w:rFonts w:hint="eastAsia" w:ascii="宋体" w:hAnsi="宋体"/>
                <w:color w:val="000000"/>
                <w:szCs w:val="21"/>
                <w:highlight w:val="none"/>
              </w:rPr>
              <w:t>提供提供国家 IPV6 发展监测平台(或中国 IPV6 发展监测报告》截图证明材料，无法提供则视为虚假应标，采购人有权进行废标处理并追究该投标人相关法律责任)。</w:t>
            </w:r>
          </w:p>
          <w:p w14:paraId="531BDDC6">
            <w:pPr>
              <w:widowControl/>
              <w:shd w:val="clear" w:color="auto" w:fill="FFFFFF"/>
              <w:spacing w:line="440" w:lineRule="exact"/>
              <w:rPr>
                <w:rFonts w:hint="eastAsia" w:ascii="宋体" w:hAnsi="宋体"/>
                <w:color w:val="000000"/>
                <w:szCs w:val="21"/>
                <w:highlight w:val="none"/>
              </w:rPr>
            </w:pPr>
            <w:r>
              <w:rPr>
                <w:rFonts w:hint="eastAsia" w:ascii="宋体" w:hAnsi="宋体"/>
                <w:color w:val="000000"/>
                <w:szCs w:val="21"/>
                <w:highlight w:val="none"/>
              </w:rPr>
              <w:t>★5、投标人所采用的云服务技术获得《零信任安全能力检验证书》、《云服务企业综合信用水平 AAA 级》，中标人需向采购人提供以上证明文件，若不及时提供全部材料，则视为虚假应标，采购人有权进行废标处理追究该投标人相关法律责任。</w:t>
            </w:r>
          </w:p>
          <w:p w14:paraId="1C43C6CE">
            <w:pPr>
              <w:widowControl/>
              <w:shd w:val="clear" w:color="auto" w:fill="FFFFFF"/>
              <w:spacing w:line="440" w:lineRule="exact"/>
              <w:rPr>
                <w:rFonts w:hint="eastAsia" w:ascii="宋体" w:hAnsi="宋体"/>
                <w:color w:val="000000"/>
                <w:szCs w:val="21"/>
                <w:highlight w:val="none"/>
              </w:rPr>
            </w:pPr>
            <w:r>
              <w:rPr>
                <w:rFonts w:ascii="宋体" w:hAnsi="宋体"/>
                <w:color w:val="000000"/>
                <w:szCs w:val="21"/>
                <w:highlight w:val="none"/>
              </w:rPr>
              <w:t>★</w:t>
            </w:r>
            <w:r>
              <w:rPr>
                <w:rFonts w:hint="eastAsia" w:ascii="宋体" w:hAnsi="宋体"/>
                <w:color w:val="000000"/>
                <w:szCs w:val="21"/>
                <w:highlight w:val="none"/>
              </w:rPr>
              <w:t>6</w:t>
            </w:r>
            <w:r>
              <w:rPr>
                <w:rFonts w:ascii="宋体" w:hAnsi="宋体"/>
                <w:color w:val="000000"/>
                <w:szCs w:val="21"/>
                <w:highlight w:val="none"/>
              </w:rPr>
              <w:t>、本项目中5G网络接入服务配套5G网关需具备CNAS认证和信通院出具的可靠性测试报告，中标人需向采购人提供以上证明文件，若不及时提供全部材料，则视为虚假应标，采购人有权进行废标处理追究该投标人相关法律责任</w:t>
            </w:r>
            <w:r>
              <w:rPr>
                <w:rFonts w:hint="eastAsia" w:ascii="宋体" w:hAnsi="宋体"/>
                <w:color w:val="000000"/>
                <w:szCs w:val="21"/>
                <w:highlight w:val="none"/>
              </w:rPr>
              <w:t>。</w:t>
            </w:r>
          </w:p>
          <w:p w14:paraId="09E88FC5">
            <w:pPr>
              <w:widowControl/>
              <w:shd w:val="clear" w:color="auto" w:fill="FFFFFF"/>
              <w:spacing w:line="440" w:lineRule="exact"/>
              <w:rPr>
                <w:rFonts w:ascii="宋体" w:hAnsi="宋体"/>
                <w:color w:val="000000"/>
                <w:szCs w:val="21"/>
                <w:highlight w:val="none"/>
              </w:rPr>
            </w:pPr>
            <w:r>
              <w:rPr>
                <w:rFonts w:ascii="宋体" w:hAnsi="宋体"/>
                <w:color w:val="000000"/>
                <w:szCs w:val="21"/>
                <w:highlight w:val="none"/>
                <w:lang w:val="en-US" w:eastAsia="zh-CN"/>
              </w:rPr>
              <w:t>★</w:t>
            </w:r>
            <w:r>
              <w:rPr>
                <w:rFonts w:hint="eastAsia" w:ascii="宋体" w:hAnsi="宋体"/>
                <w:color w:val="000000"/>
                <w:szCs w:val="21"/>
                <w:highlight w:val="none"/>
                <w:lang w:val="en-US" w:eastAsia="zh-CN"/>
              </w:rPr>
              <w:t>7、为保障履约能力与售后服务质量，供应商需具备GB/T GB/T23793-2017供应商综合实力评价认证AAA证书、ISO 37301:2021 合规管理体系认证证书。中标人需提供相关证书复印件并加盖公章，供采购人核验。若不按时提供全部材料，则视为虚假应标，投标无效。采购人有权追究该投标人虚假应标的相关法律责任。</w:t>
            </w:r>
          </w:p>
          <w:p w14:paraId="0F36E3EB">
            <w:pPr>
              <w:widowControl/>
              <w:shd w:val="clear" w:color="auto" w:fill="FFFFFF"/>
              <w:spacing w:line="440" w:lineRule="exact"/>
              <w:rPr>
                <w:rFonts w:ascii="宋体" w:hAnsi="宋体"/>
                <w:color w:val="000000"/>
                <w:szCs w:val="21"/>
                <w:highlight w:val="none"/>
              </w:rPr>
            </w:pPr>
            <w:r>
              <w:rPr>
                <w:rFonts w:ascii="宋体" w:hAnsi="宋体"/>
                <w:color w:val="000000"/>
                <w:szCs w:val="21"/>
                <w:highlight w:val="none"/>
              </w:rPr>
              <w:t>★</w:t>
            </w:r>
            <w:r>
              <w:rPr>
                <w:rFonts w:hint="eastAsia" w:ascii="宋体" w:hAnsi="宋体"/>
                <w:color w:val="000000"/>
                <w:szCs w:val="21"/>
                <w:highlight w:val="none"/>
                <w:lang w:eastAsia="zh-CN"/>
              </w:rPr>
              <w:t>五</w:t>
            </w:r>
            <w:r>
              <w:rPr>
                <w:rFonts w:ascii="宋体" w:hAnsi="宋体"/>
                <w:color w:val="000000"/>
                <w:szCs w:val="21"/>
                <w:highlight w:val="none"/>
              </w:rPr>
              <w:t>、售后服务要求：</w:t>
            </w:r>
          </w:p>
          <w:p w14:paraId="7447525A">
            <w:pPr>
              <w:widowControl/>
              <w:shd w:val="clear" w:color="auto" w:fill="FFFFFF"/>
              <w:spacing w:line="440" w:lineRule="exact"/>
              <w:rPr>
                <w:rFonts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服务</w:t>
            </w:r>
            <w:r>
              <w:rPr>
                <w:rFonts w:ascii="宋体" w:hAnsi="宋体"/>
                <w:color w:val="000000"/>
                <w:szCs w:val="21"/>
                <w:highlight w:val="none"/>
              </w:rPr>
              <w:t>期</w:t>
            </w:r>
            <w:r>
              <w:rPr>
                <w:rFonts w:hint="eastAsia" w:ascii="宋体" w:hAnsi="宋体"/>
                <w:color w:val="000000"/>
                <w:szCs w:val="21"/>
                <w:highlight w:val="none"/>
              </w:rPr>
              <w:t>与</w:t>
            </w:r>
            <w:r>
              <w:rPr>
                <w:rFonts w:ascii="宋体" w:hAnsi="宋体"/>
                <w:color w:val="000000"/>
                <w:szCs w:val="21"/>
                <w:highlight w:val="none"/>
              </w:rPr>
              <w:t>质量保证期</w:t>
            </w:r>
            <w:r>
              <w:rPr>
                <w:rFonts w:hint="eastAsia" w:ascii="宋体" w:hAnsi="宋体"/>
                <w:color w:val="000000"/>
                <w:szCs w:val="21"/>
                <w:highlight w:val="none"/>
              </w:rPr>
              <w:t>1</w:t>
            </w:r>
            <w:r>
              <w:rPr>
                <w:rFonts w:ascii="宋体" w:hAnsi="宋体"/>
                <w:color w:val="000000"/>
                <w:szCs w:val="21"/>
                <w:highlight w:val="none"/>
              </w:rPr>
              <w:t>年（自</w:t>
            </w:r>
            <w:r>
              <w:rPr>
                <w:rFonts w:ascii="宋体" w:hAnsi="宋体"/>
                <w:bCs/>
                <w:color w:val="000000"/>
                <w:szCs w:val="21"/>
                <w:highlight w:val="none"/>
              </w:rPr>
              <w:t>提交服务成果</w:t>
            </w:r>
            <w:r>
              <w:rPr>
                <w:rFonts w:ascii="宋体" w:hAnsi="宋体"/>
                <w:color w:val="000000"/>
                <w:szCs w:val="21"/>
                <w:highlight w:val="none"/>
              </w:rPr>
              <w:t>并验收合格之日起计）</w:t>
            </w:r>
            <w:r>
              <w:rPr>
                <w:rFonts w:hint="eastAsia" w:ascii="宋体" w:hAnsi="宋体"/>
                <w:color w:val="000000"/>
                <w:szCs w:val="21"/>
                <w:highlight w:val="none"/>
              </w:rPr>
              <w:t>。</w:t>
            </w:r>
          </w:p>
          <w:p w14:paraId="339E16EA">
            <w:pPr>
              <w:spacing w:line="440" w:lineRule="exact"/>
              <w:jc w:val="left"/>
              <w:rPr>
                <w:rFonts w:ascii="宋体" w:hAnsi="宋体"/>
                <w:szCs w:val="21"/>
                <w:highlight w:val="none"/>
              </w:rPr>
            </w:pPr>
            <w:r>
              <w:rPr>
                <w:rFonts w:ascii="宋体" w:hAnsi="宋体"/>
                <w:szCs w:val="21"/>
                <w:highlight w:val="none"/>
              </w:rPr>
              <w:t>2</w:t>
            </w:r>
            <w:r>
              <w:rPr>
                <w:rFonts w:hint="eastAsia" w:ascii="宋体" w:hAnsi="宋体"/>
                <w:szCs w:val="21"/>
                <w:highlight w:val="none"/>
              </w:rPr>
              <w:t>、供应商提供7×24小时热线电话服务,并指定专人负责上门受理调试日常维护及平时协助采购人维护检测等工作；</w:t>
            </w:r>
          </w:p>
          <w:p w14:paraId="476DAEA6">
            <w:pPr>
              <w:widowControl/>
              <w:shd w:val="clear" w:color="auto" w:fill="FFFFFF"/>
              <w:spacing w:line="440" w:lineRule="exact"/>
              <w:jc w:val="left"/>
              <w:rPr>
                <w:rFonts w:ascii="宋体" w:hAnsi="宋体"/>
                <w:color w:val="000000"/>
                <w:szCs w:val="21"/>
                <w:highlight w:val="none"/>
              </w:rPr>
            </w:pPr>
            <w:r>
              <w:rPr>
                <w:rFonts w:ascii="宋体" w:hAnsi="宋体"/>
                <w:color w:val="000000"/>
                <w:szCs w:val="21"/>
                <w:highlight w:val="none"/>
              </w:rPr>
              <w:t>3、</w:t>
            </w:r>
            <w:r>
              <w:rPr>
                <w:rFonts w:hint="eastAsia" w:ascii="宋体" w:hAnsi="宋体"/>
                <w:color w:val="000000"/>
                <w:szCs w:val="21"/>
                <w:highlight w:val="none"/>
              </w:rPr>
              <w:t>供应商</w:t>
            </w:r>
            <w:r>
              <w:rPr>
                <w:rFonts w:ascii="宋体" w:hAnsi="宋体"/>
                <w:color w:val="000000"/>
                <w:szCs w:val="21"/>
                <w:highlight w:val="none"/>
              </w:rPr>
              <w:t>必须按采购人的要求提供本地化售后服务技术支持</w:t>
            </w:r>
            <w:r>
              <w:rPr>
                <w:rFonts w:hint="eastAsia" w:ascii="宋体" w:hAnsi="宋体"/>
                <w:color w:val="000000"/>
                <w:szCs w:val="21"/>
                <w:highlight w:val="none"/>
              </w:rPr>
              <w:t>。</w:t>
            </w:r>
            <w:r>
              <w:rPr>
                <w:rFonts w:ascii="宋体" w:hAnsi="宋体"/>
                <w:color w:val="000000"/>
                <w:szCs w:val="21"/>
                <w:highlight w:val="none"/>
              </w:rPr>
              <w:t xml:space="preserve"> </w:t>
            </w:r>
          </w:p>
          <w:p w14:paraId="761CC17E">
            <w:pPr>
              <w:spacing w:line="440" w:lineRule="exact"/>
              <w:jc w:val="left"/>
              <w:rPr>
                <w:rFonts w:ascii="宋体" w:hAnsi="宋体"/>
                <w:szCs w:val="21"/>
                <w:highlight w:val="none"/>
              </w:rPr>
            </w:pPr>
            <w:r>
              <w:rPr>
                <w:rFonts w:ascii="宋体" w:hAnsi="宋体"/>
                <w:szCs w:val="21"/>
                <w:highlight w:val="none"/>
              </w:rPr>
              <w:t>4</w:t>
            </w:r>
            <w:r>
              <w:rPr>
                <w:rFonts w:hint="eastAsia" w:ascii="宋体" w:hAnsi="宋体"/>
                <w:szCs w:val="21"/>
                <w:highlight w:val="none"/>
              </w:rPr>
              <w:t>、供应商在租赁期限内，应严格遵守《中华人民共和国电信条例》，维护双方权益，应按信息产业部颁布的相关电路建设规范执行，保证采购人租用线路畅通及安全使用；</w:t>
            </w:r>
          </w:p>
          <w:p w14:paraId="38CDE025">
            <w:pPr>
              <w:spacing w:line="440" w:lineRule="exact"/>
              <w:jc w:val="left"/>
              <w:rPr>
                <w:rFonts w:ascii="宋体" w:hAnsi="宋体"/>
                <w:szCs w:val="21"/>
                <w:highlight w:val="none"/>
              </w:rPr>
            </w:pPr>
            <w:r>
              <w:rPr>
                <w:rFonts w:ascii="宋体" w:hAnsi="宋体"/>
                <w:szCs w:val="21"/>
                <w:highlight w:val="none"/>
              </w:rPr>
              <w:t>5</w:t>
            </w:r>
            <w:r>
              <w:rPr>
                <w:rFonts w:hint="eastAsia" w:ascii="宋体" w:hAnsi="宋体"/>
                <w:szCs w:val="21"/>
                <w:highlight w:val="none"/>
              </w:rPr>
              <w:t>、采购单位网络需要扩展或升级时，负责免费提供相应解决方案；因供应商施工、网络割接等原因影响宽带网络运行的，应当提前一天通知采购单位，并且尽快消除故障、恢复通信线路；</w:t>
            </w:r>
          </w:p>
          <w:p w14:paraId="19392AA4">
            <w:pPr>
              <w:widowControl/>
              <w:shd w:val="clear" w:color="auto" w:fill="FFFFFF"/>
              <w:spacing w:line="440" w:lineRule="exact"/>
              <w:jc w:val="left"/>
              <w:rPr>
                <w:rFonts w:ascii="宋体" w:hAnsi="宋体"/>
                <w:color w:val="000000"/>
                <w:szCs w:val="21"/>
                <w:highlight w:val="none"/>
              </w:rPr>
            </w:pPr>
            <w:r>
              <w:rPr>
                <w:rFonts w:ascii="宋体" w:hAnsi="宋体"/>
                <w:szCs w:val="21"/>
                <w:highlight w:val="none"/>
              </w:rPr>
              <w:t>6</w:t>
            </w:r>
            <w:r>
              <w:rPr>
                <w:rFonts w:hint="eastAsia" w:ascii="宋体" w:hAnsi="宋体"/>
                <w:szCs w:val="21"/>
                <w:highlight w:val="none"/>
              </w:rPr>
              <w:t>、供应商应具备足够的专业维护力量,专业维护人员人数≥2人；提供365×24小时的售后服务响应。</w:t>
            </w:r>
          </w:p>
          <w:p w14:paraId="2D584BC0">
            <w:pPr>
              <w:spacing w:line="440" w:lineRule="exact"/>
              <w:rPr>
                <w:rFonts w:ascii="宋体" w:hAnsi="宋体"/>
                <w:color w:val="000000"/>
                <w:szCs w:val="21"/>
                <w:highlight w:val="none"/>
              </w:rPr>
            </w:pPr>
            <w:r>
              <w:rPr>
                <w:rFonts w:ascii="宋体" w:hAnsi="宋体"/>
                <w:color w:val="000000"/>
                <w:szCs w:val="21"/>
                <w:highlight w:val="none"/>
              </w:rPr>
              <w:t>★</w:t>
            </w:r>
            <w:r>
              <w:rPr>
                <w:rFonts w:hint="eastAsia" w:ascii="宋体" w:hAnsi="宋体"/>
                <w:color w:val="000000"/>
                <w:szCs w:val="21"/>
                <w:highlight w:val="none"/>
                <w:lang w:eastAsia="zh-CN"/>
              </w:rPr>
              <w:t>六</w:t>
            </w:r>
            <w:r>
              <w:rPr>
                <w:rFonts w:ascii="宋体" w:hAnsi="宋体"/>
                <w:color w:val="000000"/>
                <w:szCs w:val="21"/>
                <w:highlight w:val="none"/>
              </w:rPr>
              <w:t>、其他要求：</w:t>
            </w:r>
          </w:p>
          <w:p w14:paraId="2921FDDD">
            <w:pPr>
              <w:spacing w:line="440" w:lineRule="exact"/>
              <w:rPr>
                <w:rFonts w:ascii="宋体" w:hAnsi="宋体"/>
                <w:color w:val="000000"/>
                <w:szCs w:val="21"/>
                <w:highlight w:val="none"/>
              </w:rPr>
            </w:pPr>
            <w:r>
              <w:rPr>
                <w:rFonts w:ascii="宋体" w:hAnsi="宋体"/>
                <w:color w:val="000000"/>
                <w:szCs w:val="21"/>
                <w:highlight w:val="none"/>
              </w:rPr>
              <w:t>1、报价必须含以下部分，包括：</w:t>
            </w:r>
          </w:p>
          <w:p w14:paraId="1889ACDE">
            <w:pPr>
              <w:spacing w:line="440" w:lineRule="exact"/>
              <w:rPr>
                <w:rFonts w:ascii="宋体" w:hAnsi="宋体"/>
                <w:color w:val="000000"/>
                <w:szCs w:val="21"/>
                <w:highlight w:val="none"/>
              </w:rPr>
            </w:pPr>
            <w:r>
              <w:rPr>
                <w:rFonts w:ascii="宋体" w:hAnsi="宋体"/>
                <w:color w:val="000000"/>
                <w:szCs w:val="21"/>
                <w:highlight w:val="none"/>
              </w:rPr>
              <w:t>（1）服务的价格；</w:t>
            </w:r>
          </w:p>
          <w:p w14:paraId="49BD71A7">
            <w:pPr>
              <w:spacing w:line="440" w:lineRule="exact"/>
              <w:rPr>
                <w:rFonts w:ascii="宋体" w:hAnsi="宋体"/>
                <w:color w:val="000000"/>
                <w:szCs w:val="21"/>
                <w:highlight w:val="none"/>
              </w:rPr>
            </w:pPr>
            <w:r>
              <w:rPr>
                <w:rFonts w:ascii="宋体" w:hAnsi="宋体"/>
                <w:color w:val="000000"/>
                <w:szCs w:val="21"/>
                <w:highlight w:val="none"/>
              </w:rPr>
              <w:t>（2）必要的保险费用和各项税金；</w:t>
            </w:r>
          </w:p>
          <w:p w14:paraId="747F8C25">
            <w:pPr>
              <w:tabs>
                <w:tab w:val="left" w:pos="3490"/>
                <w:tab w:val="left" w:pos="3670"/>
                <w:tab w:val="left" w:pos="3895"/>
              </w:tabs>
              <w:spacing w:line="440" w:lineRule="exact"/>
              <w:rPr>
                <w:rFonts w:ascii="宋体" w:hAnsi="宋体"/>
                <w:color w:val="000000"/>
                <w:szCs w:val="21"/>
                <w:highlight w:val="none"/>
              </w:rPr>
            </w:pPr>
            <w:r>
              <w:rPr>
                <w:rFonts w:ascii="宋体" w:hAnsi="宋体"/>
                <w:color w:val="000000"/>
                <w:szCs w:val="21"/>
                <w:highlight w:val="none"/>
              </w:rPr>
              <w:t>（3）其他：如运输、装卸、安装、调试、培训、技术支持、售后服务、更新升级等费用。</w:t>
            </w:r>
          </w:p>
          <w:p w14:paraId="254DB66E">
            <w:pPr>
              <w:spacing w:line="440" w:lineRule="exact"/>
              <w:rPr>
                <w:rFonts w:ascii="宋体" w:hAnsi="宋体"/>
                <w:szCs w:val="21"/>
                <w:highlight w:val="none"/>
              </w:rPr>
            </w:pPr>
            <w:r>
              <w:rPr>
                <w:rFonts w:ascii="宋体" w:hAnsi="宋体"/>
                <w:color w:val="000000"/>
                <w:szCs w:val="21"/>
                <w:highlight w:val="none"/>
              </w:rPr>
              <w:t>2、</w:t>
            </w:r>
            <w:r>
              <w:rPr>
                <w:rFonts w:hint="eastAsia" w:ascii="宋体" w:hAnsi="宋体"/>
                <w:szCs w:val="21"/>
                <w:highlight w:val="none"/>
              </w:rPr>
              <w:t>验收方法及方案：</w:t>
            </w:r>
          </w:p>
          <w:p w14:paraId="1FBE5AA3">
            <w:pPr>
              <w:spacing w:line="360" w:lineRule="auto"/>
              <w:jc w:val="left"/>
              <w:rPr>
                <w:rFonts w:ascii="宋体" w:hAnsi="宋体"/>
                <w:szCs w:val="21"/>
                <w:highlight w:val="none"/>
              </w:rPr>
            </w:pPr>
            <w:r>
              <w:rPr>
                <w:rFonts w:hint="eastAsia" w:ascii="宋体" w:hAnsi="宋体"/>
                <w:szCs w:val="21"/>
                <w:highlight w:val="none"/>
              </w:rPr>
              <w:t>项目实施完毕由采购人、中标人共同验收，并出具验收文书。如抽取的技术指标检测结果不合格的，则视为产品及服务不合格，须按采购人要求及时整改，如因此过程耽误造成损失的，中标人承担由此所造成全部损失。</w:t>
            </w:r>
          </w:p>
          <w:p w14:paraId="743BAE15">
            <w:pPr>
              <w:spacing w:line="360" w:lineRule="auto"/>
              <w:jc w:val="left"/>
              <w:rPr>
                <w:rFonts w:ascii="宋体" w:hAnsi="宋体"/>
                <w:szCs w:val="21"/>
                <w:highlight w:val="none"/>
              </w:rPr>
            </w:pPr>
            <w:r>
              <w:rPr>
                <w:rFonts w:hint="eastAsia" w:ascii="宋体" w:hAnsi="宋体"/>
                <w:szCs w:val="21"/>
                <w:highlight w:val="none"/>
              </w:rPr>
              <w:t>3、本项目预算是人民币贰拾叁万肆仟元整（￥234000.00），报价不能超过本预算价格。</w:t>
            </w:r>
          </w:p>
        </w:tc>
      </w:tr>
    </w:tbl>
    <w:p w14:paraId="0153BA9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5C018"/>
    <w:multiLevelType w:val="singleLevel"/>
    <w:tmpl w:val="A6C5C018"/>
    <w:lvl w:ilvl="0" w:tentative="0">
      <w:start w:val="4"/>
      <w:numFmt w:val="decimal"/>
      <w:lvlText w:val="%1."/>
      <w:lvlJc w:val="left"/>
      <w:pPr>
        <w:tabs>
          <w:tab w:val="left" w:pos="312"/>
        </w:tabs>
      </w:pPr>
    </w:lvl>
  </w:abstractNum>
  <w:abstractNum w:abstractNumId="1">
    <w:nsid w:val="B7BB0B07"/>
    <w:multiLevelType w:val="singleLevel"/>
    <w:tmpl w:val="B7BB0B07"/>
    <w:lvl w:ilvl="0" w:tentative="0">
      <w:start w:val="3"/>
      <w:numFmt w:val="chineseCounting"/>
      <w:suff w:val="nothing"/>
      <w:lvlText w:val="%1、"/>
      <w:lvlJc w:val="left"/>
      <w:rPr>
        <w:rFonts w:hint="eastAsia"/>
      </w:rPr>
    </w:lvl>
  </w:abstractNum>
  <w:abstractNum w:abstractNumId="2">
    <w:nsid w:val="E93E026B"/>
    <w:multiLevelType w:val="singleLevel"/>
    <w:tmpl w:val="E93E026B"/>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jMDA3ZjE3YzI1OTNiODFjNGVjMjYxM2Y5Nzc1NmQifQ=="/>
  </w:docVars>
  <w:rsids>
    <w:rsidRoot w:val="7758647C"/>
    <w:rsid w:val="000736A4"/>
    <w:rsid w:val="002256F1"/>
    <w:rsid w:val="003937E9"/>
    <w:rsid w:val="0047067A"/>
    <w:rsid w:val="00512D6E"/>
    <w:rsid w:val="005E25C1"/>
    <w:rsid w:val="005F75C9"/>
    <w:rsid w:val="006B7B7B"/>
    <w:rsid w:val="008059B0"/>
    <w:rsid w:val="00866104"/>
    <w:rsid w:val="00980727"/>
    <w:rsid w:val="00993B78"/>
    <w:rsid w:val="009E3CEF"/>
    <w:rsid w:val="00A15368"/>
    <w:rsid w:val="00A409FD"/>
    <w:rsid w:val="00AF26C3"/>
    <w:rsid w:val="00B04A99"/>
    <w:rsid w:val="00BE2AE2"/>
    <w:rsid w:val="00E47900"/>
    <w:rsid w:val="03A72EA8"/>
    <w:rsid w:val="03FD277B"/>
    <w:rsid w:val="0784287F"/>
    <w:rsid w:val="09A17C56"/>
    <w:rsid w:val="0AA957A4"/>
    <w:rsid w:val="0AB0712B"/>
    <w:rsid w:val="0D314110"/>
    <w:rsid w:val="0E254426"/>
    <w:rsid w:val="11572595"/>
    <w:rsid w:val="128B0D57"/>
    <w:rsid w:val="12B059D2"/>
    <w:rsid w:val="16C826A5"/>
    <w:rsid w:val="1767B7C4"/>
    <w:rsid w:val="1BBE4492"/>
    <w:rsid w:val="1E4C753A"/>
    <w:rsid w:val="236A19AA"/>
    <w:rsid w:val="23A14082"/>
    <w:rsid w:val="245729C4"/>
    <w:rsid w:val="29592E01"/>
    <w:rsid w:val="2BB44518"/>
    <w:rsid w:val="2BE1588C"/>
    <w:rsid w:val="2E537944"/>
    <w:rsid w:val="303F48B4"/>
    <w:rsid w:val="34826A4A"/>
    <w:rsid w:val="367904EE"/>
    <w:rsid w:val="37D3DFEF"/>
    <w:rsid w:val="3DB4F064"/>
    <w:rsid w:val="41822621"/>
    <w:rsid w:val="47F7E096"/>
    <w:rsid w:val="4BAD428F"/>
    <w:rsid w:val="4BEC649C"/>
    <w:rsid w:val="4DBFCF76"/>
    <w:rsid w:val="4EC50F27"/>
    <w:rsid w:val="4FAC0FA7"/>
    <w:rsid w:val="50B454DF"/>
    <w:rsid w:val="54070B67"/>
    <w:rsid w:val="54EA37F2"/>
    <w:rsid w:val="5554611F"/>
    <w:rsid w:val="57004433"/>
    <w:rsid w:val="57573F77"/>
    <w:rsid w:val="59AE73F5"/>
    <w:rsid w:val="59E1159C"/>
    <w:rsid w:val="5C425488"/>
    <w:rsid w:val="64E74ED1"/>
    <w:rsid w:val="65E6348B"/>
    <w:rsid w:val="67E01347"/>
    <w:rsid w:val="6D4F63E5"/>
    <w:rsid w:val="6E9A19C7"/>
    <w:rsid w:val="702B69EB"/>
    <w:rsid w:val="714D7A2D"/>
    <w:rsid w:val="72B17887"/>
    <w:rsid w:val="765AB753"/>
    <w:rsid w:val="7758647C"/>
    <w:rsid w:val="78F6913D"/>
    <w:rsid w:val="7B736B37"/>
    <w:rsid w:val="7C7A24D3"/>
    <w:rsid w:val="7E3FB6B4"/>
    <w:rsid w:val="7EB45671"/>
    <w:rsid w:val="7EEEB37A"/>
    <w:rsid w:val="89FD7951"/>
    <w:rsid w:val="9AE92754"/>
    <w:rsid w:val="9D6F62BF"/>
    <w:rsid w:val="9FEDF3FE"/>
    <w:rsid w:val="B7BF3158"/>
    <w:rsid w:val="B9F7E539"/>
    <w:rsid w:val="D7E6C176"/>
    <w:rsid w:val="DD467520"/>
    <w:rsid w:val="EFB2CFA1"/>
    <w:rsid w:val="EFDBCC09"/>
    <w:rsid w:val="F2EC401D"/>
    <w:rsid w:val="F70D422A"/>
    <w:rsid w:val="FAFFE9E8"/>
    <w:rsid w:val="FDB8A1A4"/>
    <w:rsid w:val="FDFF5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qFormat/>
    <w:uiPriority w:val="9"/>
    <w:pPr>
      <w:keepNext/>
      <w:keepLines/>
      <w:spacing w:before="120" w:after="120" w:line="300" w:lineRule="auto"/>
      <w:outlineLvl w:val="1"/>
    </w:pPr>
    <w:rPr>
      <w:rFonts w:ascii="Arial" w:hAnsi="Arial"/>
      <w:b/>
      <w:bCs/>
      <w:sz w:val="32"/>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ind w:firstLine="420"/>
    </w:pPr>
    <w:rPr>
      <w:szCs w:val="20"/>
    </w:rPr>
  </w:style>
  <w:style w:type="paragraph" w:styleId="4">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5">
    <w:name w:val="annotation text"/>
    <w:basedOn w:val="1"/>
    <w:autoRedefine/>
    <w:qFormat/>
    <w:uiPriority w:val="0"/>
    <w:pPr>
      <w:jc w:val="left"/>
    </w:pPr>
  </w:style>
  <w:style w:type="paragraph" w:styleId="6">
    <w:name w:val="footer"/>
    <w:basedOn w:val="1"/>
    <w:autoRedefine/>
    <w:qFormat/>
    <w:uiPriority w:val="99"/>
    <w:pPr>
      <w:tabs>
        <w:tab w:val="center" w:pos="4153"/>
        <w:tab w:val="right" w:pos="8306"/>
      </w:tabs>
      <w:snapToGrid w:val="0"/>
      <w:jc w:val="left"/>
    </w:pPr>
    <w:rPr>
      <w:sz w:val="18"/>
    </w:rPr>
  </w:style>
  <w:style w:type="paragraph" w:styleId="7">
    <w:name w:val="header"/>
    <w:basedOn w:val="1"/>
    <w:link w:val="11"/>
    <w:autoRedefine/>
    <w:qFormat/>
    <w:uiPriority w:val="0"/>
    <w:pPr>
      <w:tabs>
        <w:tab w:val="center" w:pos="4153"/>
        <w:tab w:val="right" w:pos="8306"/>
      </w:tabs>
      <w:snapToGrid w:val="0"/>
      <w:jc w:val="center"/>
    </w:pPr>
    <w:rPr>
      <w:sz w:val="18"/>
      <w:szCs w:val="18"/>
    </w:rPr>
  </w:style>
  <w:style w:type="paragraph" w:styleId="8">
    <w:name w:val="Body Text First Indent"/>
    <w:basedOn w:val="4"/>
    <w:autoRedefine/>
    <w:unhideWhenUsed/>
    <w:qFormat/>
    <w:uiPriority w:val="99"/>
    <w:pPr>
      <w:ind w:firstLine="420" w:firstLineChars="100"/>
    </w:pPr>
    <w:rPr>
      <w:rFonts w:ascii="Calibri"/>
    </w:rPr>
  </w:style>
  <w:style w:type="character" w:customStyle="1" w:styleId="11">
    <w:name w:val="页眉 字符"/>
    <w:basedOn w:val="10"/>
    <w:link w:val="7"/>
    <w:autoRedefine/>
    <w:qFormat/>
    <w:uiPriority w:val="0"/>
    <w:rPr>
      <w:kern w:val="2"/>
      <w:sz w:val="18"/>
      <w:szCs w:val="18"/>
    </w:rPr>
  </w:style>
  <w:style w:type="paragraph" w:customStyle="1" w:styleId="12">
    <w:name w:val="Default"/>
    <w:autoRedefine/>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3383</Words>
  <Characters>4063</Characters>
  <Lines>32</Lines>
  <Paragraphs>9</Paragraphs>
  <TotalTime>43</TotalTime>
  <ScaleCrop>false</ScaleCrop>
  <LinksUpToDate>false</LinksUpToDate>
  <CharactersWithSpaces>4130</CharactersWithSpaces>
  <Application>WPS Office_12.1.0.20305_F1E327BC-269C-435d-A152-05C5408002CA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2024-02-29T18:48:00Z</dcterms:created>
  <dc:creator>南宁市第三职业技术学校-吴雯</dc:creator>
  <cp:lastModifiedBy>dell</cp:lastModifiedBy>
  <dcterms:modified xsi:type="dcterms:W3CDTF">2025-03-13T01:51:53Z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1EC812B4141B4D218BD9D42149FDFC6E_13</vt:lpwstr>
  </property>
  <property fmtid="{D5CDD505-2E9C-101B-9397-08002B2CF9AE}" pid="4" name="KSOTemplateDocerSaveRecord">
    <vt:lpwstr>eyJoZGlkIjoiNzAzNjdmMWY5OTg3N2VhNzk3OWYzOWNmM2Y5NDFlODYifQ==</vt:lpwstr>
  </property>
</Properties>
</file>