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06DE9">
      <w:pPr>
        <w:widowControl/>
        <w:spacing w:line="440" w:lineRule="exact"/>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广西金融职业技术学院东校区互联网宽带升级项目反向竞价文件</w:t>
      </w:r>
    </w:p>
    <w:p w14:paraId="249E01A8">
      <w:pPr>
        <w:widowControl/>
        <w:spacing w:line="440" w:lineRule="exact"/>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53329DD4">
      <w:pPr>
        <w:widowControl/>
        <w:spacing w:line="440" w:lineRule="exact"/>
        <w:rPr>
          <w:rFonts w:cs="宋体" w:asciiTheme="majorEastAsia" w:hAnsiTheme="majorEastAsia" w:eastAsiaTheme="maj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28"/>
          <w:szCs w:val="28"/>
          <w14:textFill>
            <w14:solidFill>
              <w14:schemeClr w14:val="tx1"/>
            </w14:solidFill>
          </w14:textFill>
        </w:rPr>
        <w:t>一、预算控制价：24万元整</w:t>
      </w:r>
    </w:p>
    <w:p w14:paraId="5E2AC8D2">
      <w:pPr>
        <w:widowControl/>
        <w:spacing w:line="440" w:lineRule="exact"/>
        <w:jc w:val="left"/>
        <w:rPr>
          <w:rFonts w:cs="宋体" w:asciiTheme="majorEastAsia" w:hAnsiTheme="majorEastAsia" w:eastAsiaTheme="maj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28"/>
          <w:szCs w:val="28"/>
          <w14:textFill>
            <w14:solidFill>
              <w14:schemeClr w14:val="tx1"/>
            </w14:solidFill>
          </w14:textFill>
        </w:rPr>
        <w:t>二、采购需求</w:t>
      </w:r>
    </w:p>
    <w:tbl>
      <w:tblPr>
        <w:tblStyle w:val="9"/>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3"/>
        <w:gridCol w:w="669"/>
        <w:gridCol w:w="649"/>
        <w:gridCol w:w="670"/>
        <w:gridCol w:w="670"/>
        <w:gridCol w:w="5481"/>
      </w:tblGrid>
      <w:tr w14:paraId="0152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56" w:type="pct"/>
            <w:vAlign w:val="center"/>
          </w:tcPr>
          <w:p w14:paraId="30EEF47A">
            <w:pPr>
              <w:widowControl/>
              <w:spacing w:line="440" w:lineRule="exact"/>
              <w:jc w:val="center"/>
              <w:rPr>
                <w:rFonts w:cs="宋体" w:asciiTheme="majorEastAsia" w:hAnsiTheme="majorEastAsia" w:eastAsiaTheme="majorEastAsia"/>
                <w:b/>
                <w:color w:val="000000" w:themeColor="text1"/>
                <w:kern w:val="0"/>
                <w:sz w:val="24"/>
                <w14:textFill>
                  <w14:solidFill>
                    <w14:schemeClr w14:val="tx1"/>
                  </w14:solidFill>
                </w14:textFill>
              </w:rPr>
            </w:pPr>
            <w:r>
              <w:rPr>
                <w:rFonts w:hint="eastAsia" w:cs="宋体" w:asciiTheme="majorEastAsia" w:hAnsiTheme="majorEastAsia" w:eastAsiaTheme="majorEastAsia"/>
                <w:b/>
                <w:color w:val="000000" w:themeColor="text1"/>
                <w:kern w:val="0"/>
                <w:sz w:val="24"/>
                <w14:textFill>
                  <w14:solidFill>
                    <w14:schemeClr w14:val="tx1"/>
                  </w14:solidFill>
                </w14:textFill>
              </w:rPr>
              <w:t>项号</w:t>
            </w:r>
          </w:p>
        </w:tc>
        <w:tc>
          <w:tcPr>
            <w:tcW w:w="752" w:type="pct"/>
            <w:gridSpan w:val="2"/>
            <w:tcMar>
              <w:top w:w="0" w:type="dxa"/>
              <w:left w:w="108" w:type="dxa"/>
              <w:bottom w:w="0" w:type="dxa"/>
              <w:right w:w="108" w:type="dxa"/>
            </w:tcMar>
            <w:vAlign w:val="center"/>
          </w:tcPr>
          <w:p w14:paraId="5E19A2E7">
            <w:pPr>
              <w:widowControl/>
              <w:spacing w:line="440" w:lineRule="exact"/>
              <w:jc w:val="center"/>
              <w:rPr>
                <w:rFonts w:cs="宋体" w:asciiTheme="majorEastAsia" w:hAnsiTheme="majorEastAsia" w:eastAsiaTheme="majorEastAsia"/>
                <w:b/>
                <w:color w:val="000000" w:themeColor="text1"/>
                <w:kern w:val="0"/>
                <w:sz w:val="24"/>
                <w14:textFill>
                  <w14:solidFill>
                    <w14:schemeClr w14:val="tx1"/>
                  </w14:solidFill>
                </w14:textFill>
              </w:rPr>
            </w:pPr>
            <w:r>
              <w:rPr>
                <w:rFonts w:hint="eastAsia" w:cs="宋体" w:asciiTheme="majorEastAsia" w:hAnsiTheme="majorEastAsia" w:eastAsiaTheme="majorEastAsia"/>
                <w:b/>
                <w:color w:val="000000" w:themeColor="text1"/>
                <w:kern w:val="0"/>
                <w:sz w:val="24"/>
                <w14:textFill>
                  <w14:solidFill>
                    <w14:schemeClr w14:val="tx1"/>
                  </w14:solidFill>
                </w14:textFill>
              </w:rPr>
              <w:t>服务名称</w:t>
            </w:r>
          </w:p>
        </w:tc>
        <w:tc>
          <w:tcPr>
            <w:tcW w:w="382" w:type="pct"/>
            <w:tcMar>
              <w:top w:w="0" w:type="dxa"/>
              <w:left w:w="108" w:type="dxa"/>
              <w:bottom w:w="0" w:type="dxa"/>
              <w:right w:w="108" w:type="dxa"/>
            </w:tcMar>
            <w:vAlign w:val="center"/>
          </w:tcPr>
          <w:p w14:paraId="72A5BEF5">
            <w:pPr>
              <w:widowControl/>
              <w:spacing w:line="440" w:lineRule="exact"/>
              <w:jc w:val="center"/>
              <w:rPr>
                <w:rFonts w:cs="宋体" w:asciiTheme="majorEastAsia" w:hAnsiTheme="majorEastAsia" w:eastAsiaTheme="majorEastAsia"/>
                <w:b/>
                <w:color w:val="000000" w:themeColor="text1"/>
                <w:kern w:val="0"/>
                <w:sz w:val="24"/>
                <w14:textFill>
                  <w14:solidFill>
                    <w14:schemeClr w14:val="tx1"/>
                  </w14:solidFill>
                </w14:textFill>
              </w:rPr>
            </w:pPr>
            <w:r>
              <w:rPr>
                <w:rFonts w:hint="eastAsia" w:cs="宋体" w:asciiTheme="majorEastAsia" w:hAnsiTheme="majorEastAsia" w:eastAsiaTheme="majorEastAsia"/>
                <w:b/>
                <w:color w:val="000000" w:themeColor="text1"/>
                <w:kern w:val="0"/>
                <w:sz w:val="24"/>
                <w14:textFill>
                  <w14:solidFill>
                    <w14:schemeClr w14:val="tx1"/>
                  </w14:solidFill>
                </w14:textFill>
              </w:rPr>
              <w:t>数量</w:t>
            </w:r>
          </w:p>
        </w:tc>
        <w:tc>
          <w:tcPr>
            <w:tcW w:w="382" w:type="pct"/>
            <w:tcMar>
              <w:top w:w="0" w:type="dxa"/>
              <w:left w:w="108" w:type="dxa"/>
              <w:bottom w:w="0" w:type="dxa"/>
              <w:right w:w="108" w:type="dxa"/>
            </w:tcMar>
            <w:vAlign w:val="center"/>
          </w:tcPr>
          <w:p w14:paraId="31728CF0">
            <w:pPr>
              <w:widowControl/>
              <w:spacing w:line="440" w:lineRule="exact"/>
              <w:jc w:val="center"/>
              <w:rPr>
                <w:rFonts w:cs="宋体" w:asciiTheme="majorEastAsia" w:hAnsiTheme="majorEastAsia" w:eastAsiaTheme="majorEastAsia"/>
                <w:b/>
                <w:color w:val="000000" w:themeColor="text1"/>
                <w:kern w:val="0"/>
                <w:sz w:val="24"/>
                <w14:textFill>
                  <w14:solidFill>
                    <w14:schemeClr w14:val="tx1"/>
                  </w14:solidFill>
                </w14:textFill>
              </w:rPr>
            </w:pPr>
            <w:r>
              <w:rPr>
                <w:rFonts w:hint="eastAsia" w:cs="宋体" w:asciiTheme="majorEastAsia" w:hAnsiTheme="majorEastAsia" w:eastAsiaTheme="majorEastAsia"/>
                <w:b/>
                <w:color w:val="000000" w:themeColor="text1"/>
                <w:kern w:val="0"/>
                <w:sz w:val="24"/>
                <w14:textFill>
                  <w14:solidFill>
                    <w14:schemeClr w14:val="tx1"/>
                  </w14:solidFill>
                </w14:textFill>
              </w:rPr>
              <w:t>单位</w:t>
            </w:r>
          </w:p>
        </w:tc>
        <w:tc>
          <w:tcPr>
            <w:tcW w:w="3126" w:type="pct"/>
            <w:tcMar>
              <w:top w:w="0" w:type="dxa"/>
              <w:left w:w="108" w:type="dxa"/>
              <w:bottom w:w="0" w:type="dxa"/>
              <w:right w:w="108" w:type="dxa"/>
            </w:tcMar>
            <w:vAlign w:val="center"/>
          </w:tcPr>
          <w:p w14:paraId="7EDB6763">
            <w:pPr>
              <w:widowControl/>
              <w:spacing w:line="440" w:lineRule="exact"/>
              <w:jc w:val="center"/>
              <w:rPr>
                <w:rFonts w:cs="宋体" w:asciiTheme="majorEastAsia" w:hAnsiTheme="majorEastAsia" w:eastAsiaTheme="majorEastAsia"/>
                <w:b/>
                <w:color w:val="000000" w:themeColor="text1"/>
                <w:kern w:val="0"/>
                <w:sz w:val="24"/>
                <w14:textFill>
                  <w14:solidFill>
                    <w14:schemeClr w14:val="tx1"/>
                  </w14:solidFill>
                </w14:textFill>
              </w:rPr>
            </w:pPr>
            <w:r>
              <w:rPr>
                <w:rFonts w:hint="eastAsia" w:cs="宋体" w:asciiTheme="majorEastAsia" w:hAnsiTheme="majorEastAsia" w:eastAsiaTheme="majorEastAsia"/>
                <w:b/>
                <w:color w:val="000000" w:themeColor="text1"/>
                <w:kern w:val="0"/>
                <w:sz w:val="24"/>
                <w14:textFill>
                  <w14:solidFill>
                    <w14:schemeClr w14:val="tx1"/>
                  </w14:solidFill>
                </w14:textFill>
              </w:rPr>
              <w:t>服务内容及要求</w:t>
            </w:r>
          </w:p>
        </w:tc>
      </w:tr>
      <w:tr w14:paraId="4568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356" w:type="pct"/>
            <w:tcMar>
              <w:top w:w="0" w:type="dxa"/>
              <w:left w:w="108" w:type="dxa"/>
              <w:bottom w:w="0" w:type="dxa"/>
              <w:right w:w="108" w:type="dxa"/>
            </w:tcMar>
            <w:vAlign w:val="center"/>
          </w:tcPr>
          <w:p w14:paraId="68BAFADB">
            <w:pPr>
              <w:widowControl/>
              <w:spacing w:line="440" w:lineRule="exact"/>
              <w:jc w:val="center"/>
              <w:rPr>
                <w:rFonts w:cs="Arial" w:asciiTheme="majorEastAsia" w:hAnsiTheme="majorEastAsia" w:eastAsiaTheme="majorEastAsia"/>
                <w:color w:val="000000" w:themeColor="text1"/>
                <w:kern w:val="0"/>
                <w:sz w:val="24"/>
                <w14:textFill>
                  <w14:solidFill>
                    <w14:schemeClr w14:val="tx1"/>
                  </w14:solidFill>
                </w14:textFill>
              </w:rPr>
            </w:pPr>
            <w:r>
              <w:rPr>
                <w:rFonts w:hint="eastAsia" w:cs="Arial" w:asciiTheme="majorEastAsia" w:hAnsiTheme="majorEastAsia" w:eastAsiaTheme="majorEastAsia"/>
                <w:color w:val="000000" w:themeColor="text1"/>
                <w:kern w:val="0"/>
                <w:sz w:val="24"/>
                <w14:textFill>
                  <w14:solidFill>
                    <w14:schemeClr w14:val="tx1"/>
                  </w14:solidFill>
                </w14:textFill>
              </w:rPr>
              <w:t>1</w:t>
            </w:r>
          </w:p>
        </w:tc>
        <w:tc>
          <w:tcPr>
            <w:tcW w:w="752" w:type="pct"/>
            <w:gridSpan w:val="2"/>
            <w:tcMar>
              <w:top w:w="0" w:type="dxa"/>
              <w:left w:w="108" w:type="dxa"/>
              <w:bottom w:w="0" w:type="dxa"/>
              <w:right w:w="108" w:type="dxa"/>
            </w:tcMar>
            <w:vAlign w:val="center"/>
          </w:tcPr>
          <w:p w14:paraId="12DE8A03">
            <w:pPr>
              <w:widowControl/>
              <w:spacing w:line="440" w:lineRule="exact"/>
              <w:jc w:val="center"/>
              <w:rPr>
                <w:rFonts w:cs="Arial" w:asciiTheme="majorEastAsia" w:hAnsiTheme="majorEastAsia" w:eastAsiaTheme="majorEastAsia"/>
                <w:color w:val="000000" w:themeColor="text1"/>
                <w:kern w:val="0"/>
                <w:sz w:val="24"/>
                <w14:textFill>
                  <w14:solidFill>
                    <w14:schemeClr w14:val="tx1"/>
                  </w14:solidFill>
                </w14:textFill>
              </w:rPr>
            </w:pPr>
            <w:r>
              <w:rPr>
                <w:rFonts w:hint="eastAsia" w:cs="Arial" w:asciiTheme="majorEastAsia" w:hAnsiTheme="majorEastAsia" w:eastAsiaTheme="majorEastAsia"/>
                <w:color w:val="000000" w:themeColor="text1"/>
                <w:kern w:val="0"/>
                <w:sz w:val="24"/>
                <w14:textFill>
                  <w14:solidFill>
                    <w14:schemeClr w14:val="tx1"/>
                  </w14:solidFill>
                </w14:textFill>
              </w:rPr>
              <w:t>互联网专线</w:t>
            </w:r>
          </w:p>
        </w:tc>
        <w:tc>
          <w:tcPr>
            <w:tcW w:w="382" w:type="pct"/>
            <w:tcMar>
              <w:top w:w="0" w:type="dxa"/>
              <w:left w:w="108" w:type="dxa"/>
              <w:bottom w:w="0" w:type="dxa"/>
              <w:right w:w="108" w:type="dxa"/>
            </w:tcMar>
            <w:vAlign w:val="center"/>
          </w:tcPr>
          <w:p w14:paraId="744F6494">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1</w:t>
            </w:r>
          </w:p>
        </w:tc>
        <w:tc>
          <w:tcPr>
            <w:tcW w:w="382" w:type="pct"/>
            <w:tcMar>
              <w:top w:w="0" w:type="dxa"/>
              <w:left w:w="108" w:type="dxa"/>
              <w:bottom w:w="0" w:type="dxa"/>
              <w:right w:w="108" w:type="dxa"/>
            </w:tcMar>
            <w:vAlign w:val="center"/>
          </w:tcPr>
          <w:p w14:paraId="718C8E26">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条</w:t>
            </w:r>
          </w:p>
        </w:tc>
        <w:tc>
          <w:tcPr>
            <w:tcW w:w="3126" w:type="pct"/>
            <w:tcMar>
              <w:top w:w="0" w:type="dxa"/>
              <w:left w:w="108" w:type="dxa"/>
              <w:bottom w:w="0" w:type="dxa"/>
              <w:right w:w="108" w:type="dxa"/>
            </w:tcMar>
            <w:vAlign w:val="center"/>
          </w:tcPr>
          <w:p w14:paraId="1DADAA12">
            <w:pPr>
              <w:widowControl/>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rPr>
              <w:t>▲</w:t>
            </w:r>
            <w:r>
              <w:rPr>
                <w:rFonts w:hint="eastAsia" w:cs="宋体" w:asciiTheme="majorEastAsia" w:hAnsiTheme="majorEastAsia" w:eastAsiaTheme="majorEastAsia"/>
                <w:color w:val="000000" w:themeColor="text1"/>
                <w:sz w:val="24"/>
                <w14:textFill>
                  <w14:solidFill>
                    <w14:schemeClr w14:val="tx1"/>
                  </w14:solidFill>
                </w14:textFill>
              </w:rPr>
              <w:t>1.电路类型：互联网数字电路，</w:t>
            </w:r>
            <w:r>
              <w:rPr>
                <w:rFonts w:hint="eastAsia" w:cs="宋体" w:asciiTheme="majorEastAsia" w:hAnsiTheme="majorEastAsia" w:eastAsiaTheme="majorEastAsia"/>
                <w:color w:val="000000" w:themeColor="text1"/>
                <w:sz w:val="24"/>
                <w:highlight w:val="yellow"/>
                <w14:textFill>
                  <w14:solidFill>
                    <w14:schemeClr w14:val="tx1"/>
                  </w14:solidFill>
                </w14:textFill>
              </w:rPr>
              <w:t>局域网连接到中国</w:t>
            </w:r>
            <w:r>
              <w:rPr>
                <w:rFonts w:hint="eastAsia" w:cs="宋体" w:asciiTheme="majorEastAsia" w:hAnsiTheme="majorEastAsia" w:eastAsiaTheme="majorEastAsia"/>
                <w:color w:val="000000" w:themeColor="text1"/>
                <w:sz w:val="24"/>
                <w:highlight w:val="yellow"/>
                <w:lang w:eastAsia="zh-CN"/>
                <w14:textFill>
                  <w14:solidFill>
                    <w14:schemeClr w14:val="tx1"/>
                  </w14:solidFill>
                </w14:textFill>
              </w:rPr>
              <w:t>移动</w:t>
            </w:r>
            <w:r>
              <w:rPr>
                <w:rFonts w:hint="eastAsia" w:cs="宋体" w:asciiTheme="majorEastAsia" w:hAnsiTheme="majorEastAsia" w:eastAsiaTheme="majorEastAsia"/>
                <w:color w:val="000000" w:themeColor="text1"/>
                <w:sz w:val="24"/>
                <w:highlight w:val="yellow"/>
                <w14:textFill>
                  <w14:solidFill>
                    <w14:schemeClr w14:val="tx1"/>
                  </w14:solidFill>
                </w14:textFill>
              </w:rPr>
              <w:t>宽带互联网的带宽≥1000Mbps，</w:t>
            </w:r>
            <w:r>
              <w:rPr>
                <w:rFonts w:hint="eastAsia" w:cs="宋体" w:asciiTheme="majorEastAsia" w:hAnsiTheme="majorEastAsia" w:eastAsiaTheme="majorEastAsia"/>
                <w:color w:val="000000" w:themeColor="text1"/>
                <w:sz w:val="24"/>
                <w14:textFill>
                  <w14:solidFill>
                    <w14:schemeClr w14:val="tx1"/>
                  </w14:solidFill>
                </w14:textFill>
              </w:rPr>
              <w:t>接入方式为光纤接入；互联网带宽裸机测试，上下行速率稳定在≥1000Mbit/s；</w:t>
            </w:r>
          </w:p>
          <w:p w14:paraId="162CC5D8">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2.电路接入端接口类型：可提供RJ45、G.703、V.35等接口类型；</w:t>
            </w:r>
          </w:p>
          <w:p w14:paraId="5F4AE8EE">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3.电路可用率：单条电路端到端全年可用率≥99.9%；</w:t>
            </w:r>
          </w:p>
          <w:p w14:paraId="78FA932F">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4.电路误码率：单条电路端到端比特误码率≤1×10-6；</w:t>
            </w:r>
          </w:p>
          <w:p w14:paraId="6B5C6310">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5.电路丢包率：单条电路端到端丢包率≤0.8%；</w:t>
            </w:r>
          </w:p>
          <w:p w14:paraId="55FA3C6F">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6.电路速率：电路各个节点最大时延≤20ms；</w:t>
            </w:r>
          </w:p>
          <w:p w14:paraId="54AF5F01">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7.电路速率：单条电路端到端时延抖动率≤15ms；</w:t>
            </w:r>
          </w:p>
          <w:p w14:paraId="4FE6A9FF">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8.传输设备要求具有全网网管监控功能，并实行7*24小时实时监控，具备MPLS tunnel OAM，可有效地检测并定位网络故障，确保对网络性能的监控；</w:t>
            </w:r>
          </w:p>
          <w:p w14:paraId="0B27E58A">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ascii="宋体" w:hAnsi="宋体"/>
              </w:rPr>
              <w:t>▲</w:t>
            </w:r>
            <w:r>
              <w:rPr>
                <w:rFonts w:hint="eastAsia" w:cs="宋体" w:asciiTheme="majorEastAsia" w:hAnsiTheme="majorEastAsia" w:eastAsiaTheme="majorEastAsia"/>
                <w:color w:val="000000" w:themeColor="text1"/>
                <w:kern w:val="0"/>
                <w:sz w:val="24"/>
                <w14:textFill>
                  <w14:solidFill>
                    <w14:schemeClr w14:val="tx1"/>
                  </w14:solidFill>
                </w14:textFill>
              </w:rPr>
              <w:t>9、提供≥2个公网IP地址,为保证采购人网站ICP备</w:t>
            </w:r>
            <w:r>
              <w:rPr>
                <w:rFonts w:hint="eastAsia" w:cs="宋体" w:asciiTheme="majorEastAsia" w:hAnsiTheme="majorEastAsia" w:eastAsiaTheme="majorEastAsia"/>
                <w:kern w:val="0"/>
                <w:sz w:val="24"/>
              </w:rPr>
              <w:t>案信息的连续性，要求所提供IPv4地址范围应包含现有备案 IP 地址段（117.141.153.134-135），不对现有</w:t>
            </w:r>
            <w:r>
              <w:rPr>
                <w:rFonts w:hint="eastAsia" w:cs="宋体" w:asciiTheme="majorEastAsia" w:hAnsiTheme="majorEastAsia" w:eastAsiaTheme="majorEastAsia"/>
                <w:color w:val="000000" w:themeColor="text1"/>
                <w:kern w:val="0"/>
                <w:sz w:val="24"/>
                <w14:textFill>
                  <w14:solidFill>
                    <w14:schemeClr w14:val="tx1"/>
                  </w14:solidFill>
                </w14:textFill>
              </w:rPr>
              <w:t>业务系统产生影响。</w:t>
            </w:r>
          </w:p>
          <w:p w14:paraId="4A2DFF42">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ascii="宋体" w:hAnsi="宋体"/>
              </w:rPr>
              <w:t>▲</w:t>
            </w:r>
            <w:r>
              <w:rPr>
                <w:rFonts w:hint="eastAsia" w:cs="宋体" w:asciiTheme="majorEastAsia" w:hAnsiTheme="majorEastAsia" w:eastAsiaTheme="majorEastAsia"/>
                <w:color w:val="000000" w:themeColor="text1"/>
                <w:kern w:val="0"/>
                <w:sz w:val="24"/>
                <w14:textFill>
                  <w14:solidFill>
                    <w14:schemeClr w14:val="tx1"/>
                  </w14:solidFill>
                </w14:textFill>
              </w:rPr>
              <w:t>10.电路汇聚层至骨干层均为自愈网状保护，具有故障自动倒换功能，倒换时间不大于50ms，能保证各电路不会因光缆的意外阻断和部分设备的故障而中断。自愈保护是指在网络发生故障（例如光纤断）时，无需人为干预，网络自动地在极短的时间内，使业务自动从故障中恢复。保护恢复方式支持环网保护、链路保护、线性保护、链路聚合保护方式。</w:t>
            </w:r>
          </w:p>
          <w:p w14:paraId="4EF6FCC2">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ascii="宋体" w:hAnsi="宋体"/>
              </w:rPr>
              <w:t>▲</w:t>
            </w:r>
            <w:r>
              <w:rPr>
                <w:rFonts w:hint="eastAsia" w:cs="宋体" w:asciiTheme="majorEastAsia" w:hAnsiTheme="majorEastAsia" w:eastAsiaTheme="majorEastAsia"/>
                <w:color w:val="000000" w:themeColor="text1"/>
                <w:kern w:val="0"/>
                <w:sz w:val="24"/>
                <w14:textFill>
                  <w14:solidFill>
                    <w14:schemeClr w14:val="tx1"/>
                  </w14:solidFill>
                </w14:textFill>
              </w:rPr>
              <w:t>11.提供5G区域网络覆盖连接服务，接入网络流量不低于800G/月，配套系统云管理平台及5G 网关2台。5G网关需采用5G贴片卡的方式，能够查看5G卡的卡状态、激活时间、本月流量详情；提供管理平台和小程序，管理平台和小程序共用一个账号密码，管理平台和小程序的功能如下：</w:t>
            </w:r>
          </w:p>
          <w:p w14:paraId="02D3CB0C">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（1）管理平台：</w:t>
            </w:r>
          </w:p>
          <w:p w14:paraId="6E8DF6F4">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5G网关管理：能够查看5G网关在线状态、IMEI、ICCID、IMSI等信息，具备对5G网关WiFi远程配置的功能和基于MAC地址的黑白名单功能，支持远程重启，信号强度监控，设备列表导出，支持固件升级，具备DNN远程配置功能，能够查询流量使用情况。</w:t>
            </w:r>
          </w:p>
          <w:p w14:paraId="0A47B2C3">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5G卡管理：能够查看5G卡的卡状态、激活时间、本月流量详情。</w:t>
            </w:r>
          </w:p>
          <w:p w14:paraId="34E9742D">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（2）小程序：</w:t>
            </w:r>
          </w:p>
          <w:p w14:paraId="55A8090A">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5G网关信息：能够查看配套5G网关的ICCID、MSISDN、当前网络制式、设备型号、设备状态、流量使用情况、信号强度等信息，能够通过扫配套5G网关的IMEI条码来快速查询该设备相关信息。</w:t>
            </w:r>
          </w:p>
          <w:p w14:paraId="071C7127">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ascii="宋体" w:hAnsi="宋体"/>
              </w:rPr>
              <w:t>▲</w:t>
            </w:r>
            <w:r>
              <w:rPr>
                <w:rFonts w:hint="eastAsia" w:cs="宋体" w:asciiTheme="majorEastAsia" w:hAnsiTheme="majorEastAsia" w:eastAsiaTheme="majorEastAsia"/>
                <w:color w:val="000000" w:themeColor="text1"/>
                <w:kern w:val="0"/>
                <w:sz w:val="24"/>
                <w14:textFill>
                  <w14:solidFill>
                    <w14:schemeClr w14:val="tx1"/>
                  </w14:solidFill>
                </w14:textFill>
              </w:rPr>
              <w:t>13.提供基于云网资源及先进桌面虚拟化技术的办公服务，含2套智云一体机服务，其中：软终端性能参数：CPU8核、内存 16GB、系统盘80G、数据盘 500G，支持主流操作系统，包括Windows server 2016、Win10、UOS、KylinOS；配套提供平板设备，内存配置6G,存储128G；配套显示屏设备，23.8寸，分辨率1920*1080，IPS显示屏，USB 接口数量大于等于 4 个，RJ45网口1个，3,5mm耳机孔1个，HDMI输入口1个，支持5G全网通，支持双频WIFI5和BT5.0及以上；支持本地系统和云系统双模式，支持双模式自由选择，可实现非APP方式启动和模式切换。服务功能包含：</w:t>
            </w:r>
          </w:p>
          <w:p w14:paraId="009AE4D5">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1）提供AI秘书功能，AI秘书需接入DeepSeek大模型和通义开源大模型，支持大模型灵活切换，面向多场景提供交互式会话能力，提供基于DeepSeek的深度思考模式，深度思考内容可查看可折叠，输出更优的多维度分析和逻辑推理能力，打造智慧化办公体验。</w:t>
            </w:r>
          </w:p>
          <w:p w14:paraId="795C3354">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（2）软客户端支持双屏屏幕扩展显示需求，满足复杂应用场景办公需求;</w:t>
            </w:r>
          </w:p>
          <w:p w14:paraId="3894B6F8">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（3）提供电脑搬家能力，将本地电脑应用、文件数据一键搬家到云电脑中，实现新、老电脑之间的应用/文件数据传输和迁移。</w:t>
            </w:r>
          </w:p>
          <w:p w14:paraId="2A473597">
            <w:pPr>
              <w:widowControl/>
              <w:spacing w:line="440" w:lineRule="exact"/>
              <w:jc w:val="lef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（4）支持用户一键上传客户端日志，便于后台排查分析故障原因。</w:t>
            </w:r>
          </w:p>
        </w:tc>
      </w:tr>
      <w:tr w14:paraId="76D4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trPr>
        <w:tc>
          <w:tcPr>
            <w:tcW w:w="356" w:type="pct"/>
            <w:tcMar>
              <w:top w:w="0" w:type="dxa"/>
              <w:left w:w="108" w:type="dxa"/>
              <w:bottom w:w="0" w:type="dxa"/>
              <w:right w:w="108" w:type="dxa"/>
            </w:tcMar>
            <w:vAlign w:val="center"/>
          </w:tcPr>
          <w:p w14:paraId="24F21F59">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商</w:t>
            </w:r>
          </w:p>
          <w:p w14:paraId="2CD88F2B">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p>
          <w:p w14:paraId="6AF9BC83">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务</w:t>
            </w:r>
          </w:p>
          <w:p w14:paraId="74DB7449">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p>
          <w:p w14:paraId="07135B3C">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条</w:t>
            </w:r>
          </w:p>
          <w:p w14:paraId="398FE73A">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p>
          <w:p w14:paraId="0450C685">
            <w:pPr>
              <w:widowControl/>
              <w:spacing w:line="440" w:lineRule="exact"/>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款</w:t>
            </w:r>
          </w:p>
        </w:tc>
        <w:tc>
          <w:tcPr>
            <w:tcW w:w="382" w:type="pct"/>
            <w:tcMar>
              <w:top w:w="0" w:type="dxa"/>
              <w:left w:w="108" w:type="dxa"/>
              <w:bottom w:w="0" w:type="dxa"/>
              <w:right w:w="108" w:type="dxa"/>
            </w:tcMar>
          </w:tcPr>
          <w:p w14:paraId="48ABA686">
            <w:pPr>
              <w:widowControl/>
              <w:spacing w:line="440" w:lineRule="exact"/>
              <w:jc w:val="left"/>
              <w:rPr>
                <w:rFonts w:asciiTheme="majorEastAsia" w:hAnsiTheme="majorEastAsia" w:eastAsiaTheme="majorEastAsia"/>
                <w:color w:val="000000" w:themeColor="text1"/>
                <w:sz w:val="24"/>
                <w14:textFill>
                  <w14:solidFill>
                    <w14:schemeClr w14:val="tx1"/>
                  </w14:solidFill>
                </w14:textFill>
              </w:rPr>
            </w:pPr>
          </w:p>
        </w:tc>
        <w:tc>
          <w:tcPr>
            <w:tcW w:w="4261" w:type="pct"/>
            <w:gridSpan w:val="4"/>
            <w:tcMar>
              <w:top w:w="0" w:type="dxa"/>
              <w:left w:w="108" w:type="dxa"/>
              <w:bottom w:w="0" w:type="dxa"/>
              <w:right w:w="108" w:type="dxa"/>
            </w:tcMar>
          </w:tcPr>
          <w:p w14:paraId="190F6EF2">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一、签订合同日期：自成交通知书发出之日起20日内。</w:t>
            </w:r>
          </w:p>
          <w:p w14:paraId="0C99B99B">
            <w:pPr>
              <w:adjustRightInd w:val="0"/>
              <w:spacing w:line="440" w:lineRule="exact"/>
              <w:jc w:val="left"/>
              <w:rPr>
                <w:rFonts w:ascii="宋体" w:hAnsi="宋体" w:eastAsiaTheme="majorEastAsia"/>
                <w:color w:val="000000" w:themeColor="text1"/>
                <w:sz w:val="24"/>
                <w14:textFill>
                  <w14:solidFill>
                    <w14:schemeClr w14:val="tx1"/>
                  </w14:solidFill>
                </w14:textFill>
              </w:rPr>
            </w:pPr>
            <w:r>
              <w:rPr>
                <w:rFonts w:hint="eastAsia" w:ascii="宋体" w:hAnsi="宋体"/>
              </w:rPr>
              <w:t>▲</w:t>
            </w:r>
            <w:r>
              <w:rPr>
                <w:rFonts w:hint="eastAsia" w:asciiTheme="majorEastAsia" w:hAnsiTheme="majorEastAsia" w:eastAsiaTheme="majorEastAsia"/>
                <w:color w:val="000000" w:themeColor="text1"/>
                <w:sz w:val="24"/>
                <w14:textFill>
                  <w14:solidFill>
                    <w14:schemeClr w14:val="tx1"/>
                  </w14:solidFill>
                </w14:textFill>
              </w:rPr>
              <w:t>二、提交服务成果时间及服务期：</w:t>
            </w:r>
            <w:r>
              <w:rPr>
                <w:rFonts w:hint="eastAsia" w:asciiTheme="majorEastAsia" w:hAnsiTheme="majorEastAsia" w:eastAsiaTheme="majorEastAsia"/>
                <w:color w:val="000000" w:themeColor="text1"/>
                <w:kern w:val="0"/>
                <w:sz w:val="24"/>
                <w14:textFill>
                  <w14:solidFill>
                    <w14:schemeClr w14:val="tx1"/>
                  </w14:solidFill>
                </w14:textFill>
              </w:rPr>
              <w:t>自签订合同之日起</w:t>
            </w:r>
            <w:r>
              <w:rPr>
                <w:rFonts w:hint="eastAsia" w:asciiTheme="majorEastAsia" w:hAnsiTheme="majorEastAsia" w:eastAsiaTheme="majorEastAsia"/>
                <w:color w:val="000000" w:themeColor="text1"/>
                <w:sz w:val="24"/>
                <w14:textFill>
                  <w14:solidFill>
                    <w14:schemeClr w14:val="tx1"/>
                  </w14:solidFill>
                </w14:textFill>
              </w:rPr>
              <w:t>3</w:t>
            </w:r>
            <w:r>
              <w:rPr>
                <w:rFonts w:hint="eastAsia" w:asciiTheme="majorEastAsia" w:hAnsiTheme="majorEastAsia" w:eastAsiaTheme="majorEastAsia"/>
                <w:color w:val="000000" w:themeColor="text1"/>
                <w:kern w:val="0"/>
                <w:sz w:val="24"/>
                <w14:textFill>
                  <w14:solidFill>
                    <w14:schemeClr w14:val="tx1"/>
                  </w14:solidFill>
                </w14:textFill>
              </w:rPr>
              <w:t>个日历日内交付使用；服务期为交付使用后一年。</w:t>
            </w:r>
          </w:p>
          <w:p w14:paraId="2078006F">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宋体" w:hAnsi="宋体"/>
              </w:rPr>
              <w:t>▲</w:t>
            </w:r>
            <w:r>
              <w:rPr>
                <w:rFonts w:hint="eastAsia" w:asciiTheme="majorEastAsia" w:hAnsiTheme="majorEastAsia" w:eastAsiaTheme="majorEastAsia"/>
                <w:color w:val="000000" w:themeColor="text1"/>
                <w:sz w:val="24"/>
                <w14:textFill>
                  <w14:solidFill>
                    <w14:schemeClr w14:val="tx1"/>
                  </w14:solidFill>
                </w14:textFill>
              </w:rPr>
              <w:t>三、提交服务成果地点：</w:t>
            </w:r>
            <w:r>
              <w:rPr>
                <w:rFonts w:hint="eastAsia" w:cs="宋体" w:asciiTheme="majorEastAsia" w:hAnsiTheme="majorEastAsia" w:eastAsiaTheme="majorEastAsia"/>
                <w:color w:val="000000" w:themeColor="text1"/>
                <w:kern w:val="0"/>
                <w:sz w:val="24"/>
                <w14:textFill>
                  <w14:solidFill>
                    <w14:schemeClr w14:val="tx1"/>
                  </w14:solidFill>
                </w14:textFill>
              </w:rPr>
              <w:t>采购人指定地点</w:t>
            </w:r>
          </w:p>
          <w:p w14:paraId="7A998551">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宋体" w:hAnsi="宋体"/>
              </w:rPr>
              <w:t>▲</w:t>
            </w:r>
            <w:r>
              <w:rPr>
                <w:rFonts w:hint="eastAsia" w:asciiTheme="majorEastAsia" w:hAnsiTheme="majorEastAsia" w:eastAsiaTheme="majorEastAsia"/>
                <w:color w:val="000000" w:themeColor="text1"/>
                <w:sz w:val="24"/>
                <w14:textFill>
                  <w14:solidFill>
                    <w14:schemeClr w14:val="tx1"/>
                  </w14:solidFill>
                </w14:textFill>
              </w:rPr>
              <w:t>四、交货方式：现场交货。</w:t>
            </w:r>
          </w:p>
          <w:p w14:paraId="76AFF2BA">
            <w:pPr>
              <w:widowControl/>
              <w:shd w:val="clear" w:color="auto" w:fill="FFFFFF"/>
              <w:spacing w:line="440" w:lineRule="exact"/>
              <w:rPr>
                <w:rFonts w:ascii="宋体" w:hAnsi="宋体"/>
                <w:szCs w:val="21"/>
              </w:rPr>
            </w:pPr>
            <w:r>
              <w:rPr>
                <w:rFonts w:hint="eastAsia" w:ascii="宋体" w:hAnsi="宋体"/>
              </w:rPr>
              <w:t>▲</w:t>
            </w:r>
            <w:r>
              <w:rPr>
                <w:rFonts w:hint="eastAsia" w:ascii="宋体" w:hAnsi="宋体"/>
                <w:szCs w:val="21"/>
              </w:rPr>
              <w:t>五、应标真实性要求：</w:t>
            </w:r>
          </w:p>
          <w:p w14:paraId="2219057D">
            <w:pPr>
              <w:widowControl/>
              <w:shd w:val="clear" w:color="auto" w:fill="FFFFFF"/>
              <w:spacing w:line="440" w:lineRule="exact"/>
              <w:rPr>
                <w:rFonts w:ascii="宋体" w:hAnsi="宋体"/>
                <w:szCs w:val="21"/>
              </w:rPr>
            </w:pPr>
            <w:r>
              <w:rPr>
                <w:rFonts w:hint="eastAsia" w:ascii="宋体" w:hAnsi="宋体"/>
                <w:szCs w:val="21"/>
              </w:rPr>
              <w:t>1、招标文件成交注“▲”号的条款为实质性条款或指标，要求必须满足或优于，成交人须在成交结果公示起2个日历日内按照条款要求提供相关证明材料。若不按时提供全部材料，则视为虚假应标，投标无效。采购人有权追究该投标人相关法律责任。</w:t>
            </w:r>
          </w:p>
          <w:p w14:paraId="0E973D1D">
            <w:pPr>
              <w:widowControl/>
              <w:shd w:val="clear" w:color="auto" w:fill="FFFFFF"/>
              <w:spacing w:line="440" w:lineRule="exact"/>
              <w:rPr>
                <w:rFonts w:ascii="宋体" w:hAnsi="宋体"/>
                <w:szCs w:val="21"/>
              </w:rPr>
            </w:pPr>
            <w:r>
              <w:rPr>
                <w:rFonts w:hint="eastAsia" w:ascii="宋体" w:hAnsi="宋体"/>
                <w:szCs w:val="21"/>
              </w:rPr>
              <w:t>▲2、参加</w:t>
            </w:r>
            <w:r>
              <w:rPr>
                <w:rFonts w:ascii="宋体" w:hAnsi="宋体"/>
                <w:szCs w:val="21"/>
              </w:rPr>
              <w:t>供应商须为</w:t>
            </w:r>
            <w:r>
              <w:rPr>
                <w:rFonts w:hint="eastAsia" w:ascii="宋体" w:hAnsi="宋体"/>
                <w:szCs w:val="21"/>
              </w:rPr>
              <w:t>国内注册（指按国家有关规定要求注册的），符合《中华人民共和国政府采购法》第二十二条规定，具备法人资格的供应商或其分支机构。</w:t>
            </w:r>
          </w:p>
          <w:p w14:paraId="53FB171C">
            <w:pPr>
              <w:widowControl/>
              <w:shd w:val="clear" w:color="auto" w:fill="FFFFFF"/>
              <w:spacing w:line="440" w:lineRule="exact"/>
              <w:rPr>
                <w:rFonts w:ascii="宋体" w:hAnsi="宋体"/>
                <w:szCs w:val="21"/>
              </w:rPr>
            </w:pPr>
            <w:r>
              <w:rPr>
                <w:rFonts w:hint="eastAsia" w:ascii="宋体" w:hAnsi="宋体"/>
                <w:szCs w:val="21"/>
              </w:rPr>
              <w:t>▲3、要求成交人对所选用网络技术基于分组交换、面向连接等特性提供科普中国(或中国科技网，或中国科普博览，或同等级别) 网站截图证明材料，并加盖供应商公章(成交后提供有效证书复印件无法提供则视为虚假应标，采购人有权进行废标外理并追究该投标人相关法律责任)。</w:t>
            </w:r>
          </w:p>
          <w:p w14:paraId="2DF93E06">
            <w:pPr>
              <w:adjustRightInd w:val="0"/>
              <w:spacing w:line="440" w:lineRule="exact"/>
              <w:jc w:val="left"/>
              <w:rPr>
                <w:rFonts w:ascii="宋体" w:hAnsi="宋体"/>
              </w:rPr>
            </w:pPr>
            <w:r>
              <w:rPr>
                <w:rFonts w:hint="eastAsia" w:ascii="宋体" w:hAnsi="宋体"/>
                <w:szCs w:val="21"/>
              </w:rPr>
              <w:t>▲4</w:t>
            </w:r>
            <w:r>
              <w:rPr>
                <w:rFonts w:ascii="宋体" w:hAnsi="宋体"/>
                <w:szCs w:val="21"/>
              </w:rPr>
              <w:t>、</w:t>
            </w:r>
            <w:r>
              <w:rPr>
                <w:rFonts w:hint="eastAsia" w:ascii="宋体" w:hAnsi="宋体"/>
                <w:szCs w:val="21"/>
              </w:rPr>
              <w:t>为保障履约能力与售后服务质量，供应商需具备GB/T23793-2017供应商综合实力评价认证AAA证书、ISO 37301:2021 合规管理体系认证证书。成交人需提供相关证书复印件并加盖公章，供采购人核验。若不按时提供全部材料，则视为虚假应标，投标无效。采购人有权追究该投标人虚假应标的相关法律责任。</w:t>
            </w:r>
          </w:p>
          <w:p w14:paraId="09D8FA23">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宋体" w:hAnsi="宋体"/>
              </w:rPr>
              <w:t>六</w:t>
            </w:r>
            <w:r>
              <w:rPr>
                <w:rFonts w:hint="eastAsia" w:asciiTheme="majorEastAsia" w:hAnsiTheme="majorEastAsia" w:eastAsiaTheme="majorEastAsia"/>
                <w:color w:val="000000" w:themeColor="text1"/>
                <w:sz w:val="24"/>
                <w14:textFill>
                  <w14:solidFill>
                    <w14:schemeClr w14:val="tx1"/>
                  </w14:solidFill>
                </w14:textFill>
              </w:rPr>
              <w:t>、售后服务要求：</w:t>
            </w:r>
          </w:p>
          <w:p w14:paraId="16D1C9E7">
            <w:pPr>
              <w:widowControl/>
              <w:shd w:val="clear" w:color="auto" w:fill="FFFFFF"/>
              <w:spacing w:line="440" w:lineRule="exact"/>
              <w:rPr>
                <w:rFonts w:asciiTheme="majorEastAsia" w:hAnsiTheme="majorEastAsia" w:eastAsiaTheme="majorEastAsia"/>
                <w:color w:val="000000" w:themeColor="text1"/>
                <w:sz w:val="24"/>
                <w:highlight w:val="green"/>
                <w14:textFill>
                  <w14:solidFill>
                    <w14:schemeClr w14:val="tx1"/>
                  </w14:solidFill>
                </w14:textFill>
              </w:rPr>
            </w:pPr>
            <w:r>
              <w:rPr>
                <w:rFonts w:hint="eastAsia" w:ascii="宋体" w:hAnsi="宋体"/>
              </w:rPr>
              <w:t>▲</w:t>
            </w:r>
            <w:r>
              <w:rPr>
                <w:rFonts w:hint="eastAsia" w:asciiTheme="majorEastAsia" w:hAnsiTheme="majorEastAsia" w:eastAsiaTheme="majorEastAsia"/>
                <w:color w:val="000000" w:themeColor="text1"/>
                <w:sz w:val="24"/>
                <w14:textFill>
                  <w14:solidFill>
                    <w14:schemeClr w14:val="tx1"/>
                  </w14:solidFill>
                </w14:textFill>
              </w:rPr>
              <w:t>1、服务期 1年（自</w:t>
            </w:r>
            <w:r>
              <w:rPr>
                <w:rFonts w:hint="eastAsia" w:asciiTheme="majorEastAsia" w:hAnsiTheme="majorEastAsia" w:eastAsiaTheme="majorEastAsia"/>
                <w:bCs/>
                <w:color w:val="000000" w:themeColor="text1"/>
                <w:sz w:val="24"/>
                <w14:textFill>
                  <w14:solidFill>
                    <w14:schemeClr w14:val="tx1"/>
                  </w14:solidFill>
                </w14:textFill>
              </w:rPr>
              <w:t>提交服务成果</w:t>
            </w:r>
            <w:r>
              <w:rPr>
                <w:rFonts w:hint="eastAsia" w:asciiTheme="majorEastAsia" w:hAnsiTheme="majorEastAsia" w:eastAsiaTheme="majorEastAsia"/>
                <w:color w:val="000000" w:themeColor="text1"/>
                <w:sz w:val="24"/>
                <w14:textFill>
                  <w14:solidFill>
                    <w14:schemeClr w14:val="tx1"/>
                  </w14:solidFill>
                </w14:textFill>
              </w:rPr>
              <w:t>并验收合格之日起计）</w:t>
            </w:r>
            <w:r>
              <w:rPr>
                <w:rFonts w:hint="eastAsia" w:asciiTheme="majorEastAsia" w:hAnsiTheme="majorEastAsia" w:eastAsiaTheme="majorEastAsia"/>
                <w:bCs/>
                <w:color w:val="000000" w:themeColor="text1"/>
                <w:sz w:val="24"/>
                <w14:textFill>
                  <w14:solidFill>
                    <w14:schemeClr w14:val="tx1"/>
                  </w14:solidFill>
                </w14:textFill>
              </w:rPr>
              <w:t>。</w:t>
            </w:r>
          </w:p>
          <w:p w14:paraId="17E911D1">
            <w:pPr>
              <w:pStyle w:val="5"/>
              <w:spacing w:line="440" w:lineRule="exact"/>
              <w:ind w:left="6" w:leftChars="3"/>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在服务期限内，应严格遵守《中华人民共和国电信条例》，维护双方权益，应按信息产业部颁布的《电信服务规范》相关要求，保证采购人租用线路畅通及安全使用；</w:t>
            </w:r>
          </w:p>
          <w:p w14:paraId="7F0E6DFE">
            <w:pPr>
              <w:pStyle w:val="5"/>
              <w:spacing w:line="440" w:lineRule="exact"/>
              <w:ind w:left="6" w:leftChars="3"/>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提供7×24小时热线电话服务,并指定专人负责上门受理调试日常维护及平时协助采购人维护检测等工作；</w:t>
            </w:r>
          </w:p>
          <w:p w14:paraId="58204F64">
            <w:pPr>
              <w:pStyle w:val="5"/>
              <w:spacing w:line="440" w:lineRule="exact"/>
              <w:ind w:left="6" w:leftChars="3"/>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4、保证网络的畅通，负责运营商到采购单位主干光缆所有设备的免费运行维护，如光收发器设备等，如果主干网络出现问题，必须在接到报告后2个小时内到达现场，负责排除故障，直到网络恢复正常，如设备故障在8小时内无法解决的应免费提供同类型设备，确保网络正常运行；</w:t>
            </w:r>
          </w:p>
          <w:p w14:paraId="58C7F47C">
            <w:pPr>
              <w:pStyle w:val="5"/>
              <w:spacing w:line="440" w:lineRule="exact"/>
              <w:ind w:left="6" w:leftChars="3"/>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5、采购单位网络需要扩展或升级时，负责免费提供相应解决方案；因</w:t>
            </w:r>
            <w:r>
              <w:rPr>
                <w:rFonts w:hint="eastAsia" w:asciiTheme="majorEastAsia" w:hAnsiTheme="majorEastAsia" w:eastAsiaTheme="majorEastAsia"/>
                <w:color w:val="000000" w:themeColor="text1"/>
                <w:sz w:val="24"/>
                <w:szCs w:val="24"/>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施工、网络割接等原因影响宽带网络运行的，应当提前一天通知采购单位，并且尽快消除故障、恢复通信线路；</w:t>
            </w:r>
          </w:p>
          <w:p w14:paraId="5C9D71BE">
            <w:pPr>
              <w:spacing w:line="440" w:lineRule="exact"/>
              <w:rPr>
                <w:rFonts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6、</w:t>
            </w:r>
            <w:r>
              <w:rPr>
                <w:rFonts w:hint="eastAsia" w:asciiTheme="majorEastAsia" w:hAnsiTheme="majorEastAsia" w:eastAsiaTheme="majorEastAsia"/>
                <w:color w:val="000000" w:themeColor="text1"/>
                <w:sz w:val="24"/>
                <w14:textFill>
                  <w14:solidFill>
                    <w14:schemeClr w14:val="tx1"/>
                  </w14:solidFill>
                </w14:textFill>
              </w:rPr>
              <w:t>供应商</w:t>
            </w:r>
            <w:r>
              <w:rPr>
                <w:rFonts w:hint="eastAsia" w:asciiTheme="majorEastAsia" w:hAnsiTheme="majorEastAsia" w:eastAsiaTheme="majorEastAsia"/>
                <w:color w:val="000000" w:themeColor="text1"/>
                <w:kern w:val="0"/>
                <w:sz w:val="24"/>
                <w14:textFill>
                  <w14:solidFill>
                    <w14:schemeClr w14:val="tx1"/>
                  </w14:solidFill>
                </w14:textFill>
              </w:rPr>
              <w:t>应具备足够的专业维护力量,本地专业维护人员人数≥2人；提供365×24小时的售后服务响应。</w:t>
            </w:r>
          </w:p>
          <w:p w14:paraId="1F2ADF8E">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七、其他要求：</w:t>
            </w:r>
          </w:p>
          <w:p w14:paraId="76EC1AE2">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宋体" w:hAnsi="宋体"/>
              </w:rPr>
              <w:t>▲</w:t>
            </w:r>
            <w:r>
              <w:rPr>
                <w:rFonts w:hint="eastAsia" w:asciiTheme="majorEastAsia" w:hAnsiTheme="majorEastAsia" w:eastAsiaTheme="majorEastAsia"/>
                <w:color w:val="000000" w:themeColor="text1"/>
                <w:sz w:val="24"/>
                <w14:textFill>
                  <w14:solidFill>
                    <w14:schemeClr w14:val="tx1"/>
                  </w14:solidFill>
                </w14:textFill>
              </w:rPr>
              <w:t>1、响应总报价为采购人指定地点的现场交货价，包括：</w:t>
            </w:r>
          </w:p>
          <w:p w14:paraId="3B2E986B">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（1）服务的价格；</w:t>
            </w:r>
          </w:p>
          <w:p w14:paraId="16C1B604">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（2）必要的保险费用和各项税费；</w:t>
            </w:r>
          </w:p>
          <w:p w14:paraId="5EFEDEA2">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（3）到学校进行现场验收的费用；</w:t>
            </w:r>
          </w:p>
          <w:p w14:paraId="3B719CEE">
            <w:pPr>
              <w:adjustRightInd w:val="0"/>
              <w:spacing w:line="440" w:lineRule="exact"/>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（4）其他：售后服务所产生的费用。</w:t>
            </w:r>
          </w:p>
          <w:p w14:paraId="1FBE713F">
            <w:pPr>
              <w:widowControl/>
              <w:spacing w:line="440" w:lineRule="exact"/>
              <w:jc w:val="left"/>
              <w:rPr>
                <w:rFonts w:asciiTheme="majorEastAsia" w:hAnsiTheme="majorEastAsia" w:eastAsiaTheme="majorEastAsia"/>
                <w:color w:val="000000" w:themeColor="text1"/>
                <w:sz w:val="24"/>
                <w:highlight w:val="green"/>
                <w14:textFill>
                  <w14:solidFill>
                    <w14:schemeClr w14:val="tx1"/>
                  </w14:solidFill>
                </w14:textFill>
              </w:rPr>
            </w:pPr>
            <w:r>
              <w:rPr>
                <w:rFonts w:hint="eastAsia" w:ascii="宋体" w:hAnsi="宋体"/>
              </w:rPr>
              <w:t>▲</w:t>
            </w:r>
            <w:r>
              <w:rPr>
                <w:rFonts w:hint="eastAsia" w:asciiTheme="majorEastAsia" w:hAnsiTheme="majorEastAsia" w:eastAsiaTheme="majorEastAsia"/>
                <w:color w:val="000000" w:themeColor="text1"/>
                <w:sz w:val="24"/>
                <w14:textFill>
                  <w14:solidFill>
                    <w14:schemeClr w14:val="tx1"/>
                  </w14:solidFill>
                </w14:textFill>
              </w:rPr>
              <w:t>2、付款方式：成交供应商按采购文件要求交付使用并经采购人验收合格后，采购方</w:t>
            </w:r>
            <w:r>
              <w:rPr>
                <w:rFonts w:hint="eastAsia" w:ascii="宋体" w:hAnsi="宋体"/>
                <w:color w:val="000000" w:themeColor="text1"/>
                <w:sz w:val="24"/>
                <w14:textFill>
                  <w14:solidFill>
                    <w14:schemeClr w14:val="tx1"/>
                  </w14:solidFill>
                </w14:textFill>
              </w:rPr>
              <w:t>一次性支付合同款。</w:t>
            </w:r>
          </w:p>
          <w:p w14:paraId="152CB4A4">
            <w:pPr>
              <w:spacing w:line="440" w:lineRule="exact"/>
              <w:rPr>
                <w:rFonts w:cs="宋体" w:asciiTheme="majorEastAsia" w:hAnsiTheme="majorEastAsia" w:eastAsiaTheme="majorEastAsia"/>
                <w:color w:val="000000" w:themeColor="text1"/>
                <w:kern w:val="0"/>
                <w:sz w:val="24"/>
                <w14:textFill>
                  <w14:solidFill>
                    <w14:schemeClr w14:val="tx1"/>
                  </w14:solidFill>
                </w14:textFill>
              </w:rPr>
            </w:pPr>
            <w:r>
              <w:rPr>
                <w:rFonts w:hint="eastAsia" w:ascii="宋体" w:hAnsi="宋体"/>
              </w:rPr>
              <w:t>▲</w:t>
            </w:r>
            <w:r>
              <w:rPr>
                <w:rFonts w:hint="eastAsia" w:cs="宋体" w:asciiTheme="majorEastAsia" w:hAnsiTheme="majorEastAsia" w:eastAsiaTheme="majorEastAsia"/>
                <w:color w:val="000000" w:themeColor="text1"/>
                <w:kern w:val="0"/>
                <w:sz w:val="24"/>
                <w14:textFill>
                  <w14:solidFill>
                    <w14:schemeClr w14:val="tx1"/>
                  </w14:solidFill>
                </w14:textFill>
              </w:rPr>
              <w:t>3、成交单位所提供服务必须与采购文件实质要求的技术参数相符。项目施工完成后，采购单位与成交单位进行测试验收，不满足采购文件实质性要求的，采购单位有权终止合同，由此造成的一切损失由成交单位负责。</w:t>
            </w:r>
          </w:p>
          <w:p w14:paraId="7961F632">
            <w:pPr>
              <w:spacing w:line="440" w:lineRule="exact"/>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4、本项目预算是人民币贰拾肆万元一年（￥240000.00）整，报价不能超过本预算价格。</w:t>
            </w:r>
          </w:p>
        </w:tc>
      </w:tr>
    </w:tbl>
    <w:p w14:paraId="183A6801"/>
    <w:p w14:paraId="36D46FC7"/>
    <w:p w14:paraId="51DEDC24"/>
    <w:p w14:paraId="395BA874">
      <w:pPr>
        <w:jc w:val="right"/>
        <w:rPr>
          <w:sz w:val="32"/>
          <w:szCs w:val="32"/>
        </w:rPr>
      </w:pPr>
      <w:r>
        <w:rPr>
          <w:rFonts w:hint="eastAsia"/>
          <w:sz w:val="32"/>
          <w:szCs w:val="32"/>
        </w:rPr>
        <w:t>广西金融</w:t>
      </w:r>
      <w:bookmarkStart w:id="0" w:name="_GoBack"/>
      <w:bookmarkEnd w:id="0"/>
      <w:r>
        <w:rPr>
          <w:rFonts w:hint="eastAsia"/>
          <w:sz w:val="32"/>
          <w:szCs w:val="32"/>
        </w:rPr>
        <w:t>职业技术学院</w:t>
      </w:r>
    </w:p>
    <w:p w14:paraId="480B94FB">
      <w:pPr>
        <w:jc w:val="right"/>
        <w:rPr>
          <w:sz w:val="32"/>
          <w:szCs w:val="32"/>
        </w:rPr>
      </w:pPr>
      <w:r>
        <w:rPr>
          <w:rFonts w:hint="eastAsia"/>
          <w:sz w:val="32"/>
          <w:szCs w:val="32"/>
        </w:rPr>
        <w:t>2025年5月</w:t>
      </w:r>
      <w:r>
        <w:rPr>
          <w:rFonts w:hint="eastAsia"/>
          <w:sz w:val="32"/>
          <w:szCs w:val="32"/>
          <w:lang w:val="en-US" w:eastAsia="zh-CN"/>
        </w:rPr>
        <w:t>29</w:t>
      </w:r>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A3"/>
    <w:rsid w:val="00177E56"/>
    <w:rsid w:val="00561543"/>
    <w:rsid w:val="005C4E4D"/>
    <w:rsid w:val="007369DD"/>
    <w:rsid w:val="00A450A3"/>
    <w:rsid w:val="00AD0DEC"/>
    <w:rsid w:val="00C82691"/>
    <w:rsid w:val="00F65D5C"/>
    <w:rsid w:val="00FA04AC"/>
    <w:rsid w:val="07AA25B7"/>
    <w:rsid w:val="095075AB"/>
    <w:rsid w:val="0BEF14E6"/>
    <w:rsid w:val="0CFB58CF"/>
    <w:rsid w:val="0D4F0558"/>
    <w:rsid w:val="0FCD3303"/>
    <w:rsid w:val="12147FB8"/>
    <w:rsid w:val="18623DB3"/>
    <w:rsid w:val="188C387F"/>
    <w:rsid w:val="193862D5"/>
    <w:rsid w:val="1A467E0F"/>
    <w:rsid w:val="1B121C22"/>
    <w:rsid w:val="1D530578"/>
    <w:rsid w:val="1DB225E5"/>
    <w:rsid w:val="1E1D67BA"/>
    <w:rsid w:val="1EF9790D"/>
    <w:rsid w:val="254B69A7"/>
    <w:rsid w:val="259F4BF2"/>
    <w:rsid w:val="2D8E41AF"/>
    <w:rsid w:val="31E47889"/>
    <w:rsid w:val="32CD6737"/>
    <w:rsid w:val="32E12E85"/>
    <w:rsid w:val="33195B1D"/>
    <w:rsid w:val="33784CD4"/>
    <w:rsid w:val="39B512A2"/>
    <w:rsid w:val="3B575EEB"/>
    <w:rsid w:val="3C475061"/>
    <w:rsid w:val="3F2D1FA5"/>
    <w:rsid w:val="410C5AF9"/>
    <w:rsid w:val="432B0845"/>
    <w:rsid w:val="456D21BF"/>
    <w:rsid w:val="47615EF9"/>
    <w:rsid w:val="48145249"/>
    <w:rsid w:val="4A8C37C2"/>
    <w:rsid w:val="4AAF54CA"/>
    <w:rsid w:val="4BEC1145"/>
    <w:rsid w:val="4C220B74"/>
    <w:rsid w:val="4CA93FF9"/>
    <w:rsid w:val="4CBE274F"/>
    <w:rsid w:val="53FB7B01"/>
    <w:rsid w:val="55BB4FFC"/>
    <w:rsid w:val="59055863"/>
    <w:rsid w:val="5AAB260F"/>
    <w:rsid w:val="5DE43819"/>
    <w:rsid w:val="5E0B3D6C"/>
    <w:rsid w:val="67BA77CD"/>
    <w:rsid w:val="6C9062C4"/>
    <w:rsid w:val="775A5C4B"/>
    <w:rsid w:val="775C12B4"/>
    <w:rsid w:val="788D330F"/>
    <w:rsid w:val="7A8B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Plain Text"/>
    <w:basedOn w:val="1"/>
    <w:next w:val="1"/>
    <w:qFormat/>
    <w:uiPriority w:val="0"/>
    <w:rPr>
      <w:rFonts w:ascii="宋体" w:hAnsi="Courier New"/>
      <w:szCs w:val="20"/>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unhideWhenUsed/>
    <w:qFormat/>
    <w:uiPriority w:val="99"/>
    <w:rPr>
      <w:sz w:val="21"/>
      <w:szCs w:val="21"/>
    </w:rPr>
  </w:style>
  <w:style w:type="paragraph" w:customStyle="1" w:styleId="12">
    <w:name w:val="样式 0正文 + 首行缩进:  2 字符1"/>
    <w:basedOn w:val="1"/>
    <w:qFormat/>
    <w:uiPriority w:val="99"/>
    <w:pPr>
      <w:spacing w:line="360" w:lineRule="auto"/>
      <w:ind w:firstLine="200" w:firstLineChars="200"/>
    </w:pPr>
    <w:rPr>
      <w:szCs w:val="20"/>
    </w:rPr>
  </w:style>
  <w:style w:type="character" w:customStyle="1" w:styleId="13">
    <w:name w:val="页眉 字符"/>
    <w:basedOn w:val="10"/>
    <w:link w:val="8"/>
    <w:qFormat/>
    <w:uiPriority w:val="0"/>
    <w:rPr>
      <w:rFonts w:ascii="Times New Roman" w:hAnsi="Times New Roman" w:eastAsia="宋体" w:cs="Times New Roman"/>
      <w:kern w:val="2"/>
      <w:sz w:val="18"/>
      <w:szCs w:val="18"/>
    </w:rPr>
  </w:style>
  <w:style w:type="character" w:customStyle="1" w:styleId="14">
    <w:name w:val="页脚 字符"/>
    <w:basedOn w:val="10"/>
    <w:link w:val="7"/>
    <w:qFormat/>
    <w:uiPriority w:val="0"/>
    <w:rPr>
      <w:rFonts w:ascii="Times New Roman" w:hAnsi="Times New Roman" w:eastAsia="宋体" w:cs="Times New Roman"/>
      <w:kern w:val="2"/>
      <w:sz w:val="18"/>
      <w:szCs w:val="18"/>
    </w:rPr>
  </w:style>
  <w:style w:type="character" w:customStyle="1" w:styleId="15">
    <w:name w:val="批注框文本 字符"/>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2612</Words>
  <Characters>2893</Characters>
  <Lines>21</Lines>
  <Paragraphs>5</Paragraphs>
  <TotalTime>134</TotalTime>
  <ScaleCrop>false</ScaleCrop>
  <LinksUpToDate>false</LinksUpToDate>
  <CharactersWithSpaces>2909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2025-02-21T01:22:00Z</dcterms:created>
  <dc:creator>Administrator</dc:creator>
  <cp:lastModifiedBy>spring</cp:lastModifiedBy>
  <dcterms:modified xsi:type="dcterms:W3CDTF">2025-05-29T03:47:46Z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F22258129E7541E69894C9A171887443</vt:lpwstr>
  </property>
  <property fmtid="{D5CDD505-2E9C-101B-9397-08002B2CF9AE}" pid="4" name="KSOTemplateDocerSaveRecord">
    <vt:lpwstr>eyJoZGlkIjoiZGU4ZDJhNDJlY2RiYTNiMzQ1NzkwOTQzNTE3NWRjODEiLCJ1c2VySWQiOiI5ODQwODE3MjkifQ==</vt:lpwstr>
  </property>
</Properties>
</file>