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2025年网络接入服务采购需求</w:t>
      </w:r>
    </w:p>
    <w:tbl>
      <w:tblPr>
        <w:tblStyle w:val="12"/>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20"/>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56" w:type="dxa"/>
            <w:gridSpan w:val="2"/>
            <w:vAlign w:val="center"/>
          </w:tcPr>
          <w:p>
            <w:pPr>
              <w:spacing w:line="400" w:lineRule="exact"/>
              <w:jc w:val="center"/>
              <w:rPr>
                <w:rFonts w:hint="eastAsia" w:hAnsi="宋体" w:cs="宋体"/>
                <w:sz w:val="24"/>
                <w:szCs w:val="24"/>
              </w:rPr>
            </w:pPr>
            <w:r>
              <w:rPr>
                <w:rFonts w:hint="eastAsia" w:hAnsi="宋体" w:cs="宋体"/>
                <w:sz w:val="24"/>
                <w:szCs w:val="24"/>
              </w:rPr>
              <w:t>采购项目名称</w:t>
            </w:r>
          </w:p>
        </w:tc>
        <w:tc>
          <w:tcPr>
            <w:tcW w:w="7143" w:type="dxa"/>
            <w:vAlign w:val="center"/>
          </w:tcPr>
          <w:p>
            <w:pPr>
              <w:spacing w:line="400" w:lineRule="exact"/>
              <w:jc w:val="center"/>
              <w:rPr>
                <w:rFonts w:hint="eastAsia" w:hAnsi="宋体" w:cs="宋体"/>
                <w:sz w:val="24"/>
                <w:szCs w:val="24"/>
              </w:rPr>
            </w:pPr>
            <w:r>
              <w:rPr>
                <w:rFonts w:hint="eastAsia" w:hAnsi="宋体" w:cs="宋体"/>
                <w:sz w:val="24"/>
                <w:szCs w:val="24"/>
              </w:rPr>
              <w:t>2025年网络接入服务A分标采购需求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3"/>
          </w:tcPr>
          <w:p>
            <w:pPr>
              <w:spacing w:line="400" w:lineRule="exact"/>
              <w:rPr>
                <w:rFonts w:hint="eastAsia" w:hAnsi="宋体" w:cs="宋体"/>
                <w:sz w:val="24"/>
                <w:szCs w:val="24"/>
              </w:rPr>
            </w:pPr>
            <w:r>
              <w:rPr>
                <w:rFonts w:hint="eastAsia" w:hAnsi="宋体" w:cs="宋体"/>
                <w:sz w:val="24"/>
                <w:szCs w:val="24"/>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36" w:type="dxa"/>
            <w:vAlign w:val="center"/>
          </w:tcPr>
          <w:p>
            <w:pPr>
              <w:spacing w:line="400" w:lineRule="exact"/>
              <w:jc w:val="center"/>
              <w:rPr>
                <w:rFonts w:hint="eastAsia" w:hAnsi="宋体" w:cs="宋体"/>
                <w:sz w:val="24"/>
                <w:szCs w:val="24"/>
              </w:rPr>
            </w:pPr>
            <w:r>
              <w:rPr>
                <w:rFonts w:hint="eastAsia" w:hAnsi="宋体" w:cs="宋体"/>
                <w:kern w:val="0"/>
                <w:sz w:val="24"/>
                <w:szCs w:val="24"/>
                <w:lang w:bidi="en-US"/>
              </w:rPr>
              <w:t>1</w:t>
            </w:r>
          </w:p>
        </w:tc>
        <w:tc>
          <w:tcPr>
            <w:tcW w:w="8763" w:type="dxa"/>
            <w:gridSpan w:val="2"/>
            <w:vAlign w:val="center"/>
          </w:tcPr>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提供不低于1000M互联网专线（</w:t>
            </w:r>
            <w:r>
              <w:rPr>
                <w:rFonts w:hint="eastAsia" w:hAnsi="宋体"/>
                <w:sz w:val="24"/>
                <w:szCs w:val="24"/>
              </w:rPr>
              <w:t>上下行速率一致且≥1000Mbit/s</w:t>
            </w:r>
            <w:r>
              <w:rPr>
                <w:rFonts w:hint="eastAsia" w:asciiTheme="minorEastAsia" w:hAnsiTheme="minorEastAsia" w:eastAsiaTheme="minorEastAsia" w:cstheme="minorEastAsia"/>
                <w:sz w:val="24"/>
                <w:szCs w:val="24"/>
              </w:rPr>
              <w:t>）接入</w:t>
            </w:r>
            <w:r>
              <w:rPr>
                <w:rFonts w:hint="eastAsia" w:asciiTheme="minorEastAsia" w:hAnsiTheme="minorEastAsia" w:eastAsiaTheme="minorEastAsia" w:cstheme="minorEastAsia"/>
                <w:kern w:val="0"/>
                <w:sz w:val="24"/>
                <w:szCs w:val="24"/>
              </w:rPr>
              <w:t>广西壮族自治区图书馆</w:t>
            </w:r>
            <w:r>
              <w:rPr>
                <w:rFonts w:hint="eastAsia" w:asciiTheme="minorEastAsia" w:hAnsiTheme="minorEastAsia" w:eastAsiaTheme="minorEastAsia" w:cstheme="minorEastAsia"/>
                <w:sz w:val="24"/>
                <w:szCs w:val="24"/>
              </w:rPr>
              <w:t>位于南宁市民族大道61号办公楼机房，并分配2个IP段中共计30个以上公网静态IP地址给我馆。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36" w:type="dxa"/>
            <w:vAlign w:val="center"/>
          </w:tcPr>
          <w:p>
            <w:pPr>
              <w:spacing w:line="400" w:lineRule="exact"/>
              <w:jc w:val="center"/>
              <w:rPr>
                <w:rFonts w:hint="eastAsia" w:hAnsi="宋体" w:cs="宋体"/>
                <w:kern w:val="0"/>
                <w:sz w:val="24"/>
                <w:szCs w:val="24"/>
                <w:lang w:bidi="en-US"/>
              </w:rPr>
            </w:pPr>
            <w:r>
              <w:rPr>
                <w:rFonts w:hint="eastAsia" w:hAnsi="宋体" w:cs="宋体"/>
                <w:kern w:val="0"/>
                <w:sz w:val="24"/>
                <w:szCs w:val="24"/>
                <w:lang w:bidi="en-US"/>
              </w:rPr>
              <w:t>2</w:t>
            </w:r>
          </w:p>
        </w:tc>
        <w:tc>
          <w:tcPr>
            <w:tcW w:w="8763" w:type="dxa"/>
            <w:gridSpan w:val="2"/>
            <w:vAlign w:val="center"/>
          </w:tcPr>
          <w:p>
            <w:pPr>
              <w:pStyle w:val="7"/>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提供不低于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00M互联网专线（</w:t>
            </w:r>
            <w:r>
              <w:rPr>
                <w:rFonts w:hint="eastAsia" w:hAnsi="宋体"/>
                <w:sz w:val="24"/>
                <w:szCs w:val="24"/>
              </w:rPr>
              <w:t>上下行速率一致且≥</w:t>
            </w:r>
            <w:r>
              <w:rPr>
                <w:rFonts w:hint="eastAsia" w:hAnsi="宋体"/>
                <w:sz w:val="24"/>
                <w:szCs w:val="24"/>
                <w:lang w:val="en-US" w:eastAsia="zh-CN"/>
              </w:rPr>
              <w:t>3</w:t>
            </w:r>
            <w:r>
              <w:rPr>
                <w:rFonts w:hint="eastAsia" w:hAnsi="宋体"/>
                <w:sz w:val="24"/>
                <w:szCs w:val="24"/>
              </w:rPr>
              <w:t>00Mbit/s</w:t>
            </w:r>
            <w:r>
              <w:rPr>
                <w:rFonts w:hint="eastAsia" w:asciiTheme="minorEastAsia" w:hAnsiTheme="minorEastAsia" w:eastAsiaTheme="minorEastAsia" w:cstheme="minorEastAsia"/>
                <w:sz w:val="24"/>
                <w:szCs w:val="24"/>
              </w:rPr>
              <w:t>）接入位于南宁市人民公园内的广西壮族自治区图书馆人民公园分馆办公楼机房，并分配1个IP段中共计2个公网静态IP地址给我馆。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vAlign w:val="center"/>
          </w:tcPr>
          <w:p>
            <w:pPr>
              <w:spacing w:line="400" w:lineRule="exact"/>
              <w:jc w:val="center"/>
              <w:rPr>
                <w:rFonts w:hint="eastAsia" w:hAnsi="宋体" w:cs="宋体"/>
                <w:kern w:val="0"/>
                <w:sz w:val="24"/>
                <w:szCs w:val="24"/>
                <w:lang w:bidi="en-US"/>
              </w:rPr>
            </w:pPr>
            <w:r>
              <w:rPr>
                <w:rFonts w:hint="eastAsia" w:hAnsi="宋体" w:cs="宋体"/>
                <w:kern w:val="0"/>
                <w:sz w:val="24"/>
                <w:szCs w:val="24"/>
                <w:lang w:bidi="en-US"/>
              </w:rPr>
              <w:t>3</w:t>
            </w:r>
          </w:p>
        </w:tc>
        <w:tc>
          <w:tcPr>
            <w:tcW w:w="8763" w:type="dxa"/>
            <w:gridSpan w:val="2"/>
            <w:vAlign w:val="center"/>
          </w:tcPr>
          <w:p>
            <w:pPr>
              <w:pStyle w:val="7"/>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提供与IPV4地址数量相同的IPV6地址。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4</w:t>
            </w:r>
          </w:p>
        </w:tc>
        <w:tc>
          <w:tcPr>
            <w:tcW w:w="8763" w:type="dxa"/>
            <w:gridSpan w:val="2"/>
            <w:vAlign w:val="center"/>
          </w:tcPr>
          <w:p>
            <w:pPr>
              <w:spacing w:line="44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提</w:t>
            </w:r>
            <w:r>
              <w:rPr>
                <w:rFonts w:hint="eastAsia" w:asciiTheme="minorEastAsia" w:hAnsiTheme="minorEastAsia" w:eastAsiaTheme="minorEastAsia" w:cstheme="minorEastAsia"/>
                <w:sz w:val="24"/>
                <w:szCs w:val="24"/>
              </w:rPr>
              <w:t>供5套基于云网资源及先进桌面虚拟化技术的一体化笔记本办公服务，要求云性能参数不低于8C/16G RAM/500G存储容量，支持国产化操作系统。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5</w:t>
            </w:r>
          </w:p>
        </w:tc>
        <w:tc>
          <w:tcPr>
            <w:tcW w:w="8763" w:type="dxa"/>
            <w:gridSpan w:val="2"/>
            <w:vAlign w:val="center"/>
          </w:tcPr>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服务期限为：</w:t>
            </w:r>
            <w:r>
              <w:rPr>
                <w:rFonts w:hint="eastAsia" w:asciiTheme="minorEastAsia" w:hAnsiTheme="minorEastAsia" w:eastAsiaTheme="minorEastAsia" w:cstheme="minorEastAsia"/>
                <w:bCs/>
                <w:sz w:val="24"/>
                <w:szCs w:val="24"/>
                <w:lang w:eastAsia="zh-CN"/>
              </w:rPr>
              <w:t>一年，自</w:t>
            </w:r>
            <w:r>
              <w:rPr>
                <w:rFonts w:hint="eastAsia" w:asciiTheme="minorEastAsia" w:hAnsiTheme="minorEastAsia" w:eastAsiaTheme="minorEastAsia" w:cstheme="minorEastAsia"/>
                <w:color w:val="000000"/>
                <w:sz w:val="24"/>
                <w:szCs w:val="24"/>
              </w:rPr>
              <w:t>合同签订之日</w:t>
            </w:r>
            <w:r>
              <w:rPr>
                <w:rFonts w:hint="eastAsia" w:asciiTheme="minorEastAsia" w:hAnsiTheme="minorEastAsia" w:eastAsiaTheme="minorEastAsia" w:cstheme="minorEastAsia"/>
                <w:sz w:val="24"/>
                <w:szCs w:val="24"/>
                <w:lang w:eastAsia="zh-CN"/>
              </w:rPr>
              <w:t>起开始计算</w:t>
            </w:r>
            <w:bookmarkStart w:id="0" w:name="_GoBack"/>
            <w:bookmarkEnd w:id="0"/>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6</w:t>
            </w:r>
          </w:p>
        </w:tc>
        <w:tc>
          <w:tcPr>
            <w:tcW w:w="8763" w:type="dxa"/>
            <w:gridSpan w:val="2"/>
            <w:vAlign w:val="center"/>
          </w:tcPr>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业务交付时间：自合同签订之日起3个工作日内。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7</w:t>
            </w:r>
          </w:p>
        </w:tc>
        <w:tc>
          <w:tcPr>
            <w:tcW w:w="8763" w:type="dxa"/>
            <w:gridSpan w:val="2"/>
            <w:vAlign w:val="center"/>
          </w:tcPr>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线路建设成本由</w:t>
            </w:r>
            <w:r>
              <w:rPr>
                <w:rFonts w:hint="eastAsia" w:asciiTheme="minorEastAsia" w:hAnsiTheme="minorEastAsia" w:eastAsiaTheme="minorEastAsia" w:cstheme="minorEastAsia"/>
                <w:sz w:val="24"/>
                <w:szCs w:val="24"/>
              </w:rPr>
              <w:t>中标公司</w:t>
            </w:r>
            <w:r>
              <w:rPr>
                <w:rFonts w:hint="eastAsia" w:asciiTheme="minorEastAsia" w:hAnsiTheme="minorEastAsia" w:eastAsiaTheme="minorEastAsia" w:cstheme="minorEastAsia"/>
                <w:color w:val="000000"/>
                <w:sz w:val="24"/>
                <w:szCs w:val="24"/>
              </w:rPr>
              <w:t>全额投资，</w:t>
            </w:r>
            <w:r>
              <w:rPr>
                <w:rFonts w:hint="eastAsia" w:asciiTheme="minorEastAsia" w:hAnsiTheme="minorEastAsia" w:eastAsiaTheme="minorEastAsia" w:cstheme="minorEastAsia"/>
                <w:kern w:val="0"/>
                <w:sz w:val="24"/>
                <w:szCs w:val="24"/>
              </w:rPr>
              <w:t>广西壮族自治区图书馆</w:t>
            </w:r>
            <w:r>
              <w:rPr>
                <w:rFonts w:hint="eastAsia" w:asciiTheme="minorEastAsia" w:hAnsiTheme="minorEastAsia" w:eastAsiaTheme="minorEastAsia" w:cstheme="minorEastAsia"/>
                <w:color w:val="000000"/>
                <w:sz w:val="24"/>
                <w:szCs w:val="24"/>
              </w:rPr>
              <w:t>不承担任何安装费，</w:t>
            </w:r>
            <w:r>
              <w:rPr>
                <w:rFonts w:hint="eastAsia" w:asciiTheme="minorEastAsia" w:hAnsiTheme="minorEastAsia" w:eastAsiaTheme="minorEastAsia" w:cstheme="minorEastAsia"/>
                <w:sz w:val="24"/>
                <w:szCs w:val="24"/>
              </w:rPr>
              <w:t>中标公司</w:t>
            </w:r>
            <w:r>
              <w:rPr>
                <w:rFonts w:hint="eastAsia" w:asciiTheme="minorEastAsia" w:hAnsiTheme="minorEastAsia" w:eastAsiaTheme="minorEastAsia" w:cstheme="minorEastAsia"/>
                <w:color w:val="000000"/>
                <w:sz w:val="24"/>
                <w:szCs w:val="24"/>
              </w:rPr>
              <w:t>通过收取租用费的形式租给</w:t>
            </w:r>
            <w:r>
              <w:rPr>
                <w:rFonts w:hint="eastAsia" w:asciiTheme="minorEastAsia" w:hAnsiTheme="minorEastAsia" w:eastAsiaTheme="minorEastAsia" w:cstheme="minorEastAsia"/>
                <w:kern w:val="0"/>
                <w:sz w:val="24"/>
                <w:szCs w:val="24"/>
              </w:rPr>
              <w:t>广西壮族自治区图书馆</w:t>
            </w:r>
            <w:r>
              <w:rPr>
                <w:rFonts w:hint="eastAsia" w:asciiTheme="minorEastAsia" w:hAnsiTheme="minorEastAsia" w:eastAsiaTheme="minorEastAsia" w:cstheme="minorEastAsia"/>
                <w:color w:val="000000"/>
                <w:sz w:val="24"/>
                <w:szCs w:val="24"/>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8</w:t>
            </w:r>
          </w:p>
        </w:tc>
        <w:tc>
          <w:tcPr>
            <w:tcW w:w="8763" w:type="dxa"/>
            <w:gridSpan w:val="2"/>
            <w:vAlign w:val="center"/>
          </w:tcPr>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接入标准：</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（1）采用高效接入网技术GPON（以太无源光网络）。能保证互联网用户能快速优质访问</w:t>
            </w:r>
            <w:r>
              <w:rPr>
                <w:rFonts w:hint="eastAsia" w:asciiTheme="minorEastAsia" w:hAnsiTheme="minorEastAsia" w:eastAsiaTheme="minorEastAsia" w:cstheme="minorEastAsia"/>
                <w:kern w:val="0"/>
                <w:sz w:val="24"/>
                <w:szCs w:val="24"/>
              </w:rPr>
              <w:t>广西壮族自治区图书馆</w:t>
            </w:r>
            <w:r>
              <w:rPr>
                <w:rFonts w:hint="eastAsia" w:asciiTheme="minorEastAsia" w:hAnsiTheme="minorEastAsia" w:eastAsiaTheme="minorEastAsia" w:cstheme="minorEastAsia"/>
                <w:color w:val="000000"/>
                <w:sz w:val="24"/>
                <w:szCs w:val="24"/>
              </w:rPr>
              <w:t>网站及使用其他各种网络服务。</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（2）使用光端设备放置于用户端机房，配置RJ45接口。</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（3）不限制用户端接入用户数，</w:t>
            </w:r>
            <w:r>
              <w:rPr>
                <w:rFonts w:hint="eastAsia" w:asciiTheme="minorEastAsia" w:hAnsiTheme="minorEastAsia" w:eastAsiaTheme="minorEastAsia" w:cstheme="minorEastAsia"/>
                <w:kern w:val="0"/>
                <w:sz w:val="24"/>
                <w:szCs w:val="24"/>
              </w:rPr>
              <w:t>广西壮族自治区图书馆</w:t>
            </w:r>
            <w:r>
              <w:rPr>
                <w:rFonts w:hint="eastAsia" w:asciiTheme="minorEastAsia" w:hAnsiTheme="minorEastAsia" w:eastAsiaTheme="minorEastAsia" w:cstheme="minorEastAsia"/>
                <w:color w:val="000000"/>
                <w:sz w:val="24"/>
                <w:szCs w:val="24"/>
              </w:rPr>
              <w:t>可利用</w:t>
            </w:r>
            <w:r>
              <w:rPr>
                <w:rFonts w:hint="eastAsia" w:asciiTheme="minorEastAsia" w:hAnsiTheme="minorEastAsia" w:eastAsiaTheme="minorEastAsia" w:cstheme="minorEastAsia"/>
                <w:sz w:val="24"/>
                <w:szCs w:val="24"/>
              </w:rPr>
              <w:t>中标公司</w:t>
            </w:r>
            <w:r>
              <w:rPr>
                <w:rFonts w:hint="eastAsia" w:asciiTheme="minorEastAsia" w:hAnsiTheme="minorEastAsia" w:eastAsiaTheme="minorEastAsia" w:cstheme="minorEastAsia"/>
                <w:color w:val="000000"/>
                <w:sz w:val="24"/>
                <w:szCs w:val="24"/>
              </w:rPr>
              <w:t>提供的线路进行互联网访问，并服务本馆读者及馆外读者。</w:t>
            </w:r>
          </w:p>
          <w:p>
            <w:pPr>
              <w:spacing w:line="440" w:lineRule="exact"/>
              <w:ind w:firstLine="480" w:firstLineChars="200"/>
              <w:rPr>
                <w:rFonts w:hint="eastAsia" w:hAnsi="宋体" w:cs="宋体"/>
                <w:sz w:val="24"/>
                <w:szCs w:val="24"/>
              </w:rPr>
            </w:pPr>
            <w:r>
              <w:rPr>
                <w:rFonts w:hint="eastAsia" w:hAnsi="宋体" w:cs="宋体"/>
                <w:sz w:val="24"/>
                <w:szCs w:val="24"/>
                <w:lang w:bidi="ar"/>
              </w:rPr>
              <w:t>（4）采用</w:t>
            </w:r>
            <w:r>
              <w:rPr>
                <w:rFonts w:hint="eastAsia" w:ascii="Calibri" w:hAnsi="Calibri" w:cs="微软雅黑"/>
                <w:bCs/>
                <w:color w:val="000000"/>
                <w:sz w:val="24"/>
                <w:szCs w:val="24"/>
                <w:lang w:bidi="ar"/>
              </w:rPr>
              <w:t>基于分组交换、面向连接方式等</w:t>
            </w:r>
            <w:r>
              <w:rPr>
                <w:rFonts w:hint="eastAsia" w:hAnsi="宋体" w:cs="宋体"/>
                <w:sz w:val="24"/>
                <w:szCs w:val="24"/>
                <w:lang w:bidi="ar"/>
              </w:rPr>
              <w:t>网络技术进行组网，具备在本地大规模使用分组复用网络技术组网的能力。</w:t>
            </w:r>
            <w:r>
              <w:rPr>
                <w:rFonts w:hint="eastAsia" w:ascii="Calibri" w:hAnsi="Calibri" w:cs="微软雅黑"/>
                <w:bCs/>
                <w:color w:val="000000"/>
                <w:sz w:val="24"/>
                <w:szCs w:val="24"/>
                <w:lang w:bidi="ar"/>
              </w:rPr>
              <w:t>项目报价时间截止后，预中标公司接到采购单位的通知后需在</w:t>
            </w:r>
            <w:r>
              <w:rPr>
                <w:rFonts w:hint="eastAsia" w:asciiTheme="minorEastAsia" w:hAnsiTheme="minorEastAsia" w:eastAsiaTheme="minorEastAsia" w:cstheme="minorEastAsia"/>
                <w:bCs/>
                <w:color w:val="000000"/>
                <w:sz w:val="24"/>
                <w:szCs w:val="24"/>
                <w:lang w:bidi="ar"/>
              </w:rPr>
              <w:t>2</w:t>
            </w:r>
            <w:r>
              <w:rPr>
                <w:rFonts w:hint="eastAsia" w:ascii="Calibri" w:hAnsi="Calibri" w:cs="微软雅黑"/>
                <w:bCs/>
                <w:color w:val="000000"/>
                <w:sz w:val="24"/>
                <w:szCs w:val="24"/>
                <w:lang w:bidi="ar"/>
              </w:rPr>
              <w:t>个工作日内书面提交</w:t>
            </w:r>
            <w:r>
              <w:rPr>
                <w:rFonts w:hint="eastAsia" w:hAnsi="宋体" w:cs="宋体"/>
                <w:sz w:val="24"/>
                <w:szCs w:val="24"/>
                <w:lang w:bidi="ar"/>
              </w:rPr>
              <w:t>主要网络设备入网许可证复印件（加盖公章）、本地网络现网网管系统的网元截图（网元数量不低于10000个）</w:t>
            </w:r>
            <w:r>
              <w:rPr>
                <w:rFonts w:hint="eastAsia" w:ascii="Calibri" w:hAnsi="Calibri" w:cs="微软雅黑"/>
                <w:bCs/>
                <w:color w:val="000000"/>
                <w:sz w:val="24"/>
                <w:szCs w:val="24"/>
                <w:lang w:bidi="ar"/>
              </w:rPr>
              <w:t>供核验，如不按时提供或提供的证明材料不符合要求，采购单位可拒签合同并追究预中标公司的虚假应标责任</w:t>
            </w:r>
            <w:r>
              <w:rPr>
                <w:rFonts w:hint="eastAsia" w:hAnsi="宋体"/>
                <w:bCs/>
                <w:color w:val="000000"/>
                <w:sz w:val="24"/>
                <w:szCs w:val="24"/>
                <w:shd w:val="clear" w:color="auto" w:fill="FFFFFF"/>
                <w:lang w:bidi="ar"/>
              </w:rPr>
              <w:t>。</w:t>
            </w:r>
          </w:p>
          <w:p>
            <w:pPr>
              <w:spacing w:line="440" w:lineRule="exact"/>
              <w:ind w:firstLine="480" w:firstLineChars="200"/>
              <w:rPr>
                <w:rFonts w:hint="eastAsia" w:hAnsi="宋体"/>
                <w:sz w:val="24"/>
                <w:szCs w:val="24"/>
                <w:lang w:bidi="ar"/>
              </w:rPr>
            </w:pPr>
            <w:r>
              <w:rPr>
                <w:rFonts w:hint="eastAsia" w:asciiTheme="minorEastAsia" w:hAnsiTheme="minorEastAsia" w:eastAsiaTheme="minorEastAsia" w:cstheme="minorEastAsia"/>
                <w:sz w:val="24"/>
                <w:szCs w:val="24"/>
              </w:rPr>
              <w:t>（5）</w:t>
            </w:r>
            <w:r>
              <w:rPr>
                <w:rFonts w:hint="eastAsia" w:hAnsi="宋体"/>
                <w:sz w:val="24"/>
                <w:szCs w:val="24"/>
                <w:lang w:bidi="ar"/>
              </w:rPr>
              <w:t>传输设备要求具有全网网管监控功能，并实行7*24小时实时监控，具备MPLS tunnel OAM，可有效地检测并定位网络故障，确保对网络性能的监控。</w:t>
            </w:r>
          </w:p>
          <w:p>
            <w:pPr>
              <w:spacing w:line="440" w:lineRule="exact"/>
              <w:ind w:firstLine="480" w:firstLineChars="200"/>
              <w:rPr>
                <w:rFonts w:hint="eastAsia" w:hAnsi="宋体"/>
                <w:sz w:val="24"/>
                <w:szCs w:val="24"/>
                <w:lang w:bidi="ar"/>
              </w:rPr>
            </w:pPr>
            <w:r>
              <w:rPr>
                <w:rFonts w:hint="eastAsia" w:hAnsi="宋体"/>
                <w:sz w:val="24"/>
                <w:szCs w:val="24"/>
                <w:lang w:bidi="ar"/>
              </w:rPr>
              <w:t>（6）电路汇聚层至骨干层均为自愈网状保护，具有故障自动倒换功能，倒换时间不大于50ms，能保证各电路不会因光缆的意外阻断和部分设备的故障而中断。</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（7）保障线路服务：平均丢包率≤1%；平均延时≤50ms；</w:t>
            </w:r>
            <w:r>
              <w:rPr>
                <w:rFonts w:hint="eastAsia" w:hAnsi="宋体"/>
                <w:sz w:val="24"/>
                <w:szCs w:val="24"/>
                <w:lang w:bidi="ar"/>
              </w:rPr>
              <w:t>全年可用率≥99.9%</w:t>
            </w:r>
            <w:r>
              <w:rPr>
                <w:rFonts w:hint="eastAsia" w:asciiTheme="minorEastAsia" w:hAnsiTheme="minorEastAsia" w:eastAsiaTheme="minorEastAsia" w:cs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0" w:hRule="atLeast"/>
        </w:trPr>
        <w:tc>
          <w:tcPr>
            <w:tcW w:w="636" w:type="dxa"/>
            <w:vAlign w:val="center"/>
          </w:tcPr>
          <w:p>
            <w:pPr>
              <w:spacing w:line="400" w:lineRule="exact"/>
              <w:jc w:val="center"/>
              <w:rPr>
                <w:rFonts w:hint="eastAsia" w:hAnsi="宋体" w:cs="宋体"/>
                <w:sz w:val="24"/>
                <w:szCs w:val="24"/>
              </w:rPr>
            </w:pPr>
            <w:r>
              <w:rPr>
                <w:rFonts w:hint="eastAsia" w:hAnsi="宋体" w:cs="宋体"/>
                <w:sz w:val="24"/>
                <w:szCs w:val="24"/>
              </w:rPr>
              <w:t>9</w:t>
            </w:r>
          </w:p>
        </w:tc>
        <w:tc>
          <w:tcPr>
            <w:tcW w:w="8763" w:type="dxa"/>
            <w:gridSpan w:val="2"/>
            <w:vAlign w:val="center"/>
          </w:tcPr>
          <w:p>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产品服务保障：</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（1）原在用传输设备产品是具备厂家合法渠道的原装正品，按厂家承诺实行“三包”，质保期内提供免费维修服务：提供7*24小时热线电话和专属政企客户经理服务，保修期内线路或设备出现故障， 30分钟内做出响应，2个小时内赶往现场，10小时内解决问题</w:t>
            </w:r>
            <w:r>
              <w:rPr>
                <w:rFonts w:hint="eastAsia" w:hAnsi="宋体" w:cs="微软雅黑"/>
                <w:sz w:val="24"/>
                <w:szCs w:val="24"/>
                <w:lang w:bidi="ar"/>
              </w:rPr>
              <w:t>（自然灾害等不可抗拒原因除外）</w:t>
            </w:r>
            <w:r>
              <w:rPr>
                <w:rFonts w:hint="eastAsia" w:asciiTheme="minorEastAsia" w:hAnsiTheme="minorEastAsia" w:eastAsiaTheme="minorEastAsia" w:cstheme="minorEastAsia"/>
                <w:sz w:val="24"/>
                <w:szCs w:val="24"/>
              </w:rPr>
              <w:t>。10小时内无法修复的，提供必要的零配件或备件进行替换；</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（2）中标</w:t>
            </w:r>
            <w:r>
              <w:rPr>
                <w:rFonts w:hint="eastAsia" w:hAnsi="宋体"/>
                <w:sz w:val="24"/>
                <w:szCs w:val="24"/>
                <w:lang w:bidi="ar"/>
              </w:rPr>
              <w:t>必须按采购人的要求提供本地化售后服务技术支持，必须提供售后服务承诺书及售后服务机构及联系人、技术人员名单。</w:t>
            </w:r>
          </w:p>
          <w:p>
            <w:pPr>
              <w:spacing w:line="440" w:lineRule="exact"/>
              <w:ind w:firstLine="480" w:firstLineChars="200"/>
              <w:rPr>
                <w:rFonts w:hint="eastAsia" w:hAnsi="宋体"/>
                <w:sz w:val="24"/>
                <w:szCs w:val="24"/>
                <w:lang w:bidi="ar"/>
              </w:rPr>
            </w:pPr>
            <w:r>
              <w:rPr>
                <w:rFonts w:hint="eastAsia" w:hAnsi="宋体"/>
                <w:sz w:val="24"/>
                <w:szCs w:val="24"/>
                <w:lang w:bidi="ar"/>
              </w:rPr>
              <w:t>（3）中标公司在租赁期限内，应严格遵守《中华人民共和国电信条例》，维护双方权益，应按信息产业部颁布的《电信服务标准》的电路质量要求，保证采购人租用线路畅通及安全使用；</w:t>
            </w:r>
          </w:p>
          <w:p>
            <w:pPr>
              <w:spacing w:line="440" w:lineRule="exact"/>
              <w:ind w:firstLine="480" w:firstLineChars="200"/>
              <w:rPr>
                <w:rFonts w:hint="eastAsia" w:hAnsi="宋体"/>
                <w:sz w:val="24"/>
                <w:szCs w:val="24"/>
                <w:lang w:bidi="ar"/>
              </w:rPr>
            </w:pPr>
            <w:r>
              <w:rPr>
                <w:rFonts w:hint="eastAsia" w:hAnsi="宋体"/>
                <w:sz w:val="24"/>
                <w:szCs w:val="24"/>
                <w:lang w:bidi="ar"/>
              </w:rPr>
              <w:t>（4）采购单位网络需要扩展或升级时，负责免费提供相应解决方案；因中标公司施工、网络割接等原因影响宽带网络运行的，应当提前一天通知采购单位，并且尽快消除故障、恢复通信线路；</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hAnsi="宋体"/>
                <w:sz w:val="24"/>
                <w:szCs w:val="24"/>
                <w:lang w:bidi="ar"/>
              </w:rPr>
              <w:t>（</w:t>
            </w:r>
            <w:r>
              <w:rPr>
                <w:rFonts w:hAnsi="宋体"/>
                <w:sz w:val="24"/>
                <w:szCs w:val="24"/>
                <w:lang w:bidi="ar"/>
              </w:rPr>
              <w:t>5</w:t>
            </w:r>
            <w:r>
              <w:rPr>
                <w:rFonts w:hint="eastAsia" w:hAnsi="宋体"/>
                <w:sz w:val="24"/>
                <w:szCs w:val="24"/>
                <w:lang w:bidi="ar"/>
              </w:rPr>
              <w:t>）每个季度</w:t>
            </w:r>
            <w:r>
              <w:rPr>
                <w:rFonts w:hint="eastAsia" w:asciiTheme="minorEastAsia" w:hAnsiTheme="minorEastAsia" w:eastAsiaTheme="minorEastAsia" w:cstheme="minorEastAsia"/>
                <w:sz w:val="24"/>
                <w:szCs w:val="24"/>
              </w:rPr>
              <w:t>对网络进行一次巡检，检查网络设备和主干光缆的运行情况，提交巡检报告，每年提交网络运行质量报告；</w:t>
            </w:r>
          </w:p>
          <w:p>
            <w:pPr>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）为保证供货能力及服务质量，同一个投标人可同时参与分标1、分标2投标，但最多只能中标一个分标，每个分标只允许1家公司中标。</w:t>
            </w:r>
          </w:p>
        </w:tc>
      </w:tr>
    </w:tbl>
    <w:p>
      <w:pPr>
        <w:spacing w:line="460" w:lineRule="exact"/>
        <w:ind w:right="480"/>
        <w:rPr>
          <w:rFonts w:hint="eastAsia" w:asciiTheme="minorEastAsia" w:hAnsiTheme="minorEastAsia" w:eastAsiaTheme="minorEastAsia" w:cstheme="minorEastAsia"/>
          <w:color w:val="000000"/>
          <w:sz w:val="28"/>
          <w:szCs w:val="28"/>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M2Y2ZGUyYzNiM2ZiYjkyNmQ4YjM3OTU2MTc4NTEifQ=="/>
  </w:docVars>
  <w:rsids>
    <w:rsidRoot w:val="009F34BE"/>
    <w:rsid w:val="0002467B"/>
    <w:rsid w:val="000535A1"/>
    <w:rsid w:val="000637F1"/>
    <w:rsid w:val="00074CEB"/>
    <w:rsid w:val="00094070"/>
    <w:rsid w:val="000B3D0F"/>
    <w:rsid w:val="000B4BB3"/>
    <w:rsid w:val="000B6C40"/>
    <w:rsid w:val="000D24DB"/>
    <w:rsid w:val="000E0FD6"/>
    <w:rsid w:val="0011098A"/>
    <w:rsid w:val="00112416"/>
    <w:rsid w:val="00133972"/>
    <w:rsid w:val="00177A1A"/>
    <w:rsid w:val="00187049"/>
    <w:rsid w:val="00193267"/>
    <w:rsid w:val="0019693A"/>
    <w:rsid w:val="00197E0E"/>
    <w:rsid w:val="001A6562"/>
    <w:rsid w:val="001A6B63"/>
    <w:rsid w:val="001A7CA6"/>
    <w:rsid w:val="001B60E0"/>
    <w:rsid w:val="001E2A6E"/>
    <w:rsid w:val="00206D70"/>
    <w:rsid w:val="002437EF"/>
    <w:rsid w:val="002477CE"/>
    <w:rsid w:val="00255784"/>
    <w:rsid w:val="002A45B2"/>
    <w:rsid w:val="002B61AD"/>
    <w:rsid w:val="002C3DD6"/>
    <w:rsid w:val="002C3EDA"/>
    <w:rsid w:val="00327E73"/>
    <w:rsid w:val="00345FF1"/>
    <w:rsid w:val="003546EE"/>
    <w:rsid w:val="00366747"/>
    <w:rsid w:val="00384D7E"/>
    <w:rsid w:val="00391AD6"/>
    <w:rsid w:val="003941C1"/>
    <w:rsid w:val="00397063"/>
    <w:rsid w:val="003B09B7"/>
    <w:rsid w:val="003C538B"/>
    <w:rsid w:val="003D1B69"/>
    <w:rsid w:val="003E3098"/>
    <w:rsid w:val="003E3622"/>
    <w:rsid w:val="003E7008"/>
    <w:rsid w:val="00400197"/>
    <w:rsid w:val="00407B33"/>
    <w:rsid w:val="004140A8"/>
    <w:rsid w:val="004252A1"/>
    <w:rsid w:val="00432818"/>
    <w:rsid w:val="00445418"/>
    <w:rsid w:val="00451CFB"/>
    <w:rsid w:val="004604F9"/>
    <w:rsid w:val="004605F3"/>
    <w:rsid w:val="004760D8"/>
    <w:rsid w:val="00486257"/>
    <w:rsid w:val="004952DE"/>
    <w:rsid w:val="004A6839"/>
    <w:rsid w:val="004C044C"/>
    <w:rsid w:val="004D4979"/>
    <w:rsid w:val="00501DAA"/>
    <w:rsid w:val="00507E8D"/>
    <w:rsid w:val="00556225"/>
    <w:rsid w:val="00557C23"/>
    <w:rsid w:val="00570A97"/>
    <w:rsid w:val="00573841"/>
    <w:rsid w:val="0058534D"/>
    <w:rsid w:val="005930B4"/>
    <w:rsid w:val="005A6E54"/>
    <w:rsid w:val="005B28D8"/>
    <w:rsid w:val="005B5AFF"/>
    <w:rsid w:val="005C0218"/>
    <w:rsid w:val="005C338C"/>
    <w:rsid w:val="005C5F81"/>
    <w:rsid w:val="005E25A2"/>
    <w:rsid w:val="005E53BB"/>
    <w:rsid w:val="005F3257"/>
    <w:rsid w:val="0061358A"/>
    <w:rsid w:val="00621B37"/>
    <w:rsid w:val="00630B4C"/>
    <w:rsid w:val="006325DB"/>
    <w:rsid w:val="00643E2C"/>
    <w:rsid w:val="0065073C"/>
    <w:rsid w:val="00652AED"/>
    <w:rsid w:val="00667994"/>
    <w:rsid w:val="00676148"/>
    <w:rsid w:val="0067645D"/>
    <w:rsid w:val="00681AEE"/>
    <w:rsid w:val="006B4B2E"/>
    <w:rsid w:val="006E5427"/>
    <w:rsid w:val="006F1D1D"/>
    <w:rsid w:val="006F5753"/>
    <w:rsid w:val="006F65CB"/>
    <w:rsid w:val="00757959"/>
    <w:rsid w:val="007A7C30"/>
    <w:rsid w:val="007C2CCD"/>
    <w:rsid w:val="007C5E4F"/>
    <w:rsid w:val="007C6FA5"/>
    <w:rsid w:val="007D12E3"/>
    <w:rsid w:val="007F3FBD"/>
    <w:rsid w:val="0080471A"/>
    <w:rsid w:val="0080528C"/>
    <w:rsid w:val="00842766"/>
    <w:rsid w:val="00851967"/>
    <w:rsid w:val="00886861"/>
    <w:rsid w:val="00886DA7"/>
    <w:rsid w:val="008A19B3"/>
    <w:rsid w:val="008A6230"/>
    <w:rsid w:val="008B7765"/>
    <w:rsid w:val="008B7C35"/>
    <w:rsid w:val="008D3C47"/>
    <w:rsid w:val="008D7194"/>
    <w:rsid w:val="009140B6"/>
    <w:rsid w:val="00920AC2"/>
    <w:rsid w:val="009225E7"/>
    <w:rsid w:val="009336C2"/>
    <w:rsid w:val="009661A0"/>
    <w:rsid w:val="00977683"/>
    <w:rsid w:val="00977740"/>
    <w:rsid w:val="0098517A"/>
    <w:rsid w:val="009926F6"/>
    <w:rsid w:val="00992BFB"/>
    <w:rsid w:val="009B444A"/>
    <w:rsid w:val="009C00B3"/>
    <w:rsid w:val="009C2809"/>
    <w:rsid w:val="009D0FB0"/>
    <w:rsid w:val="009E33C3"/>
    <w:rsid w:val="009F34BE"/>
    <w:rsid w:val="00A027FE"/>
    <w:rsid w:val="00A17838"/>
    <w:rsid w:val="00A31EC4"/>
    <w:rsid w:val="00A320FD"/>
    <w:rsid w:val="00A33AD4"/>
    <w:rsid w:val="00A40465"/>
    <w:rsid w:val="00A52F30"/>
    <w:rsid w:val="00A758F2"/>
    <w:rsid w:val="00A959ED"/>
    <w:rsid w:val="00AB6170"/>
    <w:rsid w:val="00AC573A"/>
    <w:rsid w:val="00AC7B16"/>
    <w:rsid w:val="00AD492A"/>
    <w:rsid w:val="00B30751"/>
    <w:rsid w:val="00B373CB"/>
    <w:rsid w:val="00B4778A"/>
    <w:rsid w:val="00B81238"/>
    <w:rsid w:val="00BA3833"/>
    <w:rsid w:val="00BA5B45"/>
    <w:rsid w:val="00BB6041"/>
    <w:rsid w:val="00BB701B"/>
    <w:rsid w:val="00C10386"/>
    <w:rsid w:val="00C15502"/>
    <w:rsid w:val="00C21112"/>
    <w:rsid w:val="00C473EC"/>
    <w:rsid w:val="00C4756F"/>
    <w:rsid w:val="00C57478"/>
    <w:rsid w:val="00C853F7"/>
    <w:rsid w:val="00CA56BA"/>
    <w:rsid w:val="00CC11D0"/>
    <w:rsid w:val="00CF3424"/>
    <w:rsid w:val="00D021F0"/>
    <w:rsid w:val="00D116B3"/>
    <w:rsid w:val="00D1692C"/>
    <w:rsid w:val="00D3690E"/>
    <w:rsid w:val="00D80AAE"/>
    <w:rsid w:val="00D820C4"/>
    <w:rsid w:val="00D84945"/>
    <w:rsid w:val="00DC521B"/>
    <w:rsid w:val="00DC5FD3"/>
    <w:rsid w:val="00DC779B"/>
    <w:rsid w:val="00DD0E27"/>
    <w:rsid w:val="00DE737A"/>
    <w:rsid w:val="00DF2BA5"/>
    <w:rsid w:val="00E06201"/>
    <w:rsid w:val="00E24F5C"/>
    <w:rsid w:val="00E259B8"/>
    <w:rsid w:val="00E94E96"/>
    <w:rsid w:val="00EB1AE1"/>
    <w:rsid w:val="00ED7FD5"/>
    <w:rsid w:val="00EE3985"/>
    <w:rsid w:val="00F16A70"/>
    <w:rsid w:val="00F34F62"/>
    <w:rsid w:val="00F50598"/>
    <w:rsid w:val="00F52DC9"/>
    <w:rsid w:val="00F610A6"/>
    <w:rsid w:val="00F75ACF"/>
    <w:rsid w:val="00F75B1A"/>
    <w:rsid w:val="00F85D99"/>
    <w:rsid w:val="00F95DA1"/>
    <w:rsid w:val="00FE41DE"/>
    <w:rsid w:val="00FF27E1"/>
    <w:rsid w:val="02815E12"/>
    <w:rsid w:val="02B06584"/>
    <w:rsid w:val="051839E3"/>
    <w:rsid w:val="06585A00"/>
    <w:rsid w:val="073A3A8C"/>
    <w:rsid w:val="080D3422"/>
    <w:rsid w:val="0902043D"/>
    <w:rsid w:val="09FE29B2"/>
    <w:rsid w:val="0A131373"/>
    <w:rsid w:val="1107311E"/>
    <w:rsid w:val="135D5531"/>
    <w:rsid w:val="1465255B"/>
    <w:rsid w:val="14BE3CEA"/>
    <w:rsid w:val="187B774C"/>
    <w:rsid w:val="194B65D7"/>
    <w:rsid w:val="19CB22FB"/>
    <w:rsid w:val="1BF3774A"/>
    <w:rsid w:val="1CA0375C"/>
    <w:rsid w:val="1DD90DFB"/>
    <w:rsid w:val="21C80942"/>
    <w:rsid w:val="25747293"/>
    <w:rsid w:val="26DE72E5"/>
    <w:rsid w:val="2855442B"/>
    <w:rsid w:val="291D665C"/>
    <w:rsid w:val="2C1F2784"/>
    <w:rsid w:val="314A29D8"/>
    <w:rsid w:val="31AD43E9"/>
    <w:rsid w:val="34F9409F"/>
    <w:rsid w:val="38500524"/>
    <w:rsid w:val="396652FE"/>
    <w:rsid w:val="3B1919C4"/>
    <w:rsid w:val="3C8D061E"/>
    <w:rsid w:val="3D6A26E3"/>
    <w:rsid w:val="413F5539"/>
    <w:rsid w:val="414C62F7"/>
    <w:rsid w:val="44304733"/>
    <w:rsid w:val="445037C6"/>
    <w:rsid w:val="455C6645"/>
    <w:rsid w:val="542E520F"/>
    <w:rsid w:val="554A663E"/>
    <w:rsid w:val="56141819"/>
    <w:rsid w:val="586F20E0"/>
    <w:rsid w:val="593B77F8"/>
    <w:rsid w:val="5AC52811"/>
    <w:rsid w:val="5B8F017B"/>
    <w:rsid w:val="5B9C09D6"/>
    <w:rsid w:val="5C32337A"/>
    <w:rsid w:val="5EE955F4"/>
    <w:rsid w:val="616E08B5"/>
    <w:rsid w:val="6C871509"/>
    <w:rsid w:val="6D8B6D21"/>
    <w:rsid w:val="6FD82EB1"/>
    <w:rsid w:val="70306973"/>
    <w:rsid w:val="71497E26"/>
    <w:rsid w:val="74970382"/>
    <w:rsid w:val="74996894"/>
    <w:rsid w:val="76C8513F"/>
    <w:rsid w:val="788F54B9"/>
    <w:rsid w:val="7ABC011A"/>
    <w:rsid w:val="7BCB265A"/>
    <w:rsid w:val="7CB9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lang w:val="en-US" w:eastAsia="zh-CN" w:bidi="ar-SA"/>
    </w:rPr>
  </w:style>
  <w:style w:type="paragraph" w:styleId="2">
    <w:name w:val="heading 3"/>
    <w:basedOn w:val="1"/>
    <w:next w:val="1"/>
    <w:link w:val="17"/>
    <w:qFormat/>
    <w:uiPriority w:val="0"/>
    <w:pPr>
      <w:keepNext/>
      <w:keepLines/>
      <w:spacing w:before="260" w:after="260" w:line="416" w:lineRule="auto"/>
      <w:outlineLvl w:val="2"/>
    </w:pPr>
    <w:rPr>
      <w:rFonts w:ascii="Times New Roman" w:hAnsi="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Body Text"/>
    <w:basedOn w:val="1"/>
    <w:link w:val="30"/>
    <w:qFormat/>
    <w:uiPriority w:val="0"/>
    <w:pPr>
      <w:spacing w:after="120"/>
    </w:pPr>
  </w:style>
  <w:style w:type="paragraph" w:styleId="6">
    <w:name w:val="Body Text Indent"/>
    <w:basedOn w:val="1"/>
    <w:qFormat/>
    <w:uiPriority w:val="0"/>
    <w:pPr>
      <w:spacing w:line="200" w:lineRule="exact"/>
      <w:ind w:firstLine="301"/>
    </w:pPr>
    <w:rPr>
      <w:spacing w:val="-4"/>
      <w:sz w:val="18"/>
    </w:rPr>
  </w:style>
  <w:style w:type="paragraph" w:styleId="7">
    <w:name w:val="Plain Text"/>
    <w:basedOn w:val="1"/>
    <w:link w:val="18"/>
    <w:qFormat/>
    <w:uiPriority w:val="0"/>
  </w:style>
  <w:style w:type="paragraph" w:styleId="8">
    <w:name w:val="Date"/>
    <w:basedOn w:val="1"/>
    <w:next w:val="1"/>
    <w:link w:val="19"/>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customStyle="1" w:styleId="17">
    <w:name w:val="标题 3 字符"/>
    <w:link w:val="2"/>
    <w:qFormat/>
    <w:uiPriority w:val="0"/>
    <w:rPr>
      <w:rFonts w:eastAsia="宋体"/>
      <w:b/>
      <w:bCs/>
      <w:kern w:val="2"/>
      <w:sz w:val="32"/>
      <w:szCs w:val="32"/>
      <w:lang w:val="en-US" w:eastAsia="zh-CN" w:bidi="ar-SA"/>
    </w:rPr>
  </w:style>
  <w:style w:type="character" w:customStyle="1" w:styleId="18">
    <w:name w:val="纯文本 字符"/>
    <w:link w:val="7"/>
    <w:qFormat/>
    <w:uiPriority w:val="0"/>
    <w:rPr>
      <w:rFonts w:ascii="宋体" w:hAnsi="Courier New" w:eastAsia="宋体"/>
      <w:kern w:val="2"/>
      <w:sz w:val="21"/>
      <w:lang w:val="en-US" w:eastAsia="zh-CN" w:bidi="ar-SA"/>
    </w:rPr>
  </w:style>
  <w:style w:type="character" w:customStyle="1" w:styleId="19">
    <w:name w:val="日期 字符"/>
    <w:link w:val="8"/>
    <w:qFormat/>
    <w:uiPriority w:val="0"/>
    <w:rPr>
      <w:rFonts w:ascii="宋体" w:hAnsi="Courier New"/>
      <w:kern w:val="2"/>
      <w:sz w:val="21"/>
    </w:rPr>
  </w:style>
  <w:style w:type="character" w:customStyle="1" w:styleId="20">
    <w:name w:val="页脚 字符"/>
    <w:link w:val="10"/>
    <w:qFormat/>
    <w:uiPriority w:val="0"/>
    <w:rPr>
      <w:rFonts w:ascii="宋体" w:hAnsi="Courier New"/>
      <w:kern w:val="2"/>
      <w:sz w:val="18"/>
      <w:szCs w:val="18"/>
    </w:rPr>
  </w:style>
  <w:style w:type="character" w:customStyle="1" w:styleId="21">
    <w:name w:val="页眉 字符"/>
    <w:link w:val="11"/>
    <w:qFormat/>
    <w:uiPriority w:val="0"/>
    <w:rPr>
      <w:rFonts w:ascii="宋体" w:hAnsi="Courier New"/>
      <w:kern w:val="2"/>
      <w:sz w:val="18"/>
      <w:szCs w:val="18"/>
    </w:rPr>
  </w:style>
  <w:style w:type="character" w:customStyle="1" w:styleId="22">
    <w:name w:val="标题 3 Char"/>
    <w:qFormat/>
    <w:uiPriority w:val="0"/>
    <w:rPr>
      <w:rFonts w:eastAsia="宋体"/>
      <w:b/>
      <w:bCs/>
      <w:kern w:val="2"/>
      <w:sz w:val="32"/>
      <w:szCs w:val="32"/>
      <w:lang w:val="en-US" w:eastAsia="zh-CN" w:bidi="ar-SA"/>
    </w:rPr>
  </w:style>
  <w:style w:type="character" w:customStyle="1" w:styleId="23">
    <w:name w:val="Char Char2"/>
    <w:qFormat/>
    <w:uiPriority w:val="0"/>
    <w:rPr>
      <w:rFonts w:ascii="宋体" w:hAnsi="Courier New" w:eastAsia="宋体" w:cs="Courier New"/>
      <w:kern w:val="2"/>
      <w:sz w:val="21"/>
      <w:szCs w:val="21"/>
      <w:lang w:val="en-US" w:eastAsia="zh-CN" w:bidi="ar-SA"/>
    </w:rPr>
  </w:style>
  <w:style w:type="paragraph" w:customStyle="1" w:styleId="24">
    <w:name w:val="Char Char Char"/>
    <w:basedOn w:val="1"/>
    <w:qFormat/>
    <w:uiPriority w:val="0"/>
    <w:rPr>
      <w:rFonts w:ascii="Tahoma" w:hAnsi="Tahoma"/>
      <w:sz w:val="24"/>
    </w:rPr>
  </w:style>
  <w:style w:type="paragraph" w:customStyle="1" w:styleId="25">
    <w:name w:val="Char"/>
    <w:basedOn w:val="3"/>
    <w:qFormat/>
    <w:uiPriority w:val="0"/>
    <w:pPr>
      <w:widowControl/>
      <w:ind w:firstLine="454"/>
      <w:jc w:val="left"/>
    </w:pPr>
    <w:rPr>
      <w:rFonts w:ascii="Tahoma" w:hAnsi="Tahoma" w:cs="宋体"/>
      <w:kern w:val="0"/>
      <w:sz w:val="24"/>
    </w:rPr>
  </w:style>
  <w:style w:type="paragraph" w:customStyle="1" w:styleId="26">
    <w:name w:val="Char Char Char Char Char Char Char Char Char Char Char Char Char Char Char Char"/>
    <w:basedOn w:val="1"/>
    <w:qFormat/>
    <w:uiPriority w:val="0"/>
    <w:pPr>
      <w:tabs>
        <w:tab w:val="left" w:pos="360"/>
      </w:tabs>
      <w:spacing w:line="360" w:lineRule="auto"/>
      <w:ind w:left="482" w:firstLine="200" w:firstLineChars="200"/>
    </w:pPr>
    <w:rPr>
      <w:sz w:val="24"/>
    </w:rPr>
  </w:style>
  <w:style w:type="paragraph" w:customStyle="1" w:styleId="27">
    <w:name w:val="正文段"/>
    <w:basedOn w:val="1"/>
    <w:qFormat/>
    <w:uiPriority w:val="0"/>
    <w:pPr>
      <w:widowControl/>
      <w:snapToGrid w:val="0"/>
      <w:spacing w:after="50" w:afterLines="50"/>
      <w:ind w:firstLine="200" w:firstLineChars="200"/>
    </w:pPr>
    <w:rPr>
      <w:rFonts w:ascii="Times New Roman" w:hAnsi="Times New Roman"/>
      <w:kern w:val="0"/>
      <w:sz w:val="24"/>
    </w:rPr>
  </w:style>
  <w:style w:type="paragraph" w:customStyle="1" w:styleId="28">
    <w:name w:val="修订1"/>
    <w:hidden/>
    <w:unhideWhenUsed/>
    <w:qFormat/>
    <w:uiPriority w:val="99"/>
    <w:rPr>
      <w:rFonts w:ascii="宋体" w:hAnsi="Courier New" w:eastAsia="宋体" w:cs="Times New Roman"/>
      <w:kern w:val="2"/>
      <w:sz w:val="21"/>
      <w:lang w:val="en-US" w:eastAsia="zh-CN" w:bidi="ar-SA"/>
    </w:rPr>
  </w:style>
  <w:style w:type="paragraph" w:customStyle="1" w:styleId="29">
    <w:name w:val="修订2"/>
    <w:hidden/>
    <w:unhideWhenUsed/>
    <w:qFormat/>
    <w:uiPriority w:val="99"/>
    <w:rPr>
      <w:rFonts w:ascii="宋体" w:hAnsi="Courier New" w:eastAsia="宋体" w:cs="Times New Roman"/>
      <w:kern w:val="2"/>
      <w:sz w:val="21"/>
      <w:lang w:val="en-US" w:eastAsia="zh-CN" w:bidi="ar-SA"/>
    </w:rPr>
  </w:style>
  <w:style w:type="character" w:customStyle="1" w:styleId="30">
    <w:name w:val="正文文本 字符"/>
    <w:basedOn w:val="13"/>
    <w:link w:val="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2</Pages>
  <Words>1394</Words>
  <Characters>1488</Characters>
  <Lines>19</Lines>
  <Paragraphs>5</Paragraphs>
  <TotalTime>116</TotalTime>
  <ScaleCrop>false</ScaleCrop>
  <LinksUpToDate>false</LinksUpToDate>
  <CharactersWithSpaces>1492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2024-12-24T03:33:00Z</dcterms:created>
  <dc:creator>番茄花园</dc:creator>
  <cp:lastModifiedBy> </cp:lastModifiedBy>
  <cp:lastPrinted>2017-11-03T11:01:00Z</cp:lastPrinted>
  <dcterms:modified xsi:type="dcterms:W3CDTF">2025-01-20T08:46:44Z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F9237C0AC55C4586A711F37482022438</vt:lpwstr>
  </property>
</Properties>
</file>