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00" w:lineRule="exact"/>
        <w:rPr>
          <w:rFonts w:hint="eastAsia" w:ascii="方正小标宋_GBK" w:eastAsia="方正小标宋_GBK"/>
          <w:shd w:val="clear" w:color="auto" w:fill="FFFFFF"/>
        </w:rPr>
      </w:pPr>
      <w:bookmarkStart w:id="0" w:name="_Toc38030765"/>
      <w:r>
        <w:rPr>
          <w:rFonts w:hint="eastAsia" w:ascii="方正小标宋_GBK" w:eastAsia="方正小标宋_GBK"/>
          <w:shd w:val="clear" w:color="auto" w:fill="FFFFFF"/>
        </w:rPr>
        <w:t xml:space="preserve"> 北部湾大学机船学院研究生和教师研讨交流室98寸智能平板</w:t>
      </w:r>
    </w:p>
    <w:p>
      <w:pPr>
        <w:pStyle w:val="2"/>
        <w:spacing w:before="0" w:after="0" w:line="500" w:lineRule="exact"/>
        <w:rPr>
          <w:rFonts w:ascii="方正小标宋_GBK" w:eastAsia="方正小标宋_GBK"/>
          <w:shd w:val="clear" w:color="auto" w:fill="FFFFFF"/>
        </w:rPr>
      </w:pPr>
      <w:r>
        <w:rPr>
          <w:rFonts w:hint="eastAsia" w:ascii="方正小标宋_GBK" w:eastAsia="方正小标宋_GBK"/>
          <w:shd w:val="clear" w:color="auto" w:fill="FFFFFF"/>
        </w:rPr>
        <w:t>显示器采购需求</w:t>
      </w:r>
      <w:bookmarkEnd w:id="0"/>
    </w:p>
    <w:p/>
    <w:tbl>
      <w:tblPr>
        <w:tblStyle w:val="12"/>
        <w:tblW w:w="15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05"/>
        <w:gridCol w:w="10786"/>
        <w:gridCol w:w="850"/>
        <w:gridCol w:w="800"/>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57" w:type="dxa"/>
            <w:vAlign w:val="center"/>
          </w:tcPr>
          <w:p>
            <w:pPr>
              <w:widowControl/>
              <w:jc w:val="center"/>
              <w:rPr>
                <w:rFonts w:ascii="黑体" w:hAnsi="黑体" w:eastAsia="黑体" w:cs="黑体"/>
                <w:b/>
                <w:bCs/>
                <w:color w:val="auto"/>
                <w:sz w:val="18"/>
                <w:szCs w:val="18"/>
              </w:rPr>
            </w:pPr>
            <w:r>
              <w:rPr>
                <w:rFonts w:hint="eastAsia" w:ascii="黑体" w:hAnsi="黑体" w:eastAsia="黑体" w:cs="黑体"/>
                <w:b/>
                <w:bCs/>
                <w:color w:val="auto"/>
                <w:kern w:val="0"/>
                <w:sz w:val="18"/>
                <w:szCs w:val="18"/>
                <w:lang w:bidi="ar"/>
              </w:rPr>
              <w:t>设备名称</w:t>
            </w:r>
          </w:p>
        </w:tc>
        <w:tc>
          <w:tcPr>
            <w:tcW w:w="1105" w:type="dxa"/>
            <w:vAlign w:val="center"/>
          </w:tcPr>
          <w:p>
            <w:pPr>
              <w:widowControl/>
              <w:jc w:val="center"/>
              <w:rPr>
                <w:rFonts w:ascii="黑体" w:hAnsi="黑体" w:eastAsia="黑体" w:cs="黑体"/>
                <w:b/>
                <w:bCs/>
                <w:color w:val="auto"/>
                <w:kern w:val="0"/>
                <w:sz w:val="18"/>
                <w:szCs w:val="18"/>
                <w:lang w:bidi="ar"/>
              </w:rPr>
            </w:pPr>
            <w:r>
              <w:rPr>
                <w:rFonts w:hint="eastAsia" w:ascii="黑体" w:hAnsi="黑体" w:eastAsia="黑体" w:cs="黑体"/>
                <w:b/>
                <w:bCs/>
                <w:color w:val="auto"/>
                <w:kern w:val="0"/>
                <w:sz w:val="18"/>
                <w:szCs w:val="18"/>
                <w:lang w:bidi="ar"/>
              </w:rPr>
              <w:t>品牌型号</w:t>
            </w:r>
          </w:p>
        </w:tc>
        <w:tc>
          <w:tcPr>
            <w:tcW w:w="10786" w:type="dxa"/>
            <w:vAlign w:val="center"/>
          </w:tcPr>
          <w:p>
            <w:pPr>
              <w:widowControl/>
              <w:jc w:val="center"/>
              <w:rPr>
                <w:rFonts w:ascii="黑体" w:hAnsi="黑体" w:eastAsia="黑体" w:cs="黑体"/>
                <w:b/>
                <w:bCs/>
                <w:color w:val="auto"/>
                <w:sz w:val="18"/>
                <w:szCs w:val="18"/>
              </w:rPr>
            </w:pPr>
            <w:r>
              <w:rPr>
                <w:rFonts w:hint="eastAsia" w:ascii="黑体" w:hAnsi="黑体" w:eastAsia="黑体" w:cs="黑体"/>
                <w:b/>
                <w:bCs/>
                <w:color w:val="auto"/>
                <w:kern w:val="0"/>
                <w:sz w:val="18"/>
                <w:szCs w:val="18"/>
                <w:lang w:bidi="ar"/>
              </w:rPr>
              <w:t>型号规格、关键参数</w:t>
            </w:r>
          </w:p>
        </w:tc>
        <w:tc>
          <w:tcPr>
            <w:tcW w:w="850" w:type="dxa"/>
            <w:vAlign w:val="center"/>
          </w:tcPr>
          <w:p>
            <w:pPr>
              <w:widowControl/>
              <w:ind w:left="10" w:leftChars="-34" w:right="-67" w:rightChars="-32" w:hanging="81" w:hangingChars="45"/>
              <w:jc w:val="center"/>
              <w:rPr>
                <w:rFonts w:ascii="黑体" w:hAnsi="黑体" w:eastAsia="黑体" w:cs="黑体"/>
                <w:b/>
                <w:bCs/>
                <w:color w:val="auto"/>
                <w:kern w:val="0"/>
                <w:sz w:val="18"/>
                <w:szCs w:val="18"/>
              </w:rPr>
            </w:pPr>
            <w:r>
              <w:rPr>
                <w:rFonts w:hint="eastAsia" w:ascii="黑体" w:hAnsi="黑体" w:eastAsia="黑体" w:cs="黑体"/>
                <w:b/>
                <w:bCs/>
                <w:color w:val="auto"/>
                <w:kern w:val="0"/>
                <w:sz w:val="18"/>
                <w:szCs w:val="18"/>
                <w:lang w:bidi="ar"/>
              </w:rPr>
              <w:t>数量</w:t>
            </w:r>
          </w:p>
          <w:p>
            <w:pPr>
              <w:widowControl/>
              <w:jc w:val="center"/>
              <w:rPr>
                <w:rFonts w:ascii="黑体" w:hAnsi="黑体" w:eastAsia="黑体" w:cs="黑体"/>
                <w:b/>
                <w:bCs/>
                <w:color w:val="auto"/>
                <w:sz w:val="18"/>
                <w:szCs w:val="18"/>
              </w:rPr>
            </w:pPr>
            <w:r>
              <w:rPr>
                <w:rFonts w:hint="eastAsia" w:ascii="黑体" w:hAnsi="黑体" w:eastAsia="黑体" w:cs="黑体"/>
                <w:b/>
                <w:bCs/>
                <w:color w:val="auto"/>
                <w:kern w:val="0"/>
                <w:sz w:val="18"/>
                <w:szCs w:val="18"/>
                <w:lang w:bidi="ar"/>
              </w:rPr>
              <w:t>（台套）</w:t>
            </w:r>
          </w:p>
        </w:tc>
        <w:tc>
          <w:tcPr>
            <w:tcW w:w="800" w:type="dxa"/>
            <w:vAlign w:val="center"/>
          </w:tcPr>
          <w:p>
            <w:pPr>
              <w:widowControl/>
              <w:jc w:val="center"/>
              <w:rPr>
                <w:rFonts w:ascii="黑体" w:hAnsi="黑体" w:eastAsia="黑体" w:cs="黑体"/>
                <w:b/>
                <w:bCs/>
                <w:color w:val="auto"/>
                <w:kern w:val="0"/>
                <w:sz w:val="18"/>
                <w:szCs w:val="18"/>
              </w:rPr>
            </w:pPr>
            <w:r>
              <w:rPr>
                <w:rFonts w:hint="eastAsia" w:ascii="黑体" w:hAnsi="黑体" w:eastAsia="黑体" w:cs="黑体"/>
                <w:b/>
                <w:bCs/>
                <w:color w:val="auto"/>
                <w:kern w:val="0"/>
                <w:sz w:val="18"/>
                <w:szCs w:val="18"/>
                <w:lang w:bidi="ar"/>
              </w:rPr>
              <w:t>单价</w:t>
            </w:r>
          </w:p>
          <w:p>
            <w:pPr>
              <w:widowControl/>
              <w:ind w:right="-55" w:rightChars="-26"/>
              <w:jc w:val="center"/>
              <w:rPr>
                <w:rFonts w:ascii="黑体" w:hAnsi="黑体" w:eastAsia="黑体" w:cs="黑体"/>
                <w:b/>
                <w:bCs/>
                <w:color w:val="auto"/>
                <w:sz w:val="18"/>
                <w:szCs w:val="18"/>
              </w:rPr>
            </w:pPr>
            <w:r>
              <w:rPr>
                <w:rFonts w:hint="eastAsia" w:ascii="黑体" w:hAnsi="黑体" w:eastAsia="黑体" w:cs="黑体"/>
                <w:b/>
                <w:bCs/>
                <w:color w:val="auto"/>
                <w:kern w:val="0"/>
                <w:sz w:val="18"/>
                <w:szCs w:val="18"/>
                <w:lang w:bidi="ar"/>
              </w:rPr>
              <w:t>（万元）</w:t>
            </w:r>
          </w:p>
        </w:tc>
        <w:tc>
          <w:tcPr>
            <w:tcW w:w="875" w:type="dxa"/>
            <w:vAlign w:val="center"/>
          </w:tcPr>
          <w:p>
            <w:pPr>
              <w:widowControl/>
              <w:jc w:val="center"/>
              <w:rPr>
                <w:rFonts w:ascii="黑体" w:hAnsi="黑体" w:eastAsia="黑体" w:cs="黑体"/>
                <w:b/>
                <w:bCs/>
                <w:color w:val="auto"/>
                <w:kern w:val="0"/>
                <w:sz w:val="18"/>
                <w:szCs w:val="18"/>
              </w:rPr>
            </w:pPr>
            <w:r>
              <w:rPr>
                <w:rFonts w:hint="eastAsia" w:ascii="黑体" w:hAnsi="黑体" w:eastAsia="黑体" w:cs="黑体"/>
                <w:b/>
                <w:bCs/>
                <w:color w:val="auto"/>
                <w:kern w:val="0"/>
                <w:sz w:val="18"/>
                <w:szCs w:val="18"/>
                <w:lang w:bidi="ar"/>
              </w:rPr>
              <w:t>总价</w:t>
            </w:r>
          </w:p>
          <w:p>
            <w:pPr>
              <w:widowControl/>
              <w:jc w:val="center"/>
              <w:rPr>
                <w:rFonts w:ascii="黑体" w:hAnsi="黑体" w:eastAsia="黑体" w:cs="黑体"/>
                <w:b/>
                <w:bCs/>
                <w:color w:val="auto"/>
                <w:sz w:val="18"/>
                <w:szCs w:val="18"/>
              </w:rPr>
            </w:pPr>
            <w:r>
              <w:rPr>
                <w:rFonts w:hint="eastAsia" w:ascii="黑体" w:hAnsi="黑体" w:eastAsia="黑体" w:cs="黑体"/>
                <w:b/>
                <w:bCs/>
                <w:color w:val="auto"/>
                <w:kern w:val="0"/>
                <w:sz w:val="18"/>
                <w:szCs w:val="18"/>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757" w:type="dxa"/>
            <w:vAlign w:val="center"/>
          </w:tcPr>
          <w:p>
            <w:pPr>
              <w:widowControl/>
              <w:jc w:val="center"/>
              <w:rPr>
                <w:rFonts w:ascii="仿宋_GB2312" w:hAnsi="宋体" w:eastAsia="仿宋_GB2312"/>
                <w:b/>
                <w:bCs/>
                <w:color w:val="auto"/>
                <w:kern w:val="0"/>
                <w:sz w:val="18"/>
                <w:szCs w:val="18"/>
              </w:rPr>
            </w:pPr>
            <w:r>
              <w:rPr>
                <w:rFonts w:hint="eastAsia" w:ascii="宋体" w:hAnsi="宋体" w:cs="宋体"/>
                <w:color w:val="000000"/>
                <w:szCs w:val="21"/>
              </w:rPr>
              <w:t>98寸交互智能平板</w:t>
            </w:r>
          </w:p>
        </w:tc>
        <w:tc>
          <w:tcPr>
            <w:tcW w:w="1105" w:type="dxa"/>
            <w:vAlign w:val="center"/>
          </w:tcPr>
          <w:p>
            <w:pPr>
              <w:widowControl/>
              <w:jc w:val="left"/>
              <w:rPr>
                <w:rFonts w:hint="default" w:ascii="仿宋_GB2312" w:hAnsi="宋体" w:eastAsia="宋体"/>
                <w:b/>
                <w:bCs/>
                <w:color w:val="auto"/>
                <w:kern w:val="0"/>
                <w:sz w:val="18"/>
                <w:szCs w:val="18"/>
                <w:lang w:val="en-US" w:eastAsia="zh-CN"/>
              </w:rPr>
            </w:pPr>
            <w:r>
              <w:rPr>
                <w:rFonts w:hint="eastAsia" w:ascii="宋体" w:hAnsi="宋体" w:cs="宋体"/>
                <w:color w:val="000000"/>
                <w:szCs w:val="21"/>
              </w:rPr>
              <w:t>希沃</w:t>
            </w:r>
            <w:r>
              <w:rPr>
                <w:rFonts w:hint="eastAsia" w:ascii="宋体" w:hAnsi="宋体" w:cs="宋体"/>
                <w:color w:val="000000"/>
                <w:szCs w:val="21"/>
                <w:lang w:val="en-US" w:eastAsia="zh-CN"/>
              </w:rPr>
              <w:t>F09ED</w:t>
            </w:r>
          </w:p>
        </w:tc>
        <w:tc>
          <w:tcPr>
            <w:tcW w:w="10786" w:type="dxa"/>
            <w:vAlign w:val="center"/>
          </w:tcPr>
          <w:p>
            <w:pPr>
              <w:rPr>
                <w:rFonts w:asciiTheme="minorEastAsia" w:hAnsiTheme="minorEastAsia"/>
              </w:rPr>
            </w:pPr>
            <w:r>
              <w:rPr>
                <w:rFonts w:hint="eastAsia" w:asciiTheme="minorEastAsia" w:hAnsiTheme="minorEastAsia"/>
              </w:rPr>
              <w:t>一、整机OPS电脑及系统配置要求</w:t>
            </w:r>
          </w:p>
          <w:p>
            <w:pPr>
              <w:rPr>
                <w:rFonts w:asciiTheme="minorEastAsia" w:hAnsiTheme="minorEastAsia"/>
              </w:rPr>
            </w:pPr>
            <w:r>
              <w:rPr>
                <w:rFonts w:hint="eastAsia" w:asciiTheme="minorEastAsia" w:hAnsiTheme="minorEastAsia"/>
              </w:rPr>
              <w:t>1、PC模块可抽拉式插入整机，可实现无单独接线的插拔。</w:t>
            </w:r>
          </w:p>
          <w:p>
            <w:pPr>
              <w:rPr>
                <w:rFonts w:asciiTheme="minorEastAsia" w:hAnsiTheme="minorEastAsia"/>
              </w:rPr>
            </w:pPr>
            <w:r>
              <w:rPr>
                <w:rFonts w:hint="eastAsia" w:asciiTheme="minorEastAsia" w:hAnsiTheme="minorEastAsia"/>
              </w:rPr>
              <w:t>2、CPU：i5或以上配置。</w:t>
            </w:r>
          </w:p>
          <w:p>
            <w:pPr>
              <w:rPr>
                <w:rFonts w:asciiTheme="minorEastAsia" w:hAnsiTheme="minorEastAsia"/>
              </w:rPr>
            </w:pPr>
            <w:r>
              <w:rPr>
                <w:rFonts w:hint="eastAsia" w:asciiTheme="minorEastAsia" w:hAnsiTheme="minorEastAsia"/>
              </w:rPr>
              <w:t>3、内存：8GB 笔记本内存或以上配置。</w:t>
            </w:r>
          </w:p>
          <w:p>
            <w:pPr>
              <w:rPr>
                <w:rFonts w:asciiTheme="minorEastAsia" w:hAnsiTheme="minorEastAsia"/>
              </w:rPr>
            </w:pPr>
            <w:r>
              <w:rPr>
                <w:rFonts w:hint="eastAsia" w:asciiTheme="minorEastAsia" w:hAnsiTheme="minorEastAsia"/>
              </w:rPr>
              <w:t>4、硬盘：256GB或以上SSD固态硬盘配置。</w:t>
            </w:r>
          </w:p>
          <w:p>
            <w:pPr>
              <w:rPr>
                <w:rFonts w:hint="eastAsia" w:asciiTheme="minorEastAsia" w:hAnsiTheme="minorEastAsia"/>
              </w:rPr>
            </w:pPr>
            <w:r>
              <w:rPr>
                <w:rFonts w:hint="eastAsia" w:asciiTheme="minorEastAsia" w:hAnsiTheme="minorEastAsia"/>
              </w:rPr>
              <w:t>★5、嵌入式系统版本不低于Android11.0，内存≥2GB，存储空间≥8GB。</w:t>
            </w:r>
          </w:p>
          <w:p>
            <w:pPr>
              <w:rPr>
                <w:rFonts w:asciiTheme="minorEastAsia" w:hAnsiTheme="minorEastAsia"/>
              </w:rPr>
            </w:pPr>
            <w:r>
              <w:rPr>
                <w:rFonts w:hint="eastAsia" w:asciiTheme="minorEastAsia" w:hAnsiTheme="minorEastAsia"/>
              </w:rPr>
              <w:t>★6、无PC状态下，嵌入式系统内置互动白板支持十笔书写及手掌擦除（手掌擦除面积根据手掌与屏幕的接触面大小自动调整），白板书写内容可导出PDF、IWB、SVG格式。支持10种以上平面图形工具，支持8种以上立体图形工具。</w:t>
            </w:r>
          </w:p>
          <w:p>
            <w:pPr>
              <w:rPr>
                <w:rFonts w:asciiTheme="minorEastAsia" w:hAnsiTheme="minorEastAsia"/>
              </w:rPr>
            </w:pPr>
            <w:r>
              <w:rPr>
                <w:rFonts w:hint="eastAsia" w:asciiTheme="minorEastAsia" w:hAnsiTheme="minorEastAsia"/>
              </w:rPr>
              <w:t>二、显示屏要求</w:t>
            </w:r>
          </w:p>
          <w:p>
            <w:pPr>
              <w:rPr>
                <w:rFonts w:asciiTheme="minorEastAsia" w:hAnsiTheme="minorEastAsia"/>
              </w:rPr>
            </w:pPr>
            <w:r>
              <w:rPr>
                <w:rFonts w:hint="eastAsia" w:asciiTheme="minorEastAsia" w:hAnsiTheme="minorEastAsia"/>
              </w:rPr>
              <w:t>（一）显示系统配置要求</w:t>
            </w:r>
          </w:p>
          <w:p>
            <w:pPr>
              <w:rPr>
                <w:rFonts w:asciiTheme="minorEastAsia" w:hAnsiTheme="minorEastAsia"/>
                <w:strike/>
                <w:dstrike w:val="0"/>
                <w:highlight w:val="yellow"/>
              </w:rPr>
            </w:pPr>
            <w:r>
              <w:rPr>
                <w:rFonts w:hint="eastAsia" w:asciiTheme="minorEastAsia" w:hAnsiTheme="minorEastAsia"/>
              </w:rPr>
              <w:t>★1、采用UHD超高清LED液晶屏，尺寸≥98吋，显示比例16:9，分辨率3840×2160，显示灰度等级≥128。</w:t>
            </w:r>
          </w:p>
          <w:p>
            <w:pPr>
              <w:rPr>
                <w:rFonts w:asciiTheme="minorEastAsia" w:hAnsiTheme="minorEastAsia"/>
              </w:rPr>
            </w:pPr>
            <w:r>
              <w:rPr>
                <w:rFonts w:hint="eastAsia" w:asciiTheme="minorEastAsia" w:hAnsiTheme="minorEastAsia"/>
              </w:rPr>
              <w:t>2、整机视网膜蓝光危害（蓝光加权辐射亮度LB）满足IEC TR 62778:2014蓝光危害RG0级别。</w:t>
            </w:r>
          </w:p>
          <w:p>
            <w:pPr>
              <w:rPr>
                <w:rFonts w:asciiTheme="minorEastAsia" w:hAnsiTheme="minorEastAsia"/>
                <w:strike/>
                <w:dstrike w:val="0"/>
                <w:highlight w:val="yellow"/>
              </w:rPr>
            </w:pPr>
            <w:r>
              <w:rPr>
                <w:rFonts w:hint="eastAsia" w:asciiTheme="minorEastAsia" w:hAnsiTheme="minorEastAsia"/>
              </w:rPr>
              <w:t>★3、整机采用硬件低蓝光背光技术，在源头减少有害蓝光波段能量，蓝光占比（有害蓝光415～455nm能量综合）/（整体蓝光400～500能量综合）＜50%。</w:t>
            </w:r>
          </w:p>
          <w:p>
            <w:pPr>
              <w:rPr>
                <w:rFonts w:asciiTheme="minorEastAsia" w:hAnsiTheme="minorEastAsia"/>
              </w:rPr>
            </w:pPr>
            <w:r>
              <w:rPr>
                <w:rFonts w:hint="eastAsia" w:asciiTheme="minorEastAsia" w:hAnsiTheme="minorEastAsia"/>
              </w:rPr>
              <w:t>4、整机色域覆盖率（NTSC）≥90%。5、整机能感应并自动调节屏幕亮度来达到在不同光照环境下的不同亮度显示效果。此功能可自行开启或关闭。</w:t>
            </w:r>
          </w:p>
          <w:p>
            <w:pPr>
              <w:rPr>
                <w:rFonts w:asciiTheme="minorEastAsia" w:hAnsiTheme="minorEastAsia"/>
              </w:rPr>
            </w:pPr>
            <w:r>
              <w:rPr>
                <w:rFonts w:hint="eastAsia" w:asciiTheme="minorEastAsia" w:hAnsiTheme="minorEastAsia"/>
              </w:rPr>
              <w:t>★6、整机支持色彩空间可选，包含标准模式和sRGB模式，在sRGB模式下可做到高色准△E≤1.5。7、支持标准、多媒体和节能三种图像模式调节；支持可自定义图像设置，可对对比度、屏幕色温、图像亮度、亮度范围、色彩空间进行调节设置。</w:t>
            </w:r>
          </w:p>
          <w:p>
            <w:pPr>
              <w:rPr>
                <w:rFonts w:asciiTheme="minorEastAsia" w:hAnsiTheme="minorEastAsia"/>
              </w:rPr>
            </w:pPr>
            <w:r>
              <w:rPr>
                <w:rFonts w:hint="eastAsia" w:asciiTheme="minorEastAsia" w:hAnsiTheme="minorEastAsia"/>
              </w:rPr>
              <w:t>★8、支持纸质护眼模式，在任意通道任意画面任意软件所在显示内容下可实时调整画面纹理。画面纹理的类型有牛皮纸、素描纸、宣纸。同时支持色温调节和透明度调节；纸质护眼模式下，显示画面各像素点灰度不规则，减少背景干扰。</w:t>
            </w:r>
          </w:p>
          <w:p>
            <w:pPr>
              <w:rPr>
                <w:rFonts w:asciiTheme="minorEastAsia" w:hAnsiTheme="minorEastAsia"/>
              </w:rPr>
            </w:pPr>
            <w:r>
              <w:rPr>
                <w:rFonts w:hint="eastAsia" w:asciiTheme="minorEastAsia" w:hAnsiTheme="minorEastAsia"/>
              </w:rPr>
              <w:t>（二）触控书写系统配置要求</w:t>
            </w:r>
          </w:p>
          <w:p>
            <w:pPr>
              <w:rPr>
                <w:rFonts w:asciiTheme="minorEastAsia" w:hAnsiTheme="minorEastAsia"/>
              </w:rPr>
            </w:pPr>
            <w:r>
              <w:rPr>
                <w:rFonts w:hint="eastAsia" w:asciiTheme="minorEastAsia" w:hAnsiTheme="minorEastAsia"/>
              </w:rPr>
              <w:t>★1、采用红外触控技术，支持Windows系统中进行20点或以上触控。</w:t>
            </w:r>
          </w:p>
          <w:p>
            <w:pPr>
              <w:rPr>
                <w:rFonts w:asciiTheme="minorEastAsia" w:hAnsiTheme="minorEastAsia"/>
              </w:rPr>
            </w:pPr>
            <w:r>
              <w:rPr>
                <w:rFonts w:hint="eastAsia" w:asciiTheme="minorEastAsia" w:hAnsiTheme="minorEastAsia"/>
              </w:rPr>
              <w:t>2、从内部Android通道切换到内部PC通道后，触摸框在1s内达到可触控状态；</w:t>
            </w:r>
          </w:p>
          <w:p>
            <w:pPr>
              <w:rPr>
                <w:rFonts w:asciiTheme="minorEastAsia" w:hAnsiTheme="minorEastAsia"/>
              </w:rPr>
            </w:pPr>
            <w:r>
              <w:rPr>
                <w:rFonts w:hint="eastAsia" w:asciiTheme="minorEastAsia" w:hAnsiTheme="minorEastAsia"/>
              </w:rPr>
              <w:t>从内部PC通道切换到外部通道后，触摸框在3s内达到可触控状态。</w:t>
            </w:r>
          </w:p>
          <w:p>
            <w:pPr>
              <w:rPr>
                <w:rFonts w:asciiTheme="minorEastAsia" w:hAnsiTheme="minorEastAsia"/>
              </w:rPr>
            </w:pPr>
            <w:r>
              <w:rPr>
                <w:rFonts w:hint="eastAsia" w:asciiTheme="minorEastAsia" w:hAnsiTheme="minorEastAsia"/>
              </w:rPr>
              <w:t>3、触摸分辨率32768×32768；触摸屏具有防遮挡功能，触摸接收器在单点或多点遮挡后仍能正常书写。</w:t>
            </w:r>
          </w:p>
          <w:p>
            <w:pPr>
              <w:rPr>
                <w:rFonts w:asciiTheme="minorEastAsia" w:hAnsiTheme="minorEastAsia"/>
              </w:rPr>
            </w:pPr>
            <w:r>
              <w:rPr>
                <w:rFonts w:hint="eastAsia" w:asciiTheme="minorEastAsia" w:hAnsiTheme="minorEastAsia"/>
              </w:rPr>
              <w:t>（三）其他功能要求</w:t>
            </w:r>
          </w:p>
          <w:p>
            <w:pPr>
              <w:rPr>
                <w:rFonts w:hint="eastAsia" w:asciiTheme="minorEastAsia" w:hAnsiTheme="minorEastAsia"/>
              </w:rPr>
            </w:pPr>
            <w:r>
              <w:rPr>
                <w:rFonts w:hint="eastAsia" w:asciiTheme="minorEastAsia" w:hAnsiTheme="minorEastAsia"/>
              </w:rPr>
              <w:t>★1、整机全通道侧边栏快捷菜单包含如下小工具：批注、截屏、计时、降半屏、放大镜、日历。</w:t>
            </w:r>
          </w:p>
          <w:p>
            <w:pPr>
              <w:rPr>
                <w:rFonts w:asciiTheme="minorEastAsia" w:hAnsiTheme="minorEastAsia"/>
              </w:rPr>
            </w:pPr>
            <w:r>
              <w:rPr>
                <w:rFonts w:hint="eastAsia" w:asciiTheme="minorEastAsia" w:hAnsiTheme="minorEastAsia"/>
              </w:rPr>
              <w:t>★2、整机全通道侧边栏支持在任意通道、页面使用批注小工具进行批注讲解，可切换书写笔颜色、截屏保存批注内容、快速清屏，可根据手与屏幕的接触面积自动调整板擦工具的大小。</w:t>
            </w:r>
          </w:p>
          <w:p>
            <w:pPr>
              <w:rPr>
                <w:rFonts w:asciiTheme="minorEastAsia" w:hAnsiTheme="minorEastAsia"/>
              </w:rPr>
            </w:pPr>
            <w:r>
              <w:rPr>
                <w:rFonts w:hint="eastAsia" w:asciiTheme="minorEastAsia" w:hAnsiTheme="minorEastAsia"/>
              </w:rPr>
              <w:t>3、支持通道记忆功能，开机默认回到最近一次关机时的显示通道。</w:t>
            </w:r>
          </w:p>
          <w:p>
            <w:pPr>
              <w:rPr>
                <w:rFonts w:asciiTheme="minorEastAsia" w:hAnsiTheme="minorEastAsia"/>
              </w:rPr>
            </w:pPr>
            <w:r>
              <w:rPr>
                <w:rFonts w:hint="eastAsia" w:asciiTheme="minorEastAsia" w:hAnsiTheme="minorEastAsia"/>
              </w:rPr>
              <w:t>4、支持自定义开机通道，用户可设置默认通道，开机自动进入无需手动切换。</w:t>
            </w:r>
          </w:p>
          <w:p>
            <w:pPr>
              <w:rPr>
                <w:rFonts w:asciiTheme="minorEastAsia" w:hAnsiTheme="minorEastAsia"/>
              </w:rPr>
            </w:pPr>
            <w:r>
              <w:rPr>
                <w:rFonts w:hint="eastAsia" w:asciiTheme="minorEastAsia" w:hAnsiTheme="minorEastAsia"/>
              </w:rPr>
              <w:t>5、整机具备智能手势识别功能，在任意信号源通道下可识别五指上、下、左、右方向手势，左右晃动、缩/放方向手势滑动并调用相应功能，支持将各手势滑动方向自定义设置为无操作、熄屏、批注、桌面、半屏模式。</w:t>
            </w:r>
          </w:p>
          <w:p>
            <w:pPr>
              <w:rPr>
                <w:rFonts w:asciiTheme="minorEastAsia" w:hAnsiTheme="minorEastAsia"/>
              </w:rPr>
            </w:pPr>
            <w:r>
              <w:rPr>
                <w:rFonts w:hint="eastAsia" w:asciiTheme="minorEastAsia" w:hAnsiTheme="minorEastAsia"/>
              </w:rPr>
              <w:t>★6、支持统一互通的用户身份认证服务，账号登录后，打开教学白板软件、学生行为评价软件的教学应用工具时无需再次输入账号密码重复登录。</w:t>
            </w:r>
          </w:p>
          <w:p>
            <w:pPr>
              <w:rPr>
                <w:rFonts w:asciiTheme="minorEastAsia" w:hAnsiTheme="minorEastAsia"/>
              </w:rPr>
            </w:pPr>
            <w:r>
              <w:rPr>
                <w:rFonts w:hint="eastAsia" w:asciiTheme="minorEastAsia" w:hAnsiTheme="minorEastAsia"/>
              </w:rPr>
              <w:t>★7、教师在整机设备教学桌面登录账号后，可自动获取并在桌面显示最近使用的教学课件，点击任意课件可直接进入授课模式。支持查看所有个人教学课件资源。</w:t>
            </w:r>
          </w:p>
          <w:p>
            <w:pPr>
              <w:rPr>
                <w:rFonts w:asciiTheme="minorEastAsia" w:hAnsiTheme="minorEastAsia"/>
              </w:rPr>
            </w:pPr>
            <w:r>
              <w:rPr>
                <w:rFonts w:hint="eastAsia" w:asciiTheme="minorEastAsia" w:hAnsiTheme="minorEastAsia"/>
              </w:rPr>
              <w:t>三、整机内置功能要求</w:t>
            </w:r>
          </w:p>
          <w:p>
            <w:pPr>
              <w:rPr>
                <w:rFonts w:asciiTheme="minorEastAsia" w:hAnsiTheme="minorEastAsia"/>
              </w:rPr>
            </w:pPr>
            <w:r>
              <w:rPr>
                <w:rFonts w:hint="eastAsia" w:asciiTheme="minorEastAsia" w:hAnsiTheme="minorEastAsia"/>
              </w:rPr>
              <w:t>（一）摄像头配置要求</w:t>
            </w:r>
          </w:p>
          <w:p>
            <w:pPr>
              <w:rPr>
                <w:rFonts w:asciiTheme="minorEastAsia" w:hAnsiTheme="minorEastAsia"/>
              </w:rPr>
            </w:pPr>
            <w:r>
              <w:rPr>
                <w:rFonts w:hint="eastAsia" w:asciiTheme="minorEastAsia" w:hAnsiTheme="minorEastAsia"/>
              </w:rPr>
              <w:t>★1、整机内置非独立摄像头，拍摄像素数≥4800万。摄像头视场角≥120度。</w:t>
            </w:r>
          </w:p>
          <w:p>
            <w:pPr>
              <w:rPr>
                <w:rFonts w:asciiTheme="minorEastAsia" w:hAnsiTheme="minorEastAsia"/>
              </w:rPr>
            </w:pPr>
            <w:r>
              <w:rPr>
                <w:rFonts w:hint="eastAsia" w:asciiTheme="minorEastAsia" w:hAnsiTheme="minorEastAsia"/>
              </w:rPr>
              <w:t>2、整机摄像头支持≥于10米距离时实现AI识别人像。</w:t>
            </w:r>
          </w:p>
          <w:p>
            <w:pPr>
              <w:rPr>
                <w:rFonts w:asciiTheme="minorEastAsia" w:hAnsiTheme="minorEastAsia"/>
              </w:rPr>
            </w:pPr>
            <w:r>
              <w:rPr>
                <w:rFonts w:hint="eastAsia" w:asciiTheme="minorEastAsia" w:hAnsiTheme="minorEastAsia"/>
              </w:rPr>
              <w:t>3、整机摄像头支持环境色温判断，根据环境调节合适的显示图像效果。</w:t>
            </w:r>
          </w:p>
          <w:p>
            <w:pPr>
              <w:rPr>
                <w:rFonts w:asciiTheme="minorEastAsia" w:hAnsiTheme="minorEastAsia"/>
              </w:rPr>
            </w:pPr>
            <w:r>
              <w:rPr>
                <w:rFonts w:hint="eastAsia" w:asciiTheme="minorEastAsia" w:hAnsiTheme="minorEastAsia"/>
              </w:rPr>
              <w:t>★4、整机摄像头支持人脸识别、快速点人数、随机抽人；识别所有学生，显示标记，然后随机抽选，同时显示标记不少于60人。</w:t>
            </w:r>
          </w:p>
          <w:p>
            <w:pPr>
              <w:rPr>
                <w:rFonts w:asciiTheme="minorEastAsia" w:hAnsiTheme="minorEastAsia"/>
              </w:rPr>
            </w:pPr>
            <w:r>
              <w:rPr>
                <w:rFonts w:hint="eastAsia" w:asciiTheme="minorEastAsia" w:hAnsiTheme="minorEastAsia"/>
              </w:rPr>
              <w:t>（二）音频配置要求</w:t>
            </w:r>
          </w:p>
          <w:p>
            <w:pPr>
              <w:rPr>
                <w:rFonts w:asciiTheme="minorEastAsia" w:hAnsiTheme="minorEastAsia"/>
              </w:rPr>
            </w:pPr>
            <w:r>
              <w:rPr>
                <w:rFonts w:hint="eastAsia" w:asciiTheme="minorEastAsia" w:hAnsiTheme="minorEastAsia"/>
              </w:rPr>
              <w:t>★1、整机内置非独立外扩展的8阵列麦克风，可用于对教室环境音频进行采集，拾音距离≥11m。</w:t>
            </w:r>
          </w:p>
          <w:p>
            <w:pPr>
              <w:rPr>
                <w:rFonts w:asciiTheme="minorEastAsia" w:hAnsiTheme="minorEastAsia"/>
              </w:rPr>
            </w:pPr>
            <w:r>
              <w:rPr>
                <w:rFonts w:hint="eastAsia" w:asciiTheme="minorEastAsia" w:hAnsiTheme="minorEastAsia"/>
              </w:rPr>
              <w:t>★2、整机内置2.1声道扬声器，位于设备下边框，朝前发声，前朝向15W中高音扬声器2个，后朝向20W低音扬声器1个，额定总功率50W。</w:t>
            </w:r>
          </w:p>
          <w:p>
            <w:pPr>
              <w:rPr>
                <w:rFonts w:asciiTheme="minorEastAsia" w:hAnsiTheme="minorEastAsia"/>
              </w:rPr>
            </w:pPr>
            <w:r>
              <w:rPr>
                <w:rFonts w:hint="eastAsia" w:asciiTheme="minorEastAsia" w:hAnsiTheme="minorEastAsia"/>
              </w:rPr>
              <w:t>3、支持标准、听力、观影三种音效模式调节。</w:t>
            </w:r>
          </w:p>
          <w:p>
            <w:pPr>
              <w:rPr>
                <w:rFonts w:asciiTheme="minorEastAsia" w:hAnsiTheme="minorEastAsia"/>
              </w:rPr>
            </w:pPr>
            <w:r>
              <w:rPr>
                <w:rFonts w:hint="eastAsia" w:asciiTheme="minorEastAsia" w:hAnsiTheme="minorEastAsia"/>
              </w:rPr>
              <w:t>★4、整机内置扬声器采用缝隙发声技术，喇叭采用槽式开口设计，不大于3mm；在100%音量下，可做到1米处声压级≥88db，10米处声压级≥73dB。</w:t>
            </w:r>
          </w:p>
          <w:p>
            <w:pPr>
              <w:rPr>
                <w:rFonts w:asciiTheme="minorEastAsia" w:hAnsiTheme="minorEastAsia"/>
              </w:rPr>
            </w:pPr>
            <w:r>
              <w:rPr>
                <w:rFonts w:hint="eastAsia" w:asciiTheme="minorEastAsia" w:hAnsiTheme="minorEastAsia"/>
              </w:rPr>
              <w:t>5、支持高级音效设置，可以调节左右声道平衡；在中低频段125Hz～1KHz，高频段2KHz～16KHz分别有-12dB～12dB范围的调节功能。</w:t>
            </w:r>
          </w:p>
          <w:p>
            <w:pPr>
              <w:rPr>
                <w:rFonts w:asciiTheme="minorEastAsia" w:hAnsiTheme="minorEastAsia"/>
              </w:rPr>
            </w:pPr>
            <w:r>
              <w:rPr>
                <w:rFonts w:hint="eastAsia" w:asciiTheme="minorEastAsia" w:hAnsiTheme="minorEastAsia"/>
              </w:rPr>
              <w:t>（三）网络及蓝牙功能要求</w:t>
            </w:r>
          </w:p>
          <w:p>
            <w:pPr>
              <w:rPr>
                <w:rFonts w:asciiTheme="minorEastAsia" w:hAnsiTheme="minorEastAsia"/>
              </w:rPr>
            </w:pPr>
            <w:r>
              <w:rPr>
                <w:rFonts w:hint="eastAsia" w:asciiTheme="minorEastAsia" w:hAnsiTheme="minorEastAsia"/>
              </w:rPr>
              <w:t xml:space="preserve">1、整机内置无线网络模块，PC模块无任何外接或转接天线、网卡可实现Wi-Fi无线上网连接和AP无线热点发射。 </w:t>
            </w:r>
          </w:p>
          <w:p>
            <w:pPr>
              <w:rPr>
                <w:rFonts w:asciiTheme="minorEastAsia" w:hAnsiTheme="minorEastAsia"/>
              </w:rPr>
            </w:pPr>
            <w:r>
              <w:rPr>
                <w:rFonts w:hint="eastAsia" w:asciiTheme="minorEastAsia" w:hAnsiTheme="minorEastAsia"/>
              </w:rPr>
              <w:t>★2、Wi-Fi和AP热点均支持频段 2.4GHz/5GHz ，Wi-Fi制式支持IEEE 802.11 a/b/g/n/ac/ax；支持版本Wi-Fi6。</w:t>
            </w:r>
          </w:p>
          <w:p>
            <w:pPr>
              <w:rPr>
                <w:rFonts w:asciiTheme="minorEastAsia" w:hAnsiTheme="minorEastAsia"/>
              </w:rPr>
            </w:pPr>
            <w:r>
              <w:rPr>
                <w:rFonts w:hint="eastAsia" w:asciiTheme="minorEastAsia" w:hAnsiTheme="minorEastAsia"/>
              </w:rPr>
              <w:t>★3、Wi-Fi和AP热点工作距离≥10米。</w:t>
            </w:r>
          </w:p>
          <w:p>
            <w:pPr>
              <w:rPr>
                <w:rFonts w:asciiTheme="minorEastAsia" w:hAnsiTheme="minorEastAsia"/>
              </w:rPr>
            </w:pPr>
            <w:r>
              <w:rPr>
                <w:rFonts w:hint="eastAsia" w:asciiTheme="minorEastAsia" w:hAnsiTheme="minorEastAsia"/>
              </w:rPr>
              <w:t>★4、整机支持蓝牙Bluetooth 5.2标准，固件版本号HCI11.20/LMP11.20</w:t>
            </w:r>
          </w:p>
          <w:p>
            <w:pPr>
              <w:rPr>
                <w:rFonts w:asciiTheme="minorEastAsia" w:hAnsiTheme="minorEastAsia"/>
              </w:rPr>
            </w:pPr>
            <w:r>
              <w:rPr>
                <w:rFonts w:hint="eastAsia" w:asciiTheme="minorEastAsia" w:hAnsiTheme="minorEastAsia"/>
              </w:rPr>
              <w:t>5、整机支持主动发现蓝牙外设从而连接（无需整机进入发现模式），支持连接外部蓝牙音箱播放音频。</w:t>
            </w:r>
          </w:p>
          <w:p>
            <w:pPr>
              <w:rPr>
                <w:rFonts w:asciiTheme="minorEastAsia" w:hAnsiTheme="minorEastAsia"/>
              </w:rPr>
            </w:pPr>
            <w:r>
              <w:rPr>
                <w:rFonts w:hint="eastAsia" w:asciiTheme="minorEastAsia" w:hAnsiTheme="minorEastAsia"/>
              </w:rPr>
              <w:t>★6、整机内置NFC读卡模块，可配合应用实现刷卡解锁，刷卡登录账号功能。</w:t>
            </w:r>
          </w:p>
          <w:p>
            <w:pPr>
              <w:rPr>
                <w:rFonts w:asciiTheme="minorEastAsia" w:hAnsiTheme="minorEastAsia"/>
              </w:rPr>
            </w:pPr>
            <w:r>
              <w:rPr>
                <w:rFonts w:hint="eastAsia" w:asciiTheme="minorEastAsia" w:hAnsiTheme="minorEastAsia"/>
              </w:rPr>
              <w:t>四、教学备授课系统</w:t>
            </w:r>
          </w:p>
          <w:p>
            <w:pPr>
              <w:rPr>
                <w:rFonts w:asciiTheme="minorEastAsia" w:hAnsiTheme="minorEastAsia"/>
              </w:rPr>
            </w:pPr>
            <w:r>
              <w:rPr>
                <w:rFonts w:hint="eastAsia" w:asciiTheme="minorEastAsia" w:hAnsiTheme="minorEastAsia"/>
              </w:rPr>
              <w:t>1、支持老师个人账号注册登录使用，也可通过USB key进行身份快速识别登录，登录后可实现白板软件与资源分享平台对接，对资源进行上传、下载；支持课件云存储、云同步。</w:t>
            </w:r>
          </w:p>
          <w:p>
            <w:pPr>
              <w:rPr>
                <w:rFonts w:asciiTheme="minorEastAsia" w:hAnsiTheme="minorEastAsia"/>
              </w:rPr>
            </w:pPr>
            <w:r>
              <w:rPr>
                <w:rFonts w:hint="eastAsia" w:asciiTheme="minorEastAsia" w:hAnsiTheme="minorEastAsia"/>
              </w:rPr>
              <w:t>2、提供多种笔的书写方式；支持点擦除、选择擦除、滑动清页擦除及手势擦除，且能够根据手与屏幕的接触面积自动调整手势板擦工具的大小。</w:t>
            </w:r>
          </w:p>
          <w:p>
            <w:pPr>
              <w:rPr>
                <w:rFonts w:asciiTheme="minorEastAsia" w:hAnsiTheme="minorEastAsia"/>
              </w:rPr>
            </w:pPr>
            <w:r>
              <w:rPr>
                <w:rFonts w:hint="eastAsia" w:asciiTheme="minorEastAsia" w:hAnsiTheme="minorEastAsia"/>
              </w:rPr>
              <w:t>3、支持意见反馈机制，老师可通过软件给原厂发送问题及反馈建议，支持文字及图片。</w:t>
            </w:r>
          </w:p>
          <w:p>
            <w:pPr>
              <w:rPr>
                <w:rFonts w:asciiTheme="minorEastAsia" w:hAnsiTheme="minorEastAsia"/>
              </w:rPr>
            </w:pPr>
            <w:r>
              <w:rPr>
                <w:rFonts w:hint="eastAsia" w:asciiTheme="minorEastAsia" w:hAnsiTheme="minorEastAsia"/>
              </w:rPr>
              <w:t>4、支持美术画板工具，提供铅笔、毛笔、油画笔，可实现模拟调色盘功能，能自由选择不同颜色进行混合调色，搭配出任意色彩。</w:t>
            </w:r>
          </w:p>
          <w:p>
            <w:pPr>
              <w:rPr>
                <w:rFonts w:asciiTheme="minorEastAsia" w:hAnsiTheme="minorEastAsia"/>
              </w:rPr>
            </w:pPr>
            <w:r>
              <w:rPr>
                <w:rFonts w:hint="eastAsia" w:asciiTheme="minorEastAsia" w:hAnsiTheme="minorEastAsia"/>
              </w:rPr>
              <w:t>5、提供立体地球教学工具、3D立体星球模型，支持360°自由旋转、缩放展示，且支持三维、二维切换展示，方便地理学科教学。</w:t>
            </w:r>
          </w:p>
          <w:p>
            <w:pPr>
              <w:rPr>
                <w:rFonts w:asciiTheme="minorEastAsia" w:hAnsiTheme="minorEastAsia"/>
              </w:rPr>
            </w:pPr>
            <w:r>
              <w:rPr>
                <w:rFonts w:hint="eastAsia" w:asciiTheme="minorEastAsia" w:hAnsiTheme="minorEastAsia"/>
              </w:rPr>
              <w:t>6、支持在线升级：支持联网自动更新检查及在线升级。</w:t>
            </w:r>
          </w:p>
          <w:p>
            <w:pPr>
              <w:rPr>
                <w:rFonts w:asciiTheme="minorEastAsia" w:hAnsiTheme="minorEastAsia"/>
              </w:rPr>
            </w:pPr>
            <w:r>
              <w:rPr>
                <w:rFonts w:hint="eastAsia" w:asciiTheme="minorEastAsia" w:hAnsiTheme="minorEastAsia"/>
              </w:rPr>
              <w:t>7、提供边写边擦功能：软件支持至少两位同学在选择书写的状态下能够同时进行书写和使用手势识别擦除，两位同学之间互不影响。</w:t>
            </w:r>
          </w:p>
          <w:p>
            <w:pPr>
              <w:rPr>
                <w:rFonts w:asciiTheme="minorEastAsia" w:hAnsiTheme="minorEastAsia"/>
              </w:rPr>
            </w:pPr>
            <w:r>
              <w:rPr>
                <w:rFonts w:hint="eastAsia" w:asciiTheme="minorEastAsia" w:hAnsiTheme="minorEastAsia"/>
              </w:rPr>
              <w:t>8、采用备授课一体化框架设计，教师可根据教学场景自由切换类PPT界面的备课模式与触控交互教学模式，适用于教室、办公室等不同教学环境，便于教师教学使用。</w:t>
            </w:r>
          </w:p>
          <w:p>
            <w:pPr>
              <w:rPr>
                <w:rFonts w:asciiTheme="minorEastAsia" w:hAnsiTheme="minorEastAsia"/>
              </w:rPr>
            </w:pPr>
            <w:r>
              <w:rPr>
                <w:rFonts w:hint="eastAsia" w:asciiTheme="minorEastAsia" w:hAnsiTheme="minorEastAsia"/>
              </w:rPr>
              <w:t>9、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p>
            <w:pPr>
              <w:rPr>
                <w:rFonts w:asciiTheme="minorEastAsia" w:hAnsiTheme="minorEastAsia"/>
              </w:rPr>
            </w:pPr>
            <w:r>
              <w:rPr>
                <w:rFonts w:hint="eastAsia" w:asciiTheme="minorEastAsia" w:hAnsiTheme="minorEastAsia"/>
              </w:rPr>
              <w:t>10、互动课件内容的编辑修改无需人为保存即可自动同步至云空间，可根据教师需要调整云空间自动同步的时间间隔，避免教学资源的损坏、遗失。</w:t>
            </w:r>
          </w:p>
          <w:p>
            <w:pPr>
              <w:rPr>
                <w:rFonts w:asciiTheme="minorEastAsia" w:hAnsiTheme="minorEastAsia"/>
              </w:rPr>
            </w:pPr>
            <w:r>
              <w:rPr>
                <w:rFonts w:hint="eastAsia" w:asciiTheme="minorEastAsia" w:hAnsiTheme="minorEastAsia"/>
              </w:rPr>
              <w:t>11、教师可在移动平台选择是否接收获取的分享课件，接收后课件储存至个人云空间，可在移动平台的互动课件列表预览。</w:t>
            </w:r>
          </w:p>
          <w:p>
            <w:pPr>
              <w:rPr>
                <w:rFonts w:asciiTheme="minorEastAsia" w:hAnsiTheme="minorEastAsia"/>
              </w:rPr>
            </w:pPr>
            <w:r>
              <w:rPr>
                <w:rFonts w:hint="eastAsia" w:asciiTheme="minorEastAsia" w:hAnsiTheme="minorEastAsia"/>
              </w:rPr>
              <w:t>12、教学【系统/软件/平台】支持PPT的原生解析，教师可将pptx课件转化为互动教学课件，支持单份导入和批量文件夹导入两种格式，保留pptx原文件中的文字、图片、表格等对象及动画的可编辑性，并可为课件增加互动教学元素。</w:t>
            </w:r>
          </w:p>
          <w:p>
            <w:pPr>
              <w:rPr>
                <w:rFonts w:asciiTheme="minorEastAsia" w:hAnsiTheme="minorEastAsia"/>
              </w:rPr>
            </w:pPr>
            <w:r>
              <w:rPr>
                <w:rFonts w:hint="eastAsia" w:asciiTheme="minorEastAsia" w:hAnsiTheme="minorEastAsia"/>
              </w:rPr>
              <w:t>13、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pPr>
              <w:rPr>
                <w:rFonts w:asciiTheme="minorEastAsia" w:hAnsiTheme="minorEastAsia"/>
              </w:rPr>
            </w:pPr>
            <w:r>
              <w:rPr>
                <w:rFonts w:hint="eastAsia" w:asciiTheme="minorEastAsia" w:hAnsiTheme="minorEastAsia"/>
              </w:rPr>
              <w:t>14、支持创建互动分类，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模板，直接选择并输入相应内容即可轻松生成互动分类，提升课堂趣味性。</w:t>
            </w:r>
          </w:p>
          <w:p>
            <w:pPr>
              <w:rPr>
                <w:rFonts w:asciiTheme="minorEastAsia" w:hAnsiTheme="minorEastAsia"/>
              </w:rPr>
            </w:pPr>
            <w:r>
              <w:rPr>
                <w:rFonts w:hint="eastAsia" w:asciiTheme="minorEastAsia" w:hAnsiTheme="minorEastAsia"/>
              </w:rPr>
              <w:t>15、支持创建智能选词填空活动，填空选项支持并列选项，并列选项支持答案互换，教师可随意编辑填空题题干以及相应的答案选项，将选项拖到对应题干空白处，系统自动判断答案正误，系统需提供不少于10种模板，且模板样式支持自定义修改。</w:t>
            </w:r>
          </w:p>
          <w:p>
            <w:pPr>
              <w:rPr>
                <w:rFonts w:asciiTheme="minorEastAsia" w:hAnsiTheme="minorEastAsia"/>
              </w:rPr>
            </w:pPr>
            <w:r>
              <w:rPr>
                <w:rFonts w:hint="eastAsia" w:asciiTheme="minorEastAsia" w:hAnsiTheme="minorEastAsia"/>
              </w:rPr>
              <w:t>16、支持创建配对模板，教师可随意将知识点进行配对。当开始配对时，拖动知识点进行配对，系统将自动判断是否正确。系统至少提供10种模版，且模版样式支持自定义修改，同时支持设置干扰项。</w:t>
            </w:r>
          </w:p>
          <w:p>
            <w:pPr>
              <w:rPr>
                <w:rFonts w:asciiTheme="minorEastAsia" w:hAnsiTheme="minorEastAsia"/>
              </w:rPr>
            </w:pPr>
            <w:r>
              <w:rPr>
                <w:rFonts w:hint="eastAsia" w:asciiTheme="minorEastAsia" w:hAnsiTheme="minorEastAsia"/>
              </w:rPr>
              <w:t>17、支持创建分组竞争模板，教师可设置正确项／干扰项，让两组学生开展竞争。提供不少于3种难度、10种模版供选择，且模版样式支持自定义修改。</w:t>
            </w:r>
          </w:p>
          <w:p>
            <w:pPr>
              <w:rPr>
                <w:rFonts w:asciiTheme="minorEastAsia" w:hAnsiTheme="minorEastAsia"/>
              </w:rPr>
            </w:pPr>
            <w:r>
              <w:rPr>
                <w:rFonts w:hint="eastAsia" w:asciiTheme="minorEastAsia" w:hAnsiTheme="minorEastAsia"/>
              </w:rPr>
              <w:t>18、支持创建判断题竞赛活动，教师可设置正确项／干扰项，让两组学生进行判断对错竞争。提供简单、中等、困难难度及多种预设背景模版，模版样式支持自定义修改。</w:t>
            </w:r>
          </w:p>
          <w:p>
            <w:pPr>
              <w:rPr>
                <w:rFonts w:asciiTheme="minorEastAsia" w:hAnsiTheme="minorEastAsia"/>
              </w:rPr>
            </w:pPr>
            <w:r>
              <w:rPr>
                <w:rFonts w:hint="eastAsia" w:asciiTheme="minorEastAsia" w:hAnsiTheme="minorEastAsia"/>
              </w:rPr>
              <w:t>二）白板软件移动端</w:t>
            </w:r>
          </w:p>
          <w:p>
            <w:pPr>
              <w:rPr>
                <w:rFonts w:asciiTheme="minorEastAsia" w:hAnsiTheme="minorEastAsia"/>
              </w:rPr>
            </w:pPr>
            <w:r>
              <w:rPr>
                <w:rFonts w:hint="eastAsia" w:asciiTheme="minorEastAsia" w:hAnsiTheme="minorEastAsia"/>
              </w:rPr>
              <w:t>1、系统要求：支持Android 5.0及以上、iOS 9.0及以上系统的设备使用。</w:t>
            </w:r>
          </w:p>
          <w:p>
            <w:pPr>
              <w:rPr>
                <w:rFonts w:asciiTheme="minorEastAsia" w:hAnsiTheme="minorEastAsia"/>
              </w:rPr>
            </w:pPr>
            <w:r>
              <w:rPr>
                <w:rFonts w:hint="eastAsia" w:asciiTheme="minorEastAsia" w:hAnsiTheme="minorEastAsia"/>
              </w:rPr>
              <w:t>2、环境要求：不需借助任何外接设备，只需手机与交互智能平板能访问互联网，即可进行移动授课。</w:t>
            </w:r>
          </w:p>
          <w:p>
            <w:pPr>
              <w:rPr>
                <w:rFonts w:asciiTheme="minorEastAsia" w:hAnsiTheme="minorEastAsia"/>
              </w:rPr>
            </w:pPr>
            <w:r>
              <w:rPr>
                <w:rFonts w:hint="eastAsia" w:asciiTheme="minorEastAsia" w:hAnsiTheme="minorEastAsia"/>
              </w:rPr>
              <w:t>3、自动连接：在手机与交互智能平板的备授课软件上登录同一账号后，设备间会通过账号识别自动连接，无需用户手动连接。</w:t>
            </w:r>
          </w:p>
          <w:p>
            <w:pPr>
              <w:rPr>
                <w:rFonts w:asciiTheme="minorEastAsia" w:hAnsiTheme="minorEastAsia"/>
              </w:rPr>
            </w:pPr>
            <w:r>
              <w:rPr>
                <w:rFonts w:hint="eastAsia" w:asciiTheme="minorEastAsia" w:hAnsiTheme="minorEastAsia"/>
              </w:rPr>
              <w:t>4、预览课件：在手机上登录账号后，支持以列表的方式查看该账号里所有的云课件，并支持打开其中某份课件在线预览，预览时支持显示缩略图目录，支持通过缩略图目录跳页。</w:t>
            </w:r>
          </w:p>
          <w:p>
            <w:pPr>
              <w:rPr>
                <w:rFonts w:asciiTheme="minorEastAsia" w:hAnsiTheme="minorEastAsia"/>
              </w:rPr>
            </w:pPr>
            <w:r>
              <w:rPr>
                <w:rFonts w:hint="eastAsia" w:asciiTheme="minorEastAsia" w:hAnsiTheme="minorEastAsia"/>
              </w:rPr>
              <w:t>5、互动课件：预览模式下的云课件支持元素拖拽、克隆、置顶、删除等互动功能，支持在手机上进行思维导图、课堂活动等操作。</w:t>
            </w:r>
          </w:p>
          <w:p>
            <w:pPr>
              <w:rPr>
                <w:rFonts w:hint="eastAsia" w:asciiTheme="minorEastAsia" w:hAnsiTheme="minorEastAsia"/>
              </w:rPr>
            </w:pPr>
            <w:r>
              <w:rPr>
                <w:rFonts w:hint="eastAsia" w:asciiTheme="minorEastAsia" w:hAnsiTheme="minorEastAsia"/>
              </w:rPr>
              <w:t>6、分享课件支持云课件通过微信好友、朋友圈、手机号（可调用手机通讯录）、二维码、普通链接、加密链接等方式分享，同时支持将分享的有效期设置为1天/7天/30天/永久中的一种。</w:t>
            </w:r>
          </w:p>
          <w:p>
            <w:pPr>
              <w:rPr>
                <w:rFonts w:hint="eastAsia" w:asciiTheme="minorEastAsia" w:hAnsiTheme="minorEastAsia"/>
              </w:rPr>
            </w:pPr>
            <w:r>
              <w:rPr>
                <w:rFonts w:hint="eastAsia" w:asciiTheme="minorEastAsia" w:hAnsiTheme="minorEastAsia"/>
              </w:rPr>
              <w:t>五、其他要求</w:t>
            </w:r>
          </w:p>
          <w:p>
            <w:pPr>
              <w:rPr>
                <w:rFonts w:eastAsia="Malgun Gothic"/>
                <w:color w:val="auto"/>
              </w:rPr>
            </w:pPr>
            <w:r>
              <w:rPr>
                <w:rFonts w:hint="eastAsia" w:asciiTheme="minorEastAsia" w:hAnsiTheme="minorEastAsia"/>
              </w:rPr>
              <w:t>★1、为确保货物质量，正式供货时须提供生产厂家针对此项目售后服务保证函原件</w:t>
            </w:r>
            <w:bookmarkStart w:id="1" w:name="_GoBack"/>
            <w:r>
              <w:rPr>
                <w:rFonts w:hint="eastAsia" w:asciiTheme="minorEastAsia" w:hAnsiTheme="minorEastAsia"/>
              </w:rPr>
              <w:t>及供货证明原件</w:t>
            </w:r>
            <w:r>
              <w:rPr>
                <w:rFonts w:hint="eastAsia" w:asciiTheme="minorEastAsia" w:hAnsiTheme="minorEastAsia"/>
                <w:lang w:val="en-US" w:eastAsia="zh-CN"/>
              </w:rPr>
              <w:t>,</w:t>
            </w:r>
            <w:r>
              <w:rPr>
                <w:rFonts w:hint="eastAsia" w:asciiTheme="minorEastAsia" w:hAnsiTheme="minorEastAsia"/>
              </w:rPr>
              <w:t>中标单位签定合同须提供中国国家强制性产品认证证书原件并加盖厂商公章、提供节能产品认证证书原件并加盖厂商公章。</w:t>
            </w:r>
            <w:bookmarkEnd w:id="1"/>
          </w:p>
        </w:tc>
        <w:tc>
          <w:tcPr>
            <w:tcW w:w="850" w:type="dxa"/>
            <w:vAlign w:val="center"/>
          </w:tcPr>
          <w:p>
            <w:pPr>
              <w:jc w:val="center"/>
              <w:rPr>
                <w:rFonts w:hint="default"/>
                <w:lang w:val="en-US" w:eastAsia="zh-CN"/>
              </w:rPr>
            </w:pPr>
            <w:r>
              <w:rPr>
                <w:rFonts w:hint="eastAsia"/>
                <w:lang w:val="en-US" w:eastAsia="zh-CN"/>
              </w:rPr>
              <w:t>4套</w:t>
            </w:r>
          </w:p>
        </w:tc>
        <w:tc>
          <w:tcPr>
            <w:tcW w:w="800" w:type="dxa"/>
            <w:vAlign w:val="center"/>
          </w:tcPr>
          <w:p>
            <w:pPr>
              <w:jc w:val="center"/>
            </w:pPr>
            <w:r>
              <w:t>46000</w:t>
            </w:r>
          </w:p>
        </w:tc>
        <w:tc>
          <w:tcPr>
            <w:tcW w:w="875" w:type="dxa"/>
            <w:vAlign w:val="center"/>
          </w:tcPr>
          <w:p>
            <w:pPr>
              <w:jc w:val="center"/>
            </w:pPr>
            <w:r>
              <w:rPr>
                <w:rFonts w:hint="eastAsia"/>
              </w:rPr>
              <w:t>18</w:t>
            </w:r>
            <w:r>
              <w:t>4000</w:t>
            </w:r>
          </w:p>
        </w:tc>
      </w:tr>
    </w:tbl>
    <w:p/>
    <w:sectPr>
      <w:footerReference r:id="rId4" w:type="first"/>
      <w:footerReference r:id="rId3" w:type="default"/>
      <w:pgSz w:w="16838" w:h="11906" w:orient="landscape"/>
      <w:pgMar w:top="1304" w:right="1134" w:bottom="1304" w:left="1134" w:header="680"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pPr>
                          <w:r>
                            <w:fldChar w:fldCharType="begin"/>
                          </w:r>
                          <w:r>
                            <w:instrText xml:space="preserve"> PAGE  \* MERGEFORMAT </w:instrText>
                          </w:r>
                          <w:r>
                            <w:fldChar w:fldCharType="separate"/>
                          </w:r>
                          <w:r>
                            <w:t>61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nR+eU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WfApZ1YYavjh54/D/e/D&#10;r+9sGu1pnc8p69ZRXujeQkdDk6R6dwPyq2cWrmthN+oKEdpaiZLoTeLL7NHTHsdHkHX7AUqqI7YB&#10;ElBXoYnekRuM0Kk1+1NrVBeYpMPZ+fnFjDNJN5PXk7OzWSog8uGtQx/eKTAsBgVHanzCFrsbHyIX&#10;kQ8psZSFlW6a1PzG/nVAifEkcY90e+KhW3dHL9ZQ7kkFQj9L9JMoqAG/cdbSHBXc0rfhrHlvyYc4&#10;ckOAQ7AeAmElPSx44KwPr0M/mluHelMT7uD0FXm10klINLXncGRJk5H0Hac4jt7jfcp6+L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B50fnlCgIAAAEEAAAOAAAAAAAAAAEAIAAAAB8BAABk&#10;cnMvZTJvRG9jLnhtbFBLBQYAAAAABgAGAFkBAACb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23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4MDEzZmYxNzRjZWU5YWMyNmMwMWQyNmQyMGY5NWIifQ=="/>
  </w:docVars>
  <w:rsids>
    <w:rsidRoot w:val="00190887"/>
    <w:rsid w:val="00026F04"/>
    <w:rsid w:val="000378BA"/>
    <w:rsid w:val="0008040F"/>
    <w:rsid w:val="0016019E"/>
    <w:rsid w:val="00190887"/>
    <w:rsid w:val="00207579"/>
    <w:rsid w:val="00215A1A"/>
    <w:rsid w:val="003876AD"/>
    <w:rsid w:val="004026B1"/>
    <w:rsid w:val="0041135C"/>
    <w:rsid w:val="004A6658"/>
    <w:rsid w:val="004C298D"/>
    <w:rsid w:val="004C3749"/>
    <w:rsid w:val="005F07D7"/>
    <w:rsid w:val="006543CF"/>
    <w:rsid w:val="00674A30"/>
    <w:rsid w:val="00676873"/>
    <w:rsid w:val="006A19DE"/>
    <w:rsid w:val="007131A4"/>
    <w:rsid w:val="00745ED4"/>
    <w:rsid w:val="00755EF5"/>
    <w:rsid w:val="007C0814"/>
    <w:rsid w:val="007D2B68"/>
    <w:rsid w:val="007D7788"/>
    <w:rsid w:val="007E1688"/>
    <w:rsid w:val="00886B09"/>
    <w:rsid w:val="00910F0C"/>
    <w:rsid w:val="009833B5"/>
    <w:rsid w:val="00A41378"/>
    <w:rsid w:val="00A61D20"/>
    <w:rsid w:val="00AA24F9"/>
    <w:rsid w:val="00AE07CC"/>
    <w:rsid w:val="00B76D35"/>
    <w:rsid w:val="00BB0990"/>
    <w:rsid w:val="00BD0A55"/>
    <w:rsid w:val="00BF734B"/>
    <w:rsid w:val="00C24F31"/>
    <w:rsid w:val="00C52C4C"/>
    <w:rsid w:val="00E06BF8"/>
    <w:rsid w:val="00EA696E"/>
    <w:rsid w:val="00EC5094"/>
    <w:rsid w:val="00FE3427"/>
    <w:rsid w:val="039446E6"/>
    <w:rsid w:val="053861EA"/>
    <w:rsid w:val="078448BC"/>
    <w:rsid w:val="083E561C"/>
    <w:rsid w:val="10FC002F"/>
    <w:rsid w:val="13194B7F"/>
    <w:rsid w:val="17EA2CD7"/>
    <w:rsid w:val="1AA036FB"/>
    <w:rsid w:val="2A275D31"/>
    <w:rsid w:val="2CD067B5"/>
    <w:rsid w:val="2CF923E2"/>
    <w:rsid w:val="2D7C30AE"/>
    <w:rsid w:val="2D7F6C3D"/>
    <w:rsid w:val="3A8E3775"/>
    <w:rsid w:val="3DED5817"/>
    <w:rsid w:val="3FD24677"/>
    <w:rsid w:val="433929C8"/>
    <w:rsid w:val="474313E9"/>
    <w:rsid w:val="480E68E9"/>
    <w:rsid w:val="4C580F35"/>
    <w:rsid w:val="4CE40095"/>
    <w:rsid w:val="4E987F9B"/>
    <w:rsid w:val="521450B8"/>
    <w:rsid w:val="53D63625"/>
    <w:rsid w:val="59710078"/>
    <w:rsid w:val="5C20559D"/>
    <w:rsid w:val="63E337FB"/>
    <w:rsid w:val="6AC04C14"/>
    <w:rsid w:val="6B0E4BB1"/>
    <w:rsid w:val="6B68511B"/>
    <w:rsid w:val="6BDA78FC"/>
    <w:rsid w:val="77185723"/>
    <w:rsid w:val="7B682752"/>
    <w:rsid w:val="7BD932A7"/>
    <w:rsid w:val="7F8D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autoRedefine/>
    <w:qFormat/>
    <w:uiPriority w:val="0"/>
    <w:pPr>
      <w:keepNext/>
      <w:keepLines/>
      <w:spacing w:before="340" w:after="330" w:line="578" w:lineRule="auto"/>
      <w:jc w:val="center"/>
      <w:outlineLvl w:val="0"/>
    </w:pPr>
    <w:rPr>
      <w:rFonts w:eastAsia="仿宋_GB2312"/>
      <w:b/>
      <w:bCs/>
      <w:kern w:val="44"/>
      <w:sz w:val="44"/>
      <w:szCs w:val="4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6"/>
    <w:autoRedefine/>
    <w:unhideWhenUsed/>
    <w:qFormat/>
    <w:uiPriority w:val="99"/>
    <w:pPr>
      <w:jc w:val="left"/>
    </w:pPr>
  </w:style>
  <w:style w:type="paragraph" w:styleId="4">
    <w:name w:val="Body Text"/>
    <w:basedOn w:val="1"/>
    <w:next w:val="5"/>
    <w:link w:val="23"/>
    <w:autoRedefine/>
    <w:qFormat/>
    <w:uiPriority w:val="0"/>
    <w:pPr>
      <w:spacing w:line="380" w:lineRule="exact"/>
    </w:pPr>
    <w:rPr>
      <w:sz w:val="24"/>
    </w:rPr>
  </w:style>
  <w:style w:type="paragraph" w:styleId="5">
    <w:name w:val="Body Text 2"/>
    <w:basedOn w:val="1"/>
    <w:next w:val="1"/>
    <w:link w:val="29"/>
    <w:autoRedefine/>
    <w:qFormat/>
    <w:uiPriority w:val="0"/>
    <w:pPr>
      <w:autoSpaceDE w:val="0"/>
      <w:autoSpaceDN w:val="0"/>
      <w:adjustRightInd w:val="0"/>
    </w:pPr>
    <w:rPr>
      <w:rFonts w:hint="eastAsia" w:ascii="宋体"/>
      <w:kern w:val="0"/>
      <w:sz w:val="28"/>
      <w:szCs w:val="20"/>
    </w:rPr>
  </w:style>
  <w:style w:type="paragraph" w:styleId="6">
    <w:name w:val="Plain Text"/>
    <w:basedOn w:val="1"/>
    <w:next w:val="1"/>
    <w:link w:val="24"/>
    <w:autoRedefine/>
    <w:qFormat/>
    <w:uiPriority w:val="0"/>
    <w:rPr>
      <w:rFonts w:ascii="宋体" w:hAnsi="Courier New" w:cs="Courier New"/>
      <w:szCs w:val="21"/>
    </w:rPr>
  </w:style>
  <w:style w:type="paragraph" w:styleId="7">
    <w:name w:val="Body Text Indent 2"/>
    <w:basedOn w:val="1"/>
    <w:link w:val="22"/>
    <w:autoRedefine/>
    <w:qFormat/>
    <w:uiPriority w:val="0"/>
    <w:pPr>
      <w:ind w:firstLine="630"/>
    </w:pPr>
    <w:rPr>
      <w:sz w:val="32"/>
      <w:szCs w:val="20"/>
    </w:rPr>
  </w:style>
  <w:style w:type="paragraph" w:styleId="8">
    <w:name w:val="footer"/>
    <w:basedOn w:val="1"/>
    <w:link w:val="20"/>
    <w:autoRedefine/>
    <w:unhideWhenUsed/>
    <w:qFormat/>
    <w:uiPriority w:val="0"/>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1">
    <w:name w:val="annotation subject"/>
    <w:basedOn w:val="3"/>
    <w:next w:val="3"/>
    <w:link w:val="27"/>
    <w:autoRedefine/>
    <w:semiHidden/>
    <w:unhideWhenUsed/>
    <w:qFormat/>
    <w:uiPriority w:val="99"/>
    <w:rPr>
      <w:b/>
      <w:bCs/>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Emphasis"/>
    <w:basedOn w:val="14"/>
    <w:autoRedefine/>
    <w:qFormat/>
    <w:uiPriority w:val="20"/>
    <w:rPr>
      <w:i/>
      <w:iCs/>
    </w:rPr>
  </w:style>
  <w:style w:type="character" w:styleId="17">
    <w:name w:val="Hyperlink"/>
    <w:basedOn w:val="14"/>
    <w:autoRedefine/>
    <w:semiHidden/>
    <w:unhideWhenUsed/>
    <w:qFormat/>
    <w:uiPriority w:val="99"/>
    <w:rPr>
      <w:color w:val="0000FF"/>
      <w:u w:val="single"/>
    </w:rPr>
  </w:style>
  <w:style w:type="character" w:styleId="18">
    <w:name w:val="annotation reference"/>
    <w:basedOn w:val="14"/>
    <w:autoRedefine/>
    <w:semiHidden/>
    <w:unhideWhenUsed/>
    <w:qFormat/>
    <w:uiPriority w:val="99"/>
    <w:rPr>
      <w:sz w:val="21"/>
      <w:szCs w:val="21"/>
    </w:rPr>
  </w:style>
  <w:style w:type="character" w:customStyle="1" w:styleId="19">
    <w:name w:val="页眉 字符"/>
    <w:basedOn w:val="14"/>
    <w:link w:val="9"/>
    <w:autoRedefine/>
    <w:qFormat/>
    <w:uiPriority w:val="99"/>
    <w:rPr>
      <w:sz w:val="18"/>
      <w:szCs w:val="18"/>
    </w:rPr>
  </w:style>
  <w:style w:type="character" w:customStyle="1" w:styleId="20">
    <w:name w:val="页脚 字符"/>
    <w:basedOn w:val="14"/>
    <w:link w:val="8"/>
    <w:autoRedefine/>
    <w:qFormat/>
    <w:uiPriority w:val="0"/>
    <w:rPr>
      <w:sz w:val="18"/>
      <w:szCs w:val="18"/>
    </w:rPr>
  </w:style>
  <w:style w:type="character" w:customStyle="1" w:styleId="21">
    <w:name w:val="标题 1 字符"/>
    <w:basedOn w:val="14"/>
    <w:link w:val="2"/>
    <w:autoRedefine/>
    <w:qFormat/>
    <w:uiPriority w:val="0"/>
    <w:rPr>
      <w:rFonts w:ascii="Times New Roman" w:hAnsi="Times New Roman" w:eastAsia="仿宋_GB2312" w:cs="Times New Roman"/>
      <w:b/>
      <w:bCs/>
      <w:kern w:val="44"/>
      <w:sz w:val="44"/>
      <w:szCs w:val="44"/>
    </w:rPr>
  </w:style>
  <w:style w:type="character" w:customStyle="1" w:styleId="22">
    <w:name w:val="正文文本缩进 2 字符"/>
    <w:basedOn w:val="14"/>
    <w:link w:val="7"/>
    <w:autoRedefine/>
    <w:qFormat/>
    <w:uiPriority w:val="0"/>
    <w:rPr>
      <w:rFonts w:ascii="Times New Roman" w:hAnsi="Times New Roman" w:eastAsia="宋体" w:cs="Times New Roman"/>
      <w:sz w:val="32"/>
      <w:szCs w:val="20"/>
    </w:rPr>
  </w:style>
  <w:style w:type="character" w:customStyle="1" w:styleId="23">
    <w:name w:val="正文文本 字符"/>
    <w:basedOn w:val="14"/>
    <w:link w:val="4"/>
    <w:autoRedefine/>
    <w:qFormat/>
    <w:uiPriority w:val="0"/>
    <w:rPr>
      <w:rFonts w:ascii="Times New Roman" w:hAnsi="Times New Roman" w:eastAsia="宋体" w:cs="Times New Roman"/>
      <w:sz w:val="24"/>
      <w:szCs w:val="24"/>
    </w:rPr>
  </w:style>
  <w:style w:type="character" w:customStyle="1" w:styleId="24">
    <w:name w:val="纯文本 字符"/>
    <w:basedOn w:val="14"/>
    <w:link w:val="6"/>
    <w:autoRedefine/>
    <w:qFormat/>
    <w:uiPriority w:val="0"/>
    <w:rPr>
      <w:rFonts w:ascii="宋体" w:hAnsi="Courier New" w:eastAsia="宋体" w:cs="Courier New"/>
      <w:szCs w:val="21"/>
    </w:rPr>
  </w:style>
  <w:style w:type="paragraph" w:customStyle="1" w:styleId="25">
    <w:name w:val="表格文字"/>
    <w:basedOn w:val="1"/>
    <w:autoRedefine/>
    <w:qFormat/>
    <w:uiPriority w:val="99"/>
    <w:pPr>
      <w:spacing w:before="25" w:after="25"/>
      <w:jc w:val="left"/>
    </w:pPr>
    <w:rPr>
      <w:bCs/>
      <w:spacing w:val="10"/>
      <w:kern w:val="0"/>
      <w:sz w:val="24"/>
    </w:rPr>
  </w:style>
  <w:style w:type="character" w:customStyle="1" w:styleId="26">
    <w:name w:val="批注文字 字符"/>
    <w:basedOn w:val="14"/>
    <w:link w:val="3"/>
    <w:autoRedefine/>
    <w:qFormat/>
    <w:uiPriority w:val="99"/>
    <w:rPr>
      <w:rFonts w:ascii="Times New Roman" w:hAnsi="Times New Roman" w:eastAsia="宋体" w:cs="Times New Roman"/>
      <w:kern w:val="2"/>
      <w:sz w:val="21"/>
      <w:szCs w:val="24"/>
    </w:rPr>
  </w:style>
  <w:style w:type="character" w:customStyle="1" w:styleId="27">
    <w:name w:val="批注主题 字符"/>
    <w:basedOn w:val="26"/>
    <w:link w:val="11"/>
    <w:autoRedefine/>
    <w:semiHidden/>
    <w:qFormat/>
    <w:uiPriority w:val="99"/>
    <w:rPr>
      <w:rFonts w:ascii="Times New Roman" w:hAnsi="Times New Roman" w:eastAsia="宋体" w:cs="Times New Roman"/>
      <w:b/>
      <w:bCs/>
      <w:kern w:val="2"/>
      <w:sz w:val="21"/>
      <w:szCs w:val="24"/>
    </w:rPr>
  </w:style>
  <w:style w:type="paragraph" w:customStyle="1" w:styleId="28">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9">
    <w:name w:val="正文文本 2 字符"/>
    <w:basedOn w:val="14"/>
    <w:link w:val="5"/>
    <w:autoRedefine/>
    <w:qFormat/>
    <w:uiPriority w:val="0"/>
    <w:rPr>
      <w:rFonts w:ascii="宋体" w:hAnsi="Times New Roman" w:eastAsia="宋体"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3</Pages>
  <Words>466</Words>
  <Characters>2662</Characters>
  <Lines>22</Lines>
  <Paragraphs>6</Paragraphs>
  <TotalTime>21</TotalTime>
  <ScaleCrop>false</ScaleCrop>
  <LinksUpToDate>false</LinksUpToDate>
  <CharactersWithSpaces>3122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2023-12-09T07:47:00Z</dcterms:created>
  <dc:creator>覃华勇</dc:creator>
  <cp:lastModifiedBy>机械与船舶海洋工程学院</cp:lastModifiedBy>
  <dcterms:modified xsi:type="dcterms:W3CDTF">2024-03-11T05:37:14Z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88FE1BC66F68479BA7486A98D7E95408</vt:lpwstr>
  </property>
</Properties>
</file>