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136" w:tblpY="91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96"/>
        <w:gridCol w:w="1266"/>
        <w:gridCol w:w="6143"/>
        <w:gridCol w:w="553"/>
        <w:gridCol w:w="662"/>
      </w:tblGrid>
      <w:tr w14:paraId="77A5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6"/>
          </w:tcPr>
          <w:p w14:paraId="3ED2F9ED">
            <w:pPr>
              <w:spacing w:before="156" w:beforeLines="50"/>
              <w:jc w:val="center"/>
              <w:rPr>
                <w:rFonts w:ascii="宋体" w:hAnsi="宋体"/>
                <w:b/>
                <w:sz w:val="28"/>
                <w:szCs w:val="28"/>
              </w:rPr>
            </w:pPr>
            <w:r>
              <w:rPr>
                <w:rFonts w:hint="eastAsia" w:ascii="宋体" w:hAnsi="宋体"/>
                <w:b/>
                <w:sz w:val="28"/>
                <w:szCs w:val="28"/>
              </w:rPr>
              <w:t>采购文件</w:t>
            </w:r>
          </w:p>
        </w:tc>
      </w:tr>
      <w:tr w14:paraId="371C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8BE8F0D">
            <w:pPr>
              <w:spacing w:before="156" w:beforeLines="50"/>
              <w:jc w:val="center"/>
              <w:rPr>
                <w:rFonts w:ascii="宋体" w:hAnsi="宋体"/>
                <w:b/>
                <w:bCs/>
                <w:szCs w:val="21"/>
              </w:rPr>
            </w:pPr>
            <w:bookmarkStart w:id="0" w:name="_Toc455567735"/>
            <w:bookmarkStart w:id="1" w:name="_Toc439768977"/>
            <w:r>
              <w:rPr>
                <w:rFonts w:hint="eastAsia" w:ascii="宋体" w:hAnsi="宋体"/>
                <w:b/>
                <w:bCs/>
                <w:szCs w:val="21"/>
              </w:rPr>
              <w:t>项号</w:t>
            </w:r>
          </w:p>
        </w:tc>
        <w:tc>
          <w:tcPr>
            <w:tcW w:w="720" w:type="dxa"/>
          </w:tcPr>
          <w:p w14:paraId="1A592C39">
            <w:pPr>
              <w:spacing w:before="156" w:beforeLines="50"/>
              <w:jc w:val="center"/>
              <w:rPr>
                <w:rFonts w:ascii="宋体" w:hAnsi="宋体"/>
                <w:b/>
                <w:bCs/>
                <w:szCs w:val="21"/>
              </w:rPr>
            </w:pPr>
            <w:r>
              <w:rPr>
                <w:rFonts w:hint="eastAsia" w:ascii="宋体" w:hAnsi="宋体"/>
                <w:b/>
                <w:bCs/>
                <w:szCs w:val="21"/>
              </w:rPr>
              <w:t>名称</w:t>
            </w:r>
          </w:p>
        </w:tc>
        <w:tc>
          <w:tcPr>
            <w:tcW w:w="816" w:type="dxa"/>
          </w:tcPr>
          <w:p w14:paraId="44C65442">
            <w:pPr>
              <w:spacing w:before="156" w:beforeLines="50"/>
              <w:jc w:val="center"/>
              <w:rPr>
                <w:rFonts w:ascii="宋体" w:hAnsi="宋体"/>
                <w:b/>
                <w:bCs/>
                <w:szCs w:val="21"/>
              </w:rPr>
            </w:pPr>
            <w:r>
              <w:rPr>
                <w:rFonts w:hint="eastAsia" w:ascii="宋体" w:hAnsi="宋体"/>
                <w:b/>
                <w:bCs/>
                <w:szCs w:val="21"/>
              </w:rPr>
              <w:t>推荐</w:t>
            </w:r>
            <w:r>
              <w:rPr>
                <w:rFonts w:ascii="宋体" w:hAnsi="宋体"/>
                <w:b/>
                <w:bCs/>
                <w:szCs w:val="21"/>
              </w:rPr>
              <w:t>品牌型号</w:t>
            </w:r>
          </w:p>
        </w:tc>
        <w:tc>
          <w:tcPr>
            <w:tcW w:w="6547" w:type="dxa"/>
          </w:tcPr>
          <w:p w14:paraId="3C47E0EF">
            <w:pPr>
              <w:spacing w:before="156" w:beforeLines="50"/>
              <w:jc w:val="center"/>
              <w:rPr>
                <w:rFonts w:ascii="宋体" w:hAnsi="宋体"/>
                <w:b/>
                <w:bCs/>
                <w:szCs w:val="21"/>
              </w:rPr>
            </w:pPr>
            <w:r>
              <w:rPr>
                <w:rFonts w:hint="eastAsia" w:ascii="宋体" w:hAnsi="宋体"/>
                <w:b/>
                <w:bCs/>
                <w:szCs w:val="21"/>
              </w:rPr>
              <w:t>技术参数及性能（配置）要求</w:t>
            </w:r>
          </w:p>
        </w:tc>
        <w:tc>
          <w:tcPr>
            <w:tcW w:w="555" w:type="dxa"/>
          </w:tcPr>
          <w:p w14:paraId="74ACDCFE">
            <w:pPr>
              <w:spacing w:before="156" w:beforeLines="50"/>
              <w:jc w:val="center"/>
              <w:rPr>
                <w:rFonts w:ascii="宋体" w:hAnsi="宋体"/>
                <w:b/>
                <w:bCs/>
                <w:szCs w:val="21"/>
              </w:rPr>
            </w:pPr>
            <w:r>
              <w:rPr>
                <w:rFonts w:hint="eastAsia" w:ascii="宋体" w:hAnsi="宋体"/>
                <w:b/>
                <w:bCs/>
                <w:szCs w:val="21"/>
              </w:rPr>
              <w:t>数量</w:t>
            </w:r>
          </w:p>
        </w:tc>
        <w:tc>
          <w:tcPr>
            <w:tcW w:w="682" w:type="dxa"/>
          </w:tcPr>
          <w:p w14:paraId="6809D951">
            <w:pPr>
              <w:spacing w:before="156" w:beforeLines="50"/>
              <w:jc w:val="center"/>
              <w:rPr>
                <w:rFonts w:ascii="宋体" w:hAnsi="宋体"/>
                <w:b/>
                <w:bCs/>
                <w:szCs w:val="21"/>
              </w:rPr>
            </w:pPr>
            <w:r>
              <w:rPr>
                <w:rFonts w:hint="eastAsia" w:ascii="宋体" w:hAnsi="宋体"/>
                <w:b/>
                <w:bCs/>
                <w:szCs w:val="21"/>
              </w:rPr>
              <w:t>单位</w:t>
            </w:r>
          </w:p>
        </w:tc>
      </w:tr>
      <w:tr w14:paraId="0132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6" w:hRule="atLeast"/>
        </w:trPr>
        <w:tc>
          <w:tcPr>
            <w:tcW w:w="0" w:type="auto"/>
            <w:vAlign w:val="center"/>
          </w:tcPr>
          <w:p w14:paraId="4E2B9FD3">
            <w:pPr>
              <w:widowControl/>
              <w:jc w:val="center"/>
              <w:textAlignment w:val="center"/>
              <w:rPr>
                <w:rFonts w:ascii="宋体" w:hAnsi="宋体" w:cs="宋体"/>
                <w:sz w:val="21"/>
                <w:szCs w:val="21"/>
              </w:rPr>
            </w:pPr>
            <w:r>
              <w:rPr>
                <w:rFonts w:hint="eastAsia" w:ascii="宋体" w:hAnsi="宋体" w:cs="宋体"/>
                <w:sz w:val="21"/>
                <w:szCs w:val="21"/>
              </w:rPr>
              <w:t>1</w:t>
            </w:r>
          </w:p>
        </w:tc>
        <w:tc>
          <w:tcPr>
            <w:tcW w:w="720" w:type="dxa"/>
            <w:vAlign w:val="center"/>
          </w:tcPr>
          <w:p w14:paraId="0BF6C683">
            <w:pPr>
              <w:widowControl/>
              <w:jc w:val="left"/>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教学云终端</w:t>
            </w:r>
          </w:p>
        </w:tc>
        <w:tc>
          <w:tcPr>
            <w:tcW w:w="816" w:type="dxa"/>
            <w:vAlign w:val="center"/>
          </w:tcPr>
          <w:p w14:paraId="07E338DC">
            <w:pPr>
              <w:widowControl/>
              <w:jc w:val="left"/>
              <w:rPr>
                <w:rFonts w:hint="eastAsia" w:ascii="宋体" w:hAnsi="宋体" w:cs="宋体"/>
                <w:sz w:val="21"/>
                <w:szCs w:val="21"/>
                <w:lang w:val="en-US" w:eastAsia="zh-CN"/>
              </w:rPr>
            </w:pPr>
            <w:r>
              <w:rPr>
                <w:rFonts w:hint="eastAsia" w:ascii="宋体" w:hAnsi="宋体" w:cs="宋体"/>
                <w:sz w:val="21"/>
                <w:szCs w:val="21"/>
                <w:lang w:val="en-US" w:eastAsia="zh-CN"/>
              </w:rPr>
              <w:t>锐捷RG-CT5540H</w:t>
            </w:r>
          </w:p>
          <w:p w14:paraId="644F1664">
            <w:pPr>
              <w:widowControl/>
              <w:jc w:val="left"/>
              <w:rPr>
                <w:rFonts w:ascii="宋体" w:hAnsi="宋体" w:cs="宋体"/>
                <w:sz w:val="21"/>
                <w:szCs w:val="21"/>
              </w:rPr>
            </w:pPr>
          </w:p>
        </w:tc>
        <w:tc>
          <w:tcPr>
            <w:tcW w:w="6547" w:type="dxa"/>
            <w:vAlign w:val="center"/>
          </w:tcPr>
          <w:p w14:paraId="01C145EF">
            <w:pPr>
              <w:widowControl/>
              <w:jc w:val="left"/>
              <w:textAlignment w:val="center"/>
              <w:rPr>
                <w:rFonts w:hint="eastAsia" w:ascii="宋体" w:hAnsi="宋体" w:cs="宋体"/>
                <w:sz w:val="21"/>
                <w:szCs w:val="21"/>
              </w:rPr>
            </w:pPr>
            <w:r>
              <w:rPr>
                <w:rFonts w:hint="eastAsia" w:ascii="宋体" w:hAnsi="宋体" w:cs="宋体"/>
                <w:sz w:val="21"/>
                <w:szCs w:val="21"/>
              </w:rPr>
              <w:t>一、云终端硬件配置要求</w:t>
            </w:r>
          </w:p>
          <w:p w14:paraId="3DD006ED">
            <w:pPr>
              <w:widowControl/>
              <w:jc w:val="left"/>
              <w:textAlignment w:val="center"/>
              <w:rPr>
                <w:rFonts w:hint="eastAsia" w:ascii="宋体" w:hAnsi="宋体" w:cs="宋体"/>
                <w:sz w:val="21"/>
                <w:szCs w:val="21"/>
              </w:rPr>
            </w:pPr>
            <w:r>
              <w:rPr>
                <w:rFonts w:hint="eastAsia" w:ascii="宋体" w:hAnsi="宋体" w:cs="宋体"/>
                <w:sz w:val="21"/>
                <w:szCs w:val="21"/>
              </w:rPr>
              <w:t>1.为保证云桌面软件系统的兼容效果和稳定运行，所有终端均需采用x86架构，且为国内自主品牌；</w:t>
            </w:r>
          </w:p>
          <w:p w14:paraId="1F814040">
            <w:pPr>
              <w:widowControl/>
              <w:jc w:val="left"/>
              <w:textAlignment w:val="center"/>
              <w:rPr>
                <w:rFonts w:hint="eastAsia" w:ascii="宋体" w:hAnsi="宋体" w:cs="宋体"/>
                <w:sz w:val="21"/>
                <w:szCs w:val="21"/>
              </w:rPr>
            </w:pPr>
            <w:r>
              <w:rPr>
                <w:rFonts w:hint="eastAsia" w:ascii="宋体" w:hAnsi="宋体" w:cs="宋体"/>
                <w:sz w:val="21"/>
                <w:szCs w:val="21"/>
              </w:rPr>
              <w:t>2.★不低于Intel第十三代i5八核十二线程处理器；性能核心数量≥4个；内存容量≥8GB，本地存储≥512 GB SSD；</w:t>
            </w:r>
          </w:p>
          <w:p w14:paraId="36AA4A80">
            <w:pPr>
              <w:widowControl/>
              <w:jc w:val="left"/>
              <w:textAlignment w:val="center"/>
              <w:rPr>
                <w:rFonts w:hint="eastAsia" w:ascii="宋体" w:hAnsi="宋体" w:cs="宋体"/>
                <w:sz w:val="21"/>
                <w:szCs w:val="21"/>
              </w:rPr>
            </w:pPr>
            <w:r>
              <w:rPr>
                <w:rFonts w:hint="eastAsia" w:ascii="宋体" w:hAnsi="宋体" w:cs="宋体"/>
                <w:sz w:val="21"/>
                <w:szCs w:val="21"/>
              </w:rPr>
              <w:t>3.为节约桌面空间，终端主体尺寸≤200mm（宽）×200mm（深）×44.4mm（高）；</w:t>
            </w:r>
          </w:p>
          <w:p w14:paraId="28F55FDD">
            <w:pPr>
              <w:widowControl/>
              <w:jc w:val="left"/>
              <w:textAlignment w:val="center"/>
              <w:rPr>
                <w:rFonts w:hint="eastAsia" w:ascii="宋体" w:hAnsi="宋体" w:cs="宋体"/>
                <w:sz w:val="21"/>
                <w:szCs w:val="21"/>
              </w:rPr>
            </w:pPr>
            <w:r>
              <w:rPr>
                <w:rFonts w:hint="eastAsia" w:ascii="宋体" w:hAnsi="宋体" w:cs="宋体"/>
                <w:sz w:val="21"/>
                <w:szCs w:val="21"/>
              </w:rPr>
              <w:t>4.★USB接口数量≥8个（其中USB 3.0接口≥4个，USB 2.0接口≥4个），千兆网口≥1个，VGA接口≥1个，HDMI接口≥1个，音频输入输出接口≥2个，支持4段式耳机音频输入及输出；</w:t>
            </w:r>
          </w:p>
          <w:p w14:paraId="4F514269">
            <w:pPr>
              <w:widowControl/>
              <w:jc w:val="left"/>
              <w:textAlignment w:val="center"/>
              <w:rPr>
                <w:rFonts w:hint="eastAsia" w:ascii="宋体" w:hAnsi="宋体" w:cs="宋体"/>
                <w:sz w:val="21"/>
                <w:szCs w:val="21"/>
              </w:rPr>
            </w:pPr>
            <w:r>
              <w:rPr>
                <w:rFonts w:hint="eastAsia" w:ascii="宋体" w:hAnsi="宋体" w:cs="宋体"/>
                <w:sz w:val="21"/>
                <w:szCs w:val="21"/>
              </w:rPr>
              <w:t>5.配置内存槽位≥2个；</w:t>
            </w:r>
          </w:p>
          <w:p w14:paraId="0D95D7D6">
            <w:pPr>
              <w:widowControl/>
              <w:jc w:val="left"/>
              <w:textAlignment w:val="center"/>
              <w:rPr>
                <w:rFonts w:hint="eastAsia" w:ascii="宋体" w:hAnsi="宋体" w:cs="宋体"/>
                <w:sz w:val="21"/>
                <w:szCs w:val="21"/>
              </w:rPr>
            </w:pPr>
            <w:r>
              <w:rPr>
                <w:rFonts w:hint="eastAsia" w:ascii="宋体" w:hAnsi="宋体" w:cs="宋体"/>
                <w:sz w:val="21"/>
                <w:szCs w:val="21"/>
              </w:rPr>
              <w:t>6.★配置M.2 SSD槽位≥2个，2.5英寸硬盘位≥1个，提供产品图片证明；</w:t>
            </w:r>
          </w:p>
          <w:p w14:paraId="4E743834">
            <w:pPr>
              <w:widowControl/>
              <w:jc w:val="left"/>
              <w:textAlignment w:val="center"/>
              <w:rPr>
                <w:rFonts w:hint="eastAsia" w:ascii="宋体" w:hAnsi="宋体" w:cs="宋体"/>
                <w:sz w:val="21"/>
                <w:szCs w:val="21"/>
              </w:rPr>
            </w:pPr>
            <w:r>
              <w:rPr>
                <w:rFonts w:hint="eastAsia" w:ascii="宋体" w:hAnsi="宋体" w:cs="宋体"/>
                <w:sz w:val="21"/>
                <w:szCs w:val="21"/>
              </w:rPr>
              <w:t>7.★显示器配置WLED尺寸≥23.8英寸，分辨率≥1920×1080，刷新率≥100Hz(HDMI)，VGA接口≥1个，HDMI接口≥1个；</w:t>
            </w:r>
          </w:p>
          <w:p w14:paraId="4FEB0DB5">
            <w:pPr>
              <w:widowControl/>
              <w:jc w:val="left"/>
              <w:textAlignment w:val="center"/>
              <w:rPr>
                <w:rFonts w:hint="eastAsia" w:ascii="宋体" w:hAnsi="宋体" w:cs="宋体"/>
                <w:sz w:val="21"/>
                <w:szCs w:val="21"/>
              </w:rPr>
            </w:pPr>
            <w:r>
              <w:rPr>
                <w:rFonts w:hint="eastAsia" w:ascii="宋体" w:hAnsi="宋体" w:cs="宋体"/>
                <w:sz w:val="21"/>
                <w:szCs w:val="21"/>
              </w:rPr>
              <w:t>8.显示器硬件形态：为保障使用时的动态清晰度、色彩还原准确、可视角度等方面的体验，需采用IPS屏，窄边框设计，水平及垂直可视角度≥178°，亮度≥250 cd/m²，对比度≥1,000:1，原生8bit色深</w:t>
            </w:r>
          </w:p>
          <w:p w14:paraId="116CC7ED">
            <w:pPr>
              <w:widowControl/>
              <w:jc w:val="left"/>
              <w:textAlignment w:val="center"/>
              <w:rPr>
                <w:rFonts w:hint="eastAsia" w:ascii="宋体" w:hAnsi="宋体" w:cs="宋体"/>
                <w:sz w:val="21"/>
                <w:szCs w:val="21"/>
              </w:rPr>
            </w:pPr>
            <w:r>
              <w:rPr>
                <w:rFonts w:hint="eastAsia" w:ascii="宋体" w:hAnsi="宋体" w:cs="宋体"/>
                <w:sz w:val="21"/>
                <w:szCs w:val="21"/>
              </w:rPr>
              <w:t>9.★为了保证产品质量，所投设备提供三年质保。</w:t>
            </w:r>
          </w:p>
          <w:p w14:paraId="11CD01FF">
            <w:pPr>
              <w:widowControl/>
              <w:jc w:val="left"/>
              <w:textAlignment w:val="center"/>
              <w:rPr>
                <w:rFonts w:hint="eastAsia" w:ascii="宋体" w:hAnsi="宋体" w:cs="宋体"/>
                <w:sz w:val="21"/>
                <w:szCs w:val="21"/>
              </w:rPr>
            </w:pPr>
            <w:r>
              <w:rPr>
                <w:rFonts w:hint="eastAsia" w:ascii="宋体" w:hAnsi="宋体" w:cs="宋体"/>
                <w:sz w:val="21"/>
                <w:szCs w:val="21"/>
              </w:rPr>
              <w:t>10.配置云桌面有线键鼠套装，内含有线键盘、鼠标、带有品牌logo的鼠标垫。</w:t>
            </w:r>
          </w:p>
          <w:p w14:paraId="540EABCB">
            <w:pPr>
              <w:widowControl/>
              <w:jc w:val="left"/>
              <w:textAlignment w:val="center"/>
              <w:rPr>
                <w:rFonts w:hint="eastAsia" w:ascii="宋体" w:hAnsi="宋体" w:cs="宋体"/>
                <w:sz w:val="21"/>
                <w:szCs w:val="21"/>
              </w:rPr>
            </w:pPr>
            <w:r>
              <w:rPr>
                <w:rFonts w:hint="eastAsia" w:ascii="宋体" w:hAnsi="宋体" w:cs="宋体"/>
                <w:sz w:val="21"/>
                <w:szCs w:val="21"/>
              </w:rPr>
              <w:t>11.★为保障所投设备质量优异、可靠性高，要求所投设备平均故障间隔时间（MTBF）≥30万小时，针对此功能</w:t>
            </w:r>
            <w:r>
              <w:rPr>
                <w:rFonts w:hint="eastAsia" w:ascii="宋体" w:hAnsi="宋体" w:cs="宋体"/>
                <w:sz w:val="21"/>
                <w:szCs w:val="21"/>
                <w:lang w:val="en-US" w:eastAsia="zh-CN"/>
              </w:rPr>
              <w:t>投标时</w:t>
            </w:r>
            <w:r>
              <w:rPr>
                <w:rFonts w:hint="eastAsia" w:ascii="宋体" w:hAnsi="宋体" w:cs="宋体"/>
                <w:sz w:val="21"/>
                <w:szCs w:val="21"/>
              </w:rPr>
              <w:t xml:space="preserve">提供第三方测试机构出具的测试报告和证书复印件，其中测试报告需具备CNAS或CMA标识； </w:t>
            </w:r>
          </w:p>
          <w:p w14:paraId="471DDAA9">
            <w:pPr>
              <w:widowControl/>
              <w:jc w:val="left"/>
              <w:textAlignment w:val="center"/>
              <w:rPr>
                <w:rFonts w:hint="eastAsia" w:ascii="宋体" w:hAnsi="宋体" w:cs="宋体"/>
                <w:sz w:val="21"/>
                <w:szCs w:val="21"/>
              </w:rPr>
            </w:pPr>
            <w:r>
              <w:rPr>
                <w:rFonts w:hint="eastAsia" w:ascii="宋体" w:hAnsi="宋体" w:cs="宋体"/>
                <w:sz w:val="21"/>
                <w:szCs w:val="21"/>
              </w:rPr>
              <w:t>12.★为防止人体触电，要求所投终端产品满足抗电强度要求：（1）电源初级与地之间施加AC1500V产品无击穿现象；（2）电源初级与次级之间施加AC3000V产品无击穿现象；（3）电源初级与机壳之间施加AC3000V产品无击穿现象，针对此功能</w:t>
            </w:r>
            <w:r>
              <w:rPr>
                <w:rFonts w:hint="eastAsia" w:ascii="宋体" w:hAnsi="宋体" w:cs="宋体"/>
                <w:sz w:val="21"/>
                <w:szCs w:val="21"/>
                <w:lang w:val="en-US" w:eastAsia="zh-CN"/>
              </w:rPr>
              <w:t>投标时</w:t>
            </w:r>
            <w:r>
              <w:rPr>
                <w:rFonts w:hint="eastAsia" w:ascii="宋体" w:hAnsi="宋体" w:cs="宋体"/>
                <w:sz w:val="21"/>
                <w:szCs w:val="21"/>
              </w:rPr>
              <w:t>需提供国家级权威测试机构出具的证书复印件，证书需具备CNAS标志；</w:t>
            </w:r>
          </w:p>
          <w:p w14:paraId="6153B594">
            <w:pPr>
              <w:widowControl/>
              <w:jc w:val="left"/>
              <w:textAlignment w:val="center"/>
              <w:rPr>
                <w:rFonts w:hint="eastAsia" w:ascii="宋体" w:hAnsi="宋体" w:cs="宋体"/>
                <w:sz w:val="21"/>
                <w:szCs w:val="21"/>
              </w:rPr>
            </w:pPr>
            <w:r>
              <w:rPr>
                <w:rFonts w:hint="eastAsia" w:ascii="宋体" w:hAnsi="宋体" w:cs="宋体"/>
                <w:sz w:val="21"/>
                <w:szCs w:val="21"/>
              </w:rPr>
              <w:t>二、云终端配套软件</w:t>
            </w:r>
          </w:p>
          <w:p w14:paraId="615BA165">
            <w:pPr>
              <w:widowControl/>
              <w:jc w:val="left"/>
              <w:textAlignment w:val="center"/>
              <w:rPr>
                <w:rFonts w:hint="eastAsia" w:ascii="宋体" w:hAnsi="宋体" w:cs="宋体"/>
                <w:sz w:val="21"/>
                <w:szCs w:val="21"/>
              </w:rPr>
            </w:pPr>
            <w:r>
              <w:rPr>
                <w:rFonts w:hint="eastAsia" w:ascii="宋体" w:hAnsi="宋体" w:cs="宋体"/>
                <w:sz w:val="21"/>
                <w:szCs w:val="21"/>
              </w:rPr>
              <w:t>1.采用BS软件架构，中文图形化管理页面；</w:t>
            </w:r>
          </w:p>
          <w:p w14:paraId="7659CB09">
            <w:pPr>
              <w:widowControl/>
              <w:jc w:val="left"/>
              <w:textAlignment w:val="center"/>
              <w:rPr>
                <w:rFonts w:hint="eastAsia" w:ascii="宋体" w:hAnsi="宋体" w:cs="宋体"/>
                <w:sz w:val="21"/>
                <w:szCs w:val="21"/>
              </w:rPr>
            </w:pPr>
            <w:r>
              <w:rPr>
                <w:rFonts w:hint="eastAsia" w:ascii="宋体" w:hAnsi="宋体" w:cs="宋体"/>
                <w:sz w:val="21"/>
                <w:szCs w:val="21"/>
              </w:rPr>
              <w:t>2.管理平台至少要包括镜像管理、教室管理、用户管理等关键功能模块；</w:t>
            </w:r>
          </w:p>
          <w:p w14:paraId="4493B3F8">
            <w:pPr>
              <w:widowControl/>
              <w:jc w:val="left"/>
              <w:textAlignment w:val="center"/>
              <w:rPr>
                <w:rFonts w:hint="eastAsia" w:ascii="宋体" w:hAnsi="宋体" w:cs="宋体"/>
                <w:sz w:val="21"/>
                <w:szCs w:val="21"/>
              </w:rPr>
            </w:pPr>
            <w:r>
              <w:rPr>
                <w:rFonts w:hint="eastAsia" w:ascii="宋体" w:hAnsi="宋体" w:cs="宋体"/>
                <w:sz w:val="21"/>
                <w:szCs w:val="21"/>
              </w:rPr>
              <w:t>3.★同一虚拟教室的学生机可以按需工作在IDV、TCI、VDI任意一种模式下，</w:t>
            </w:r>
            <w:r>
              <w:rPr>
                <w:rFonts w:hint="eastAsia" w:ascii="宋体" w:hAnsi="宋体" w:cs="宋体"/>
                <w:sz w:val="21"/>
                <w:szCs w:val="21"/>
                <w:lang w:val="en-US" w:eastAsia="zh-CN"/>
              </w:rPr>
              <w:t>投标时</w:t>
            </w:r>
            <w:r>
              <w:rPr>
                <w:rFonts w:hint="eastAsia" w:ascii="宋体" w:hAnsi="宋体" w:cs="宋体"/>
                <w:sz w:val="21"/>
                <w:szCs w:val="21"/>
              </w:rPr>
              <w:t>提供实际界面截图以及具有 CMA或 CNAS认证的第三方权威机构检验报告证明；</w:t>
            </w:r>
          </w:p>
          <w:p w14:paraId="4EAAD48F">
            <w:pPr>
              <w:widowControl/>
              <w:jc w:val="left"/>
              <w:textAlignment w:val="center"/>
              <w:rPr>
                <w:rFonts w:hint="eastAsia" w:ascii="宋体" w:hAnsi="宋体" w:cs="宋体"/>
                <w:sz w:val="21"/>
                <w:szCs w:val="21"/>
              </w:rPr>
            </w:pPr>
            <w:r>
              <w:rPr>
                <w:rFonts w:hint="eastAsia" w:ascii="宋体" w:hAnsi="宋体" w:cs="宋体"/>
                <w:sz w:val="21"/>
                <w:szCs w:val="21"/>
              </w:rPr>
              <w:t>4.一台终端具备可以同时部署IDV、TCI桌面的能力，并且可以实际使用。可以在镜像选择页面同时提供2种镜像，根据用户选择的镜像进入系统的同时自动判断使用哪种类型的桌面启动；</w:t>
            </w:r>
          </w:p>
          <w:p w14:paraId="7E89878B">
            <w:pPr>
              <w:widowControl/>
              <w:jc w:val="left"/>
              <w:textAlignment w:val="center"/>
              <w:rPr>
                <w:rFonts w:hint="eastAsia" w:ascii="宋体" w:hAnsi="宋体" w:cs="宋体"/>
                <w:sz w:val="21"/>
                <w:szCs w:val="21"/>
              </w:rPr>
            </w:pPr>
            <w:r>
              <w:rPr>
                <w:rFonts w:hint="eastAsia" w:ascii="宋体" w:hAnsi="宋体" w:cs="宋体"/>
                <w:sz w:val="21"/>
                <w:szCs w:val="21"/>
              </w:rPr>
              <w:t>5.镜像模版可以使用多种类型的操作系统，包括且不限于：win 10、win11、win server 2016、UOS、KOS、Ubuntu等操作系统版本；</w:t>
            </w:r>
          </w:p>
          <w:p w14:paraId="73DA2507">
            <w:pPr>
              <w:widowControl/>
              <w:jc w:val="left"/>
              <w:textAlignment w:val="center"/>
              <w:rPr>
                <w:rFonts w:hint="eastAsia" w:ascii="宋体" w:hAnsi="宋体" w:cs="宋体"/>
                <w:sz w:val="21"/>
                <w:szCs w:val="21"/>
              </w:rPr>
            </w:pPr>
            <w:r>
              <w:rPr>
                <w:rFonts w:hint="eastAsia" w:ascii="宋体" w:hAnsi="宋体" w:cs="宋体"/>
                <w:sz w:val="21"/>
                <w:szCs w:val="21"/>
              </w:rPr>
              <w:t>6.提供虚拟教室功能，能够按照教室规模创建不同的虚拟教室，每个虚拟教室独立管理和配置，在云终端控制器管理页面能够实现对独立教室的学生终端、教师云终端分别进行配置和管理；</w:t>
            </w:r>
          </w:p>
          <w:p w14:paraId="03844F25">
            <w:pPr>
              <w:widowControl/>
              <w:jc w:val="left"/>
              <w:textAlignment w:val="center"/>
              <w:rPr>
                <w:rFonts w:hint="eastAsia" w:ascii="宋体" w:hAnsi="宋体" w:cs="宋体"/>
                <w:sz w:val="21"/>
                <w:szCs w:val="21"/>
              </w:rPr>
            </w:pPr>
            <w:r>
              <w:rPr>
                <w:rFonts w:hint="eastAsia" w:ascii="宋体" w:hAnsi="宋体" w:cs="宋体"/>
                <w:sz w:val="21"/>
                <w:szCs w:val="21"/>
              </w:rPr>
              <w:t>7.★为保证重要镜像的安全性，支持教学镜像对学生隐藏或可见，</w:t>
            </w:r>
            <w:r>
              <w:rPr>
                <w:rFonts w:hint="eastAsia" w:ascii="宋体" w:hAnsi="宋体" w:cs="宋体"/>
                <w:sz w:val="21"/>
                <w:szCs w:val="21"/>
                <w:lang w:val="en-US" w:eastAsia="zh-CN"/>
              </w:rPr>
              <w:t>投标时</w:t>
            </w:r>
            <w:r>
              <w:rPr>
                <w:rFonts w:hint="eastAsia" w:ascii="宋体" w:hAnsi="宋体" w:cs="宋体"/>
                <w:sz w:val="21"/>
                <w:szCs w:val="21"/>
              </w:rPr>
              <w:t>要求提供实际界面截图以及具有 CMA或 CNAS认证的第三方权威机构检验报告证明；</w:t>
            </w:r>
          </w:p>
          <w:p w14:paraId="67E46713">
            <w:pPr>
              <w:widowControl/>
              <w:jc w:val="left"/>
              <w:textAlignment w:val="center"/>
              <w:rPr>
                <w:rFonts w:hint="eastAsia" w:ascii="宋体" w:hAnsi="宋体" w:cs="宋体"/>
                <w:sz w:val="21"/>
                <w:szCs w:val="21"/>
              </w:rPr>
            </w:pPr>
            <w:r>
              <w:rPr>
                <w:rFonts w:hint="eastAsia" w:ascii="宋体" w:hAnsi="宋体" w:cs="宋体"/>
                <w:sz w:val="21"/>
                <w:szCs w:val="21"/>
              </w:rPr>
              <w:t>8.终端支持完全离线模式，即在云终端控制器连接中断时，依然可使用当前正在使用的镜像环境，保障业务连续性；</w:t>
            </w:r>
          </w:p>
          <w:p w14:paraId="16D4D67D">
            <w:pPr>
              <w:widowControl/>
              <w:jc w:val="left"/>
              <w:textAlignment w:val="center"/>
              <w:rPr>
                <w:rFonts w:hint="eastAsia" w:ascii="宋体" w:hAnsi="宋体" w:cs="宋体"/>
                <w:sz w:val="21"/>
                <w:szCs w:val="21"/>
              </w:rPr>
            </w:pPr>
            <w:r>
              <w:rPr>
                <w:rFonts w:hint="eastAsia" w:ascii="宋体" w:hAnsi="宋体" w:cs="宋体"/>
                <w:sz w:val="21"/>
                <w:szCs w:val="21"/>
              </w:rPr>
              <w:t>9.★为更快捷安装应用软件，支持软件安装包以文件、文件夹等形式上传，</w:t>
            </w:r>
            <w:r>
              <w:rPr>
                <w:rFonts w:hint="eastAsia" w:ascii="宋体" w:hAnsi="宋体" w:cs="宋体"/>
                <w:sz w:val="21"/>
                <w:szCs w:val="21"/>
                <w:lang w:val="en-US" w:eastAsia="zh-CN"/>
              </w:rPr>
              <w:t>投标时</w:t>
            </w:r>
            <w:r>
              <w:rPr>
                <w:rFonts w:hint="eastAsia" w:ascii="宋体" w:hAnsi="宋体" w:cs="宋体"/>
                <w:sz w:val="21"/>
                <w:szCs w:val="21"/>
              </w:rPr>
              <w:t>要求提供实际上传界面截图</w:t>
            </w:r>
          </w:p>
          <w:p w14:paraId="3B14D593">
            <w:pPr>
              <w:widowControl/>
              <w:jc w:val="left"/>
              <w:textAlignment w:val="center"/>
              <w:rPr>
                <w:rFonts w:hint="eastAsia" w:ascii="宋体" w:hAnsi="宋体" w:cs="宋体"/>
                <w:sz w:val="21"/>
                <w:szCs w:val="21"/>
              </w:rPr>
            </w:pPr>
            <w:r>
              <w:rPr>
                <w:rFonts w:hint="eastAsia" w:ascii="宋体" w:hAnsi="宋体" w:cs="宋体"/>
                <w:sz w:val="21"/>
                <w:szCs w:val="21"/>
              </w:rPr>
              <w:t>10.支持个性化配置保存功能，在还原桌面的情况下，首次完成软件的逐台注册激活后，可以将激活信息保存至个人数据盘中。之后即使更新镜像模版也不会破坏激活信息，无需重新激活；</w:t>
            </w:r>
          </w:p>
          <w:p w14:paraId="31118EF9">
            <w:pPr>
              <w:widowControl/>
              <w:jc w:val="left"/>
              <w:textAlignment w:val="center"/>
              <w:rPr>
                <w:rFonts w:hint="eastAsia" w:ascii="宋体" w:hAnsi="宋体" w:cs="宋体"/>
                <w:sz w:val="21"/>
                <w:szCs w:val="21"/>
              </w:rPr>
            </w:pPr>
            <w:r>
              <w:rPr>
                <w:rFonts w:hint="eastAsia" w:ascii="宋体" w:hAnsi="宋体" w:cs="宋体"/>
                <w:sz w:val="21"/>
                <w:szCs w:val="21"/>
              </w:rPr>
              <w:t>11.支持个性化配置保存功能。首次完成软件的注册激活后，之后更新镜像模版也无需重新激活。</w:t>
            </w:r>
          </w:p>
          <w:p w14:paraId="48635299">
            <w:pPr>
              <w:widowControl/>
              <w:jc w:val="left"/>
              <w:textAlignment w:val="center"/>
              <w:rPr>
                <w:rFonts w:hint="eastAsia" w:ascii="宋体" w:hAnsi="宋体" w:cs="宋体"/>
                <w:sz w:val="21"/>
                <w:szCs w:val="21"/>
              </w:rPr>
            </w:pPr>
            <w:r>
              <w:rPr>
                <w:rFonts w:hint="eastAsia" w:ascii="宋体" w:hAnsi="宋体" w:cs="宋体"/>
                <w:sz w:val="21"/>
                <w:szCs w:val="21"/>
              </w:rPr>
              <w:t>12.★支持管理员通过服务器集群的web管理平台唤醒远程不同网段的终端，中间无需使用跳板机转发，</w:t>
            </w:r>
            <w:r>
              <w:rPr>
                <w:rFonts w:hint="eastAsia" w:ascii="宋体" w:hAnsi="宋体" w:cs="宋体"/>
                <w:sz w:val="21"/>
                <w:szCs w:val="21"/>
                <w:lang w:val="en-US" w:eastAsia="zh-CN"/>
              </w:rPr>
              <w:t>投标时</w:t>
            </w:r>
            <w:r>
              <w:rPr>
                <w:rFonts w:hint="eastAsia" w:ascii="宋体" w:hAnsi="宋体" w:cs="宋体"/>
                <w:sz w:val="21"/>
                <w:szCs w:val="21"/>
              </w:rPr>
              <w:t>提供实际界面截图证明；</w:t>
            </w:r>
          </w:p>
          <w:p w14:paraId="03A729C5">
            <w:pPr>
              <w:widowControl/>
              <w:jc w:val="left"/>
              <w:textAlignment w:val="center"/>
              <w:rPr>
                <w:rFonts w:hint="eastAsia" w:ascii="宋体" w:hAnsi="宋体" w:cs="宋体"/>
                <w:sz w:val="21"/>
                <w:szCs w:val="21"/>
              </w:rPr>
            </w:pPr>
            <w:r>
              <w:rPr>
                <w:rFonts w:hint="eastAsia" w:ascii="宋体" w:hAnsi="宋体" w:cs="宋体"/>
                <w:sz w:val="21"/>
                <w:szCs w:val="21"/>
              </w:rPr>
              <w:t>13.★为确保英语听说软件兼容性，</w:t>
            </w:r>
            <w:r>
              <w:rPr>
                <w:rFonts w:hint="eastAsia" w:ascii="宋体" w:hAnsi="宋体" w:cs="宋体"/>
                <w:sz w:val="21"/>
                <w:szCs w:val="21"/>
                <w:lang w:val="en-US" w:eastAsia="zh-CN"/>
              </w:rPr>
              <w:t>投标时</w:t>
            </w:r>
            <w:r>
              <w:rPr>
                <w:rFonts w:hint="eastAsia" w:ascii="宋体" w:hAnsi="宋体" w:cs="宋体"/>
                <w:sz w:val="21"/>
                <w:szCs w:val="21"/>
              </w:rPr>
              <w:t>要求提供和市面主流语音听说市场厂家互测认证报告（至少包括讯飞启明、中科卓软等厂家）</w:t>
            </w:r>
          </w:p>
          <w:p w14:paraId="0F9A8479">
            <w:pPr>
              <w:widowControl/>
              <w:jc w:val="left"/>
              <w:textAlignment w:val="center"/>
              <w:rPr>
                <w:rFonts w:hint="eastAsia" w:ascii="宋体" w:hAnsi="宋体" w:cs="宋体"/>
                <w:sz w:val="21"/>
                <w:szCs w:val="21"/>
              </w:rPr>
            </w:pPr>
            <w:r>
              <w:rPr>
                <w:rFonts w:hint="eastAsia" w:ascii="宋体" w:hAnsi="宋体" w:cs="宋体"/>
                <w:sz w:val="21"/>
                <w:szCs w:val="21"/>
              </w:rPr>
              <w:t>14.★为降低单个镜像大小获取更好的下发部署体验，平台支持对镜像进行瘦身操作来减少镜像占用空间，瘦身操作包含标准瘦身和深度瘦身，</w:t>
            </w:r>
            <w:r>
              <w:rPr>
                <w:rFonts w:hint="eastAsia" w:ascii="宋体" w:hAnsi="宋体" w:cs="宋体"/>
                <w:sz w:val="21"/>
                <w:szCs w:val="21"/>
                <w:lang w:val="en-US" w:eastAsia="zh-CN"/>
              </w:rPr>
              <w:t>投标时</w:t>
            </w:r>
            <w:r>
              <w:rPr>
                <w:rFonts w:hint="eastAsia" w:ascii="宋体" w:hAnsi="宋体" w:cs="宋体"/>
                <w:sz w:val="21"/>
                <w:szCs w:val="21"/>
              </w:rPr>
              <w:t>提供实际界面截图证明；</w:t>
            </w:r>
          </w:p>
          <w:p w14:paraId="4F463524">
            <w:pPr>
              <w:widowControl/>
              <w:jc w:val="left"/>
              <w:textAlignment w:val="center"/>
              <w:rPr>
                <w:rFonts w:hint="eastAsia" w:ascii="宋体" w:hAnsi="宋体" w:cs="宋体"/>
                <w:sz w:val="21"/>
                <w:szCs w:val="21"/>
              </w:rPr>
            </w:pPr>
            <w:r>
              <w:rPr>
                <w:rFonts w:hint="eastAsia" w:ascii="宋体" w:hAnsi="宋体" w:cs="宋体"/>
                <w:sz w:val="21"/>
                <w:szCs w:val="21"/>
              </w:rPr>
              <w:t>15.支持上电自启动功能，并能够根据实际使用情况选择关闭或开启；</w:t>
            </w:r>
          </w:p>
          <w:p w14:paraId="203C4C7F">
            <w:pPr>
              <w:widowControl/>
              <w:jc w:val="left"/>
              <w:textAlignment w:val="center"/>
              <w:rPr>
                <w:rFonts w:hint="eastAsia" w:ascii="宋体" w:hAnsi="宋体" w:cs="宋体"/>
                <w:sz w:val="21"/>
                <w:szCs w:val="21"/>
              </w:rPr>
            </w:pPr>
            <w:r>
              <w:rPr>
                <w:rFonts w:hint="eastAsia" w:ascii="宋体" w:hAnsi="宋体" w:cs="宋体"/>
                <w:sz w:val="21"/>
                <w:szCs w:val="21"/>
              </w:rPr>
              <w:t>16.终端支持完全离线模式，即在云终端控制器连接中断时，依然可使用当前正在使用的镜像环境，保障业务连续性；</w:t>
            </w:r>
          </w:p>
          <w:p w14:paraId="034094CB">
            <w:pPr>
              <w:widowControl/>
              <w:jc w:val="left"/>
              <w:textAlignment w:val="center"/>
              <w:rPr>
                <w:rFonts w:hint="eastAsia" w:ascii="宋体" w:hAnsi="宋体" w:cs="宋体"/>
                <w:sz w:val="21"/>
                <w:szCs w:val="21"/>
              </w:rPr>
            </w:pPr>
            <w:r>
              <w:rPr>
                <w:rFonts w:hint="eastAsia" w:ascii="宋体" w:hAnsi="宋体" w:cs="宋体"/>
                <w:sz w:val="21"/>
                <w:szCs w:val="21"/>
              </w:rPr>
              <w:t>17.要求所投产品支持个性化配置保存功能，在还原桌面的情况下，可以将个性化信息（比如输入法个性程序）保存至个人数据盘中；</w:t>
            </w:r>
          </w:p>
          <w:p w14:paraId="5BBEE878">
            <w:pPr>
              <w:widowControl/>
              <w:jc w:val="left"/>
              <w:textAlignment w:val="center"/>
              <w:rPr>
                <w:rFonts w:ascii="宋体" w:hAnsi="宋体" w:cs="宋体"/>
                <w:sz w:val="21"/>
                <w:szCs w:val="21"/>
              </w:rPr>
            </w:pPr>
            <w:r>
              <w:rPr>
                <w:rFonts w:hint="eastAsia" w:ascii="宋体" w:hAnsi="宋体" w:cs="宋体"/>
                <w:sz w:val="21"/>
                <w:szCs w:val="21"/>
              </w:rPr>
              <w:t>★为保证兼容性和服务便捷性，防止推诿，要求与学校现有云桌面管理平台（品牌：锐捷，型号：RG-CCP）可以实现对本次采购终端的集中管理、操作系统镜像统一下发、远程运维，</w:t>
            </w:r>
            <w:r>
              <w:rPr>
                <w:rFonts w:hint="eastAsia" w:ascii="宋体" w:hAnsi="宋体" w:cs="宋体"/>
                <w:sz w:val="21"/>
                <w:szCs w:val="21"/>
                <w:lang w:val="en-US" w:eastAsia="zh-CN"/>
              </w:rPr>
              <w:t>投标时</w:t>
            </w:r>
            <w:r>
              <w:rPr>
                <w:rFonts w:hint="eastAsia" w:ascii="宋体" w:hAnsi="宋体" w:cs="宋体"/>
                <w:sz w:val="21"/>
                <w:szCs w:val="21"/>
              </w:rPr>
              <w:t>提供厂商兼容性承诺函并加盖</w:t>
            </w:r>
            <w:r>
              <w:rPr>
                <w:rFonts w:hint="eastAsia" w:ascii="宋体" w:hAnsi="宋体" w:cs="宋体"/>
                <w:color w:val="auto"/>
                <w:kern w:val="0"/>
                <w:sz w:val="21"/>
                <w:szCs w:val="21"/>
                <w:lang w:val="en-US" w:eastAsia="zh-CN"/>
              </w:rPr>
              <w:t>生产厂家</w:t>
            </w:r>
            <w:r>
              <w:rPr>
                <w:rFonts w:hint="eastAsia" w:ascii="宋体" w:hAnsi="宋体" w:cs="宋体"/>
                <w:sz w:val="21"/>
                <w:szCs w:val="21"/>
              </w:rPr>
              <w:t>公章；</w:t>
            </w:r>
          </w:p>
        </w:tc>
        <w:tc>
          <w:tcPr>
            <w:tcW w:w="555" w:type="dxa"/>
            <w:vAlign w:val="center"/>
          </w:tcPr>
          <w:p w14:paraId="0048916A">
            <w:pPr>
              <w:widowControl/>
              <w:jc w:val="center"/>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127</w:t>
            </w:r>
          </w:p>
        </w:tc>
        <w:tc>
          <w:tcPr>
            <w:tcW w:w="682" w:type="dxa"/>
            <w:vAlign w:val="center"/>
          </w:tcPr>
          <w:p w14:paraId="540E91A1">
            <w:pPr>
              <w:widowControl/>
              <w:jc w:val="center"/>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套</w:t>
            </w:r>
          </w:p>
        </w:tc>
      </w:tr>
      <w:tr w14:paraId="625D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6" w:hRule="atLeast"/>
        </w:trPr>
        <w:tc>
          <w:tcPr>
            <w:tcW w:w="0" w:type="auto"/>
            <w:vAlign w:val="center"/>
          </w:tcPr>
          <w:p w14:paraId="34D37B1E">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20" w:type="dxa"/>
            <w:vAlign w:val="center"/>
          </w:tcPr>
          <w:p w14:paraId="2812B73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台式电脑</w:t>
            </w:r>
          </w:p>
        </w:tc>
        <w:tc>
          <w:tcPr>
            <w:tcW w:w="816" w:type="dxa"/>
            <w:vAlign w:val="center"/>
          </w:tcPr>
          <w:p w14:paraId="26015FEB">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清华同方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超越E500-C3099</w:t>
            </w:r>
          </w:p>
        </w:tc>
        <w:tc>
          <w:tcPr>
            <w:tcW w:w="6547" w:type="dxa"/>
            <w:vAlign w:val="center"/>
          </w:tcPr>
          <w:p w14:paraId="704EDCAC">
            <w:pPr>
              <w:widowControl/>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一、参数要求：</w:t>
            </w:r>
          </w:p>
          <w:p w14:paraId="73C9FF2E">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1.液晶显示器：</w:t>
            </w:r>
            <w:r>
              <w:rPr>
                <w:rFonts w:hint="eastAsia" w:ascii="宋体" w:hAnsi="宋体" w:cs="宋体"/>
                <w:sz w:val="21"/>
                <w:szCs w:val="21"/>
              </w:rPr>
              <w:t>≥</w:t>
            </w:r>
            <w:r>
              <w:rPr>
                <w:rFonts w:hint="eastAsia" w:asciiTheme="minorEastAsia" w:hAnsiTheme="minorEastAsia" w:eastAsiaTheme="minorEastAsia" w:cstheme="minorEastAsia"/>
                <w:sz w:val="21"/>
                <w:szCs w:val="21"/>
              </w:rPr>
              <w:t>23.8英寸</w:t>
            </w:r>
          </w:p>
          <w:p w14:paraId="4AEEB5A9">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2.CPU：</w:t>
            </w:r>
            <w:r>
              <w:rPr>
                <w:rFonts w:hint="eastAsia" w:ascii="宋体" w:hAnsi="宋体" w:cs="宋体"/>
                <w:sz w:val="21"/>
                <w:szCs w:val="21"/>
              </w:rPr>
              <w:t>≥</w:t>
            </w:r>
            <w:r>
              <w:rPr>
                <w:rFonts w:hint="eastAsia" w:asciiTheme="minorEastAsia" w:hAnsiTheme="minorEastAsia" w:eastAsiaTheme="minorEastAsia" w:cstheme="minorEastAsia"/>
                <w:sz w:val="21"/>
                <w:szCs w:val="21"/>
              </w:rPr>
              <w:t>第十三代Intel 酷睿 i5-13400处理器；三级缓存20M；十核十六线程；</w:t>
            </w:r>
          </w:p>
          <w:p w14:paraId="61BE80B0">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3.主板芯片组：</w:t>
            </w:r>
            <w:r>
              <w:rPr>
                <w:rFonts w:hint="eastAsia" w:ascii="宋体" w:hAnsi="宋体" w:cs="宋体"/>
                <w:sz w:val="21"/>
                <w:szCs w:val="21"/>
              </w:rPr>
              <w:t>≥</w:t>
            </w:r>
            <w:r>
              <w:rPr>
                <w:rFonts w:hint="eastAsia" w:asciiTheme="minorEastAsia" w:hAnsiTheme="minorEastAsia" w:eastAsiaTheme="minorEastAsia" w:cstheme="minorEastAsia"/>
                <w:sz w:val="21"/>
                <w:szCs w:val="21"/>
              </w:rPr>
              <w:t>Intel B760；</w:t>
            </w:r>
          </w:p>
          <w:p w14:paraId="0627F8F4">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4.硬盘：固态硬盘：容量</w:t>
            </w:r>
            <w:r>
              <w:rPr>
                <w:rFonts w:hint="eastAsia" w:ascii="宋体" w:hAnsi="宋体" w:cs="宋体"/>
                <w:sz w:val="21"/>
                <w:szCs w:val="21"/>
              </w:rPr>
              <w:t>≥</w:t>
            </w:r>
            <w:r>
              <w:rPr>
                <w:rFonts w:hint="eastAsia" w:asciiTheme="minorEastAsia" w:hAnsiTheme="minorEastAsia" w:eastAsiaTheme="minorEastAsia" w:cstheme="minorEastAsia"/>
                <w:sz w:val="21"/>
                <w:szCs w:val="21"/>
              </w:rPr>
              <w:t>512GB SSD M.2；</w:t>
            </w:r>
          </w:p>
          <w:p w14:paraId="43BAA3AA">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5.内存：容量</w:t>
            </w:r>
            <w:r>
              <w:rPr>
                <w:rFonts w:hint="eastAsia" w:ascii="宋体" w:hAnsi="宋体" w:cs="宋体"/>
                <w:sz w:val="21"/>
                <w:szCs w:val="21"/>
              </w:rPr>
              <w:t>≥</w:t>
            </w:r>
            <w:r>
              <w:rPr>
                <w:rFonts w:hint="eastAsia" w:asciiTheme="minorEastAsia" w:hAnsiTheme="minorEastAsia" w:eastAsiaTheme="minorEastAsia" w:cstheme="minorEastAsia"/>
                <w:sz w:val="21"/>
                <w:szCs w:val="21"/>
              </w:rPr>
              <w:t>16 GB DDR4 3200MHz，预留可扩容插槽；</w:t>
            </w:r>
          </w:p>
          <w:p w14:paraId="1A5D8D50">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6.显卡：</w:t>
            </w:r>
            <w:r>
              <w:rPr>
                <w:rFonts w:hint="eastAsia" w:ascii="宋体" w:hAnsi="宋体" w:cs="宋体"/>
                <w:sz w:val="21"/>
                <w:szCs w:val="21"/>
              </w:rPr>
              <w:t>≥</w:t>
            </w:r>
            <w:r>
              <w:rPr>
                <w:rFonts w:hint="eastAsia" w:asciiTheme="minorEastAsia" w:hAnsiTheme="minorEastAsia" w:eastAsiaTheme="minorEastAsia" w:cstheme="minorEastAsia"/>
                <w:sz w:val="21"/>
                <w:szCs w:val="21"/>
              </w:rPr>
              <w:t>NVIDIA® GeForce RTX™ 3050 6G；</w:t>
            </w:r>
          </w:p>
          <w:p w14:paraId="0A5F2E93">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7.光驱：选配（默认无光驱）；</w:t>
            </w:r>
          </w:p>
          <w:p w14:paraId="4DBAE2AB">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8.网卡：10/100/1000M自适应，RJ45接口；</w:t>
            </w:r>
          </w:p>
          <w:p w14:paraId="01475088">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9.鼠标、键盘：光电鼠标、标准键盘；</w:t>
            </w:r>
          </w:p>
          <w:p w14:paraId="3A9CCD44">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10.电源：600W 能效85%；110V/220V；</w:t>
            </w:r>
          </w:p>
          <w:p w14:paraId="1B211FD8">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11.机箱预留装双硬盘的空间；</w:t>
            </w:r>
          </w:p>
          <w:p w14:paraId="0B4FECE5">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12.免费质保：原厂三年；</w:t>
            </w:r>
          </w:p>
          <w:p w14:paraId="1D03962B">
            <w:pPr>
              <w:widowControl/>
              <w:jc w:val="left"/>
              <w:textAlignment w:val="center"/>
              <w:rPr>
                <w:rFonts w:hint="eastAsia" w:asciiTheme="minorEastAsia" w:hAnsiTheme="minorEastAsia" w:eastAsiaTheme="minorEastAsia" w:cstheme="minorEastAsia"/>
                <w:sz w:val="21"/>
                <w:szCs w:val="21"/>
                <w:lang w:eastAsia="zh-CN"/>
              </w:rPr>
            </w:pPr>
          </w:p>
        </w:tc>
        <w:tc>
          <w:tcPr>
            <w:tcW w:w="555" w:type="dxa"/>
            <w:vAlign w:val="center"/>
          </w:tcPr>
          <w:p w14:paraId="5AB0DE41">
            <w:pPr>
              <w:widowControl/>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38</w:t>
            </w:r>
          </w:p>
        </w:tc>
        <w:tc>
          <w:tcPr>
            <w:tcW w:w="682" w:type="dxa"/>
            <w:vAlign w:val="center"/>
          </w:tcPr>
          <w:p w14:paraId="668CC2CE">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套</w:t>
            </w:r>
          </w:p>
        </w:tc>
      </w:tr>
      <w:tr w14:paraId="6FAC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6"/>
            <w:vAlign w:val="center"/>
          </w:tcPr>
          <w:p w14:paraId="7020CAEF">
            <w:pPr>
              <w:jc w:val="left"/>
              <w:rPr>
                <w:rFonts w:ascii="宋体" w:hAnsi="宋体" w:cs="宋体"/>
                <w:kern w:val="0"/>
                <w:sz w:val="20"/>
                <w:szCs w:val="20"/>
              </w:rPr>
            </w:pPr>
            <w:r>
              <w:rPr>
                <w:rFonts w:hint="eastAsia" w:ascii="宋体" w:hAnsi="宋体" w:cs="宋体"/>
                <w:kern w:val="0"/>
                <w:sz w:val="20"/>
                <w:szCs w:val="20"/>
              </w:rPr>
              <w:t>商务要求：</w:t>
            </w:r>
          </w:p>
          <w:p w14:paraId="50668B62">
            <w:pPr>
              <w:jc w:val="left"/>
              <w:rPr>
                <w:rFonts w:ascii="宋体" w:hAnsi="宋体" w:cs="宋体"/>
                <w:kern w:val="0"/>
                <w:sz w:val="20"/>
                <w:szCs w:val="20"/>
              </w:rPr>
            </w:pPr>
            <w:r>
              <w:rPr>
                <w:rFonts w:hint="eastAsia" w:ascii="宋体" w:hAnsi="宋体" w:cs="宋体"/>
                <w:kern w:val="0"/>
                <w:sz w:val="20"/>
                <w:szCs w:val="20"/>
                <w:lang w:val="en-US" w:eastAsia="zh-CN"/>
              </w:rPr>
              <w:t>1</w:t>
            </w:r>
            <w:r>
              <w:rPr>
                <w:rFonts w:hint="eastAsia" w:ascii="宋体" w:hAnsi="宋体" w:cs="宋体"/>
                <w:kern w:val="0"/>
                <w:sz w:val="20"/>
                <w:szCs w:val="20"/>
              </w:rPr>
              <w:t xml:space="preserve">、★成交供应商提供的产品必须是原厂生产的正品全新、完整、未使用过的合格产品，产品质量符合国家相关标准和规范，具备正规合法经销渠道。所有产品除满足上表要求的技术参数外，其余均按国家标准及生产厂家出厂标准配置。成交供应商提供的产品品牌、型号、规格、技术参数、质量不符合合同规定及采购需求规定标准的，采购人有权拒收该货物。                  </w:t>
            </w:r>
          </w:p>
          <w:p w14:paraId="1C1A288D">
            <w:pPr>
              <w:jc w:val="left"/>
              <w:rPr>
                <w:rFonts w:hint="eastAsia" w:ascii="宋体" w:hAnsi="宋体" w:cs="宋体"/>
                <w:kern w:val="0"/>
                <w:sz w:val="20"/>
                <w:szCs w:val="20"/>
              </w:rPr>
            </w:pPr>
            <w:r>
              <w:rPr>
                <w:rFonts w:hint="eastAsia" w:ascii="宋体" w:hAnsi="宋体" w:cs="宋体"/>
                <w:kern w:val="0"/>
                <w:sz w:val="20"/>
                <w:szCs w:val="20"/>
                <w:lang w:val="en-US" w:eastAsia="zh-CN"/>
              </w:rPr>
              <w:t>2、</w:t>
            </w:r>
            <w:r>
              <w:rPr>
                <w:rFonts w:hint="eastAsia" w:ascii="宋体" w:hAnsi="宋体" w:cs="宋体"/>
                <w:kern w:val="0"/>
                <w:sz w:val="20"/>
                <w:szCs w:val="20"/>
              </w:rPr>
              <w:t>本项目采购需求(主要技术参数要求)中带★号的内容为实质性要求，供应商必须实质性满足，否则</w:t>
            </w:r>
            <w:r>
              <w:rPr>
                <w:rFonts w:hint="eastAsia" w:ascii="宋体" w:hAnsi="宋体" w:cs="宋体"/>
                <w:color w:val="000000" w:themeColor="text1"/>
                <w:kern w:val="0"/>
                <w:sz w:val="20"/>
                <w:szCs w:val="20"/>
                <w:highlight w:val="none"/>
                <w14:textFill>
                  <w14:solidFill>
                    <w14:schemeClr w14:val="tx1"/>
                  </w14:solidFill>
                </w14:textFill>
              </w:rPr>
              <w:t>反向竞价</w:t>
            </w:r>
            <w:r>
              <w:rPr>
                <w:rFonts w:hint="eastAsia" w:ascii="宋体" w:hAnsi="宋体" w:cs="宋体"/>
                <w:kern w:val="0"/>
                <w:sz w:val="20"/>
                <w:szCs w:val="20"/>
              </w:rPr>
              <w:t>将视为无效，如不能提供以上满足所有参数的产品，将依法向政采云平台及政府采购管理部门进行举报并予以禁止报价、扣除诚信分等处罚，政采云全平台各区划联动生效，不予签订合同。中标供应商必须按合同品牌型号来供货。</w:t>
            </w:r>
          </w:p>
          <w:p w14:paraId="429108DA">
            <w:pPr>
              <w:jc w:val="left"/>
              <w:rPr>
                <w:rFonts w:hint="eastAsia"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3、</w:t>
            </w:r>
            <w:r>
              <w:rPr>
                <w:rFonts w:hint="eastAsia" w:ascii="宋体" w:hAnsi="宋体" w:cs="宋体"/>
                <w:b/>
                <w:bCs/>
                <w:color w:val="auto"/>
                <w:kern w:val="0"/>
                <w:sz w:val="20"/>
                <w:szCs w:val="20"/>
              </w:rPr>
              <w:t>本项目采购需求(主要技术参数要求)中带</w:t>
            </w:r>
            <w:r>
              <w:rPr>
                <w:rFonts w:hint="eastAsia" w:ascii="宋体" w:hAnsi="宋体" w:cs="宋体"/>
                <w:b/>
                <w:bCs/>
                <w:kern w:val="0"/>
                <w:sz w:val="20"/>
                <w:szCs w:val="20"/>
              </w:rPr>
              <w:t>★</w:t>
            </w:r>
            <w:r>
              <w:rPr>
                <w:rFonts w:hint="eastAsia" w:ascii="宋体" w:hAnsi="宋体" w:cs="宋体"/>
                <w:b/>
                <w:bCs/>
                <w:color w:val="auto"/>
                <w:kern w:val="0"/>
                <w:sz w:val="20"/>
                <w:szCs w:val="20"/>
              </w:rPr>
              <w:t>号的内容</w:t>
            </w:r>
            <w:r>
              <w:rPr>
                <w:rFonts w:hint="eastAsia" w:ascii="宋体" w:hAnsi="宋体" w:cs="宋体"/>
                <w:b/>
                <w:bCs/>
                <w:color w:val="auto"/>
                <w:kern w:val="0"/>
                <w:sz w:val="20"/>
                <w:szCs w:val="20"/>
                <w:lang w:val="en-US" w:eastAsia="zh-CN"/>
              </w:rPr>
              <w:t>投标时，请按照</w:t>
            </w:r>
            <w:r>
              <w:rPr>
                <w:rFonts w:hint="eastAsia" w:ascii="宋体" w:hAnsi="宋体" w:cs="宋体"/>
                <w:b/>
                <w:bCs/>
                <w:color w:val="auto"/>
                <w:kern w:val="0"/>
                <w:sz w:val="20"/>
                <w:szCs w:val="20"/>
              </w:rPr>
              <w:t>投标</w:t>
            </w:r>
            <w:r>
              <w:rPr>
                <w:rFonts w:hint="eastAsia" w:ascii="宋体" w:hAnsi="宋体" w:cs="宋体"/>
                <w:b/>
                <w:bCs/>
                <w:color w:val="auto"/>
                <w:kern w:val="0"/>
                <w:sz w:val="20"/>
                <w:szCs w:val="20"/>
                <w:lang w:val="en-US" w:eastAsia="zh-CN"/>
              </w:rPr>
              <w:t>要求</w:t>
            </w:r>
            <w:r>
              <w:rPr>
                <w:rFonts w:hint="eastAsia" w:ascii="宋体" w:hAnsi="宋体" w:cs="宋体"/>
                <w:b/>
                <w:bCs/>
                <w:color w:val="auto"/>
                <w:kern w:val="0"/>
                <w:sz w:val="20"/>
                <w:szCs w:val="20"/>
              </w:rPr>
              <w:t>提供国家认可的第三方检测机构所出具的关于该功能的检测报告复印件</w:t>
            </w:r>
            <w:r>
              <w:rPr>
                <w:rFonts w:hint="eastAsia" w:ascii="宋体" w:hAnsi="宋体" w:cs="宋体"/>
                <w:b/>
                <w:bCs/>
                <w:color w:val="auto"/>
                <w:kern w:val="0"/>
                <w:sz w:val="20"/>
                <w:szCs w:val="20"/>
                <w:lang w:val="en-US" w:eastAsia="zh-CN"/>
              </w:rPr>
              <w:t>或者相关功能截图</w:t>
            </w:r>
            <w:r>
              <w:rPr>
                <w:rFonts w:hint="eastAsia" w:ascii="宋体" w:hAnsi="宋体" w:cs="宋体"/>
                <w:b/>
                <w:bCs/>
                <w:color w:val="auto"/>
                <w:kern w:val="0"/>
                <w:sz w:val="20"/>
                <w:szCs w:val="20"/>
              </w:rPr>
              <w:t>并加盖</w:t>
            </w:r>
            <w:r>
              <w:rPr>
                <w:rFonts w:hint="eastAsia" w:ascii="宋体" w:hAnsi="宋体" w:cs="宋体"/>
                <w:b/>
                <w:bCs/>
                <w:color w:val="auto"/>
                <w:kern w:val="0"/>
                <w:sz w:val="20"/>
                <w:szCs w:val="20"/>
                <w:lang w:val="en-US" w:eastAsia="zh-CN"/>
              </w:rPr>
              <w:t>生产厂家</w:t>
            </w:r>
            <w:r>
              <w:rPr>
                <w:rFonts w:hint="eastAsia" w:ascii="宋体" w:hAnsi="宋体" w:cs="宋体"/>
                <w:b/>
                <w:bCs/>
                <w:color w:val="auto"/>
                <w:kern w:val="0"/>
                <w:sz w:val="20"/>
                <w:szCs w:val="20"/>
              </w:rPr>
              <w:t>公章</w:t>
            </w:r>
            <w:r>
              <w:rPr>
                <w:rFonts w:hint="eastAsia" w:ascii="宋体" w:hAnsi="宋体" w:cs="宋体"/>
                <w:b/>
                <w:bCs/>
                <w:color w:val="auto"/>
                <w:kern w:val="0"/>
                <w:sz w:val="20"/>
                <w:szCs w:val="20"/>
                <w:lang w:eastAsia="zh-CN"/>
              </w:rPr>
              <w:t>。</w:t>
            </w:r>
          </w:p>
          <w:p w14:paraId="3F8F4E45">
            <w:pPr>
              <w:jc w:val="left"/>
              <w:rPr>
                <w:rFonts w:ascii="宋体" w:hAnsi="宋体" w:cs="宋体"/>
                <w:kern w:val="0"/>
                <w:sz w:val="20"/>
                <w:szCs w:val="20"/>
              </w:rPr>
            </w:pPr>
            <w:r>
              <w:rPr>
                <w:rFonts w:hint="eastAsia" w:ascii="宋体" w:hAnsi="宋体" w:cs="宋体"/>
                <w:kern w:val="0"/>
                <w:sz w:val="20"/>
                <w:szCs w:val="20"/>
                <w:lang w:val="en-US" w:eastAsia="zh-CN"/>
              </w:rPr>
              <w:t>4、</w:t>
            </w:r>
            <w:r>
              <w:rPr>
                <w:rFonts w:hint="eastAsia" w:ascii="宋体" w:hAnsi="宋体" w:cs="宋体"/>
                <w:kern w:val="0"/>
                <w:sz w:val="20"/>
                <w:szCs w:val="20"/>
              </w:rPr>
              <w:t>产品要求，必须保证正牌正品及新品，原厂出厂配置，合同签订</w:t>
            </w:r>
            <w:r>
              <w:rPr>
                <w:rFonts w:hint="eastAsia" w:ascii="宋体" w:hAnsi="宋体" w:cs="宋体"/>
                <w:sz w:val="20"/>
                <w:szCs w:val="20"/>
              </w:rPr>
              <w:t>三</w:t>
            </w:r>
            <w:r>
              <w:rPr>
                <w:rFonts w:ascii="宋体" w:hAnsi="宋体" w:cs="宋体"/>
                <w:sz w:val="20"/>
                <w:szCs w:val="20"/>
              </w:rPr>
              <w:t>天内提供所中标</w:t>
            </w:r>
            <w:r>
              <w:rPr>
                <w:rFonts w:ascii="宋体" w:hAnsi="宋体" w:cs="宋体"/>
                <w:color w:val="000000" w:themeColor="text1"/>
                <w:sz w:val="20"/>
                <w:szCs w:val="20"/>
                <w14:textFill>
                  <w14:solidFill>
                    <w14:schemeClr w14:val="tx1"/>
                  </w14:solidFill>
                </w14:textFill>
              </w:rPr>
              <w:t>品牌、型号的产品</w:t>
            </w:r>
            <w:r>
              <w:rPr>
                <w:rFonts w:hint="eastAsia" w:ascii="宋体" w:hAnsi="宋体" w:cs="宋体"/>
                <w:color w:val="000000" w:themeColor="text1"/>
                <w:sz w:val="20"/>
                <w:szCs w:val="20"/>
                <w14:textFill>
                  <w14:solidFill>
                    <w14:schemeClr w14:val="tx1"/>
                  </w14:solidFill>
                </w14:textFill>
              </w:rPr>
              <w:t>样机各一台</w:t>
            </w:r>
            <w:r>
              <w:rPr>
                <w:rFonts w:ascii="宋体" w:hAnsi="宋体" w:cs="宋体"/>
                <w:color w:val="000000" w:themeColor="text1"/>
                <w:sz w:val="20"/>
                <w:szCs w:val="20"/>
                <w14:textFill>
                  <w14:solidFill>
                    <w14:schemeClr w14:val="tx1"/>
                  </w14:solidFill>
                </w14:textFill>
              </w:rPr>
              <w:t>，中标产品的技术参数必须与招标文件一致，所提供产品经</w:t>
            </w:r>
            <w:r>
              <w:rPr>
                <w:rFonts w:ascii="宋体" w:hAnsi="宋体" w:cs="宋体"/>
                <w:sz w:val="20"/>
                <w:szCs w:val="20"/>
              </w:rPr>
              <w:t>过采购人确认后方可</w:t>
            </w:r>
            <w:r>
              <w:rPr>
                <w:rFonts w:hint="eastAsia" w:ascii="宋体" w:hAnsi="宋体" w:cs="宋体"/>
                <w:sz w:val="20"/>
                <w:szCs w:val="20"/>
                <w:lang w:eastAsia="zh-CN"/>
              </w:rPr>
              <w:t>正式</w:t>
            </w:r>
            <w:r>
              <w:rPr>
                <w:rFonts w:ascii="宋体" w:hAnsi="宋体" w:cs="宋体"/>
                <w:sz w:val="20"/>
                <w:szCs w:val="20"/>
              </w:rPr>
              <w:t>供货。</w:t>
            </w:r>
            <w:r>
              <w:rPr>
                <w:rFonts w:hint="eastAsia" w:ascii="宋体" w:hAnsi="宋体" w:cs="宋体"/>
                <w:kern w:val="0"/>
                <w:sz w:val="20"/>
                <w:szCs w:val="20"/>
              </w:rPr>
              <w:t>如提供假冒伪劣产品、旧品等不合格产品，经发现将拍照报送政采云平台及广西壮族自治区财政厅监管部门。为保证采购人的正常使用权益，产品保修服务等必须符合采购需求的要求。如因上述原因造成的经济损失，由成交供应商承担赔偿责任。</w:t>
            </w:r>
          </w:p>
          <w:p w14:paraId="11FA6E2B">
            <w:pPr>
              <w:jc w:val="left"/>
              <w:rPr>
                <w:rFonts w:ascii="宋体" w:hAnsi="宋体" w:cs="宋体"/>
                <w:bCs/>
                <w:kern w:val="0"/>
                <w:sz w:val="20"/>
                <w:szCs w:val="20"/>
              </w:rPr>
            </w:pPr>
            <w:r>
              <w:rPr>
                <w:rFonts w:hint="eastAsia" w:ascii="宋体" w:hAnsi="宋体" w:cs="宋体"/>
                <w:bCs/>
                <w:kern w:val="0"/>
                <w:sz w:val="20"/>
                <w:szCs w:val="20"/>
                <w:lang w:val="en-US" w:eastAsia="zh-CN"/>
              </w:rPr>
              <w:t>5</w:t>
            </w:r>
            <w:r>
              <w:rPr>
                <w:rFonts w:hint="eastAsia" w:ascii="宋体" w:hAnsi="宋体" w:cs="宋体"/>
                <w:bCs/>
                <w:kern w:val="0"/>
                <w:sz w:val="20"/>
                <w:szCs w:val="20"/>
              </w:rPr>
              <w:t>、</w:t>
            </w:r>
            <w:r>
              <w:rPr>
                <w:rFonts w:hint="eastAsia" w:ascii="宋体" w:hAnsi="宋体" w:cs="宋体"/>
                <w:kern w:val="0"/>
                <w:sz w:val="20"/>
                <w:szCs w:val="20"/>
              </w:rPr>
              <w:t>★</w:t>
            </w:r>
            <w:r>
              <w:rPr>
                <w:rFonts w:hint="eastAsia" w:ascii="宋体" w:hAnsi="宋体" w:cs="宋体"/>
                <w:bCs/>
                <w:kern w:val="0"/>
                <w:sz w:val="20"/>
                <w:szCs w:val="20"/>
              </w:rPr>
              <w:t>为了保障采购人的正常使用，保障高效的售后服务，保证设备的稳定运行，为确保货物质量，签订合同前中标单位须提供生产厂家针对此项目售后服务保证函原件及供货证明原件，否则不予验收通过。采购人有权单方面取消中标并解除合同，并按规定对投标公司予以虚假应标处罚，并报送政采云平台及广西壮族自治区财政厅监管部门，列入不良行为记录在档。</w:t>
            </w:r>
          </w:p>
          <w:p w14:paraId="2EF101E8">
            <w:pPr>
              <w:jc w:val="left"/>
              <w:rPr>
                <w:rFonts w:ascii="宋体" w:hAnsi="宋体" w:cs="宋体"/>
                <w:kern w:val="0"/>
                <w:sz w:val="20"/>
                <w:szCs w:val="20"/>
              </w:rPr>
            </w:pPr>
          </w:p>
        </w:tc>
      </w:tr>
      <w:bookmarkEnd w:id="0"/>
      <w:bookmarkEnd w:id="1"/>
    </w:tbl>
    <w:p w14:paraId="1E1C4DF5">
      <w:pPr>
        <w:pStyle w:val="6"/>
        <w:rPr>
          <w:rFonts w:hint="eastAsia" w:asciiTheme="minorEastAsia" w:hAnsiTheme="minorEastAsia" w:eastAsiaTheme="minorEastAsia" w:cstheme="minorEastAsia"/>
        </w:rPr>
      </w:pPr>
    </w:p>
    <w:p w14:paraId="38D84BC1">
      <w:pPr>
        <w:rPr>
          <w:rFonts w:hint="eastAsia" w:ascii="宋体" w:hAnsi="宋体"/>
          <w:b/>
          <w:szCs w:val="21"/>
        </w:rPr>
      </w:pPr>
      <w:r>
        <w:rPr>
          <w:rFonts w:hint="eastAsia" w:ascii="宋体" w:hAnsi="宋体"/>
          <w:b/>
          <w:szCs w:val="21"/>
        </w:rPr>
        <w:br w:type="page"/>
      </w:r>
    </w:p>
    <w:p w14:paraId="03394981">
      <w:pPr>
        <w:jc w:val="left"/>
        <w:rPr>
          <w:rFonts w:ascii="宋体" w:hAnsi="宋体"/>
          <w:b/>
          <w:szCs w:val="21"/>
        </w:rPr>
      </w:pPr>
      <w:r>
        <w:rPr>
          <w:rFonts w:hint="eastAsia" w:ascii="宋体" w:hAnsi="宋体"/>
          <w:b/>
          <w:szCs w:val="21"/>
        </w:rPr>
        <w:t>附件1：</w:t>
      </w:r>
    </w:p>
    <w:p w14:paraId="47C59176">
      <w:pPr>
        <w:spacing w:line="300" w:lineRule="auto"/>
        <w:jc w:val="center"/>
        <w:rPr>
          <w:rFonts w:ascii="宋体" w:hAnsi="宋体"/>
          <w:b/>
          <w:szCs w:val="21"/>
        </w:rPr>
      </w:pPr>
      <w:r>
        <w:rPr>
          <w:rFonts w:hint="eastAsia" w:ascii="宋体" w:hAnsi="宋体"/>
          <w:b/>
          <w:szCs w:val="21"/>
        </w:rPr>
        <w:t>商务</w:t>
      </w:r>
      <w:r>
        <w:rPr>
          <w:rFonts w:hint="eastAsia" w:ascii="宋体" w:hAnsi="宋体"/>
          <w:b/>
          <w:szCs w:val="21"/>
          <w:lang w:eastAsia="zh-CN"/>
        </w:rPr>
        <w:t>及</w:t>
      </w:r>
      <w:r>
        <w:rPr>
          <w:rFonts w:hint="eastAsia" w:ascii="宋体" w:hAnsi="宋体"/>
          <w:b/>
          <w:szCs w:val="21"/>
        </w:rPr>
        <w:t>技术响应偏离情况说明表（必须提供）</w:t>
      </w:r>
    </w:p>
    <w:p w14:paraId="016A2D2C">
      <w:pPr>
        <w:spacing w:line="300" w:lineRule="auto"/>
        <w:rPr>
          <w:rFonts w:ascii="宋体" w:hAnsi="宋体"/>
          <w:szCs w:val="21"/>
        </w:rPr>
      </w:pPr>
    </w:p>
    <w:p w14:paraId="6153982C">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p w14:paraId="5F01A9C0">
      <w:pPr>
        <w:spacing w:line="300" w:lineRule="auto"/>
        <w:rPr>
          <w:rFonts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5DDA00EB">
      <w:pPr>
        <w:spacing w:line="300" w:lineRule="auto"/>
        <w:rPr>
          <w:rFonts w:ascii="宋体" w:hAnsi="宋体"/>
          <w:szCs w:val="21"/>
        </w:rPr>
      </w:pPr>
    </w:p>
    <w:tbl>
      <w:tblPr>
        <w:tblStyle w:val="9"/>
        <w:tblW w:w="944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316"/>
        <w:gridCol w:w="2268"/>
        <w:gridCol w:w="3087"/>
        <w:gridCol w:w="1198"/>
        <w:gridCol w:w="939"/>
      </w:tblGrid>
      <w:tr w14:paraId="70BD0D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0F620CDE">
            <w:pPr>
              <w:adjustRightInd w:val="0"/>
              <w:snapToGrid w:val="0"/>
              <w:spacing w:line="300" w:lineRule="auto"/>
              <w:jc w:val="center"/>
              <w:outlineLvl w:val="0"/>
              <w:rPr>
                <w:rFonts w:ascii="宋体" w:hAnsi="宋体"/>
                <w:szCs w:val="21"/>
              </w:rPr>
            </w:pPr>
            <w:r>
              <w:rPr>
                <w:rFonts w:hint="eastAsia" w:ascii="宋体" w:hAnsi="宋体"/>
                <w:szCs w:val="21"/>
              </w:rPr>
              <w:t>序号</w:t>
            </w:r>
          </w:p>
        </w:tc>
        <w:tc>
          <w:tcPr>
            <w:tcW w:w="1316" w:type="dxa"/>
            <w:vAlign w:val="center"/>
          </w:tcPr>
          <w:p w14:paraId="3F945DCA">
            <w:pPr>
              <w:adjustRightInd w:val="0"/>
              <w:snapToGrid w:val="0"/>
              <w:spacing w:line="300" w:lineRule="auto"/>
              <w:jc w:val="center"/>
              <w:outlineLvl w:val="0"/>
              <w:rPr>
                <w:rFonts w:ascii="宋体" w:hAnsi="宋体"/>
                <w:szCs w:val="21"/>
              </w:rPr>
            </w:pPr>
            <w:r>
              <w:rPr>
                <w:rFonts w:hint="eastAsia" w:ascii="宋体" w:hAnsi="宋体"/>
                <w:szCs w:val="21"/>
              </w:rPr>
              <w:t xml:space="preserve">名称                    </w:t>
            </w:r>
          </w:p>
        </w:tc>
        <w:tc>
          <w:tcPr>
            <w:tcW w:w="2268" w:type="dxa"/>
            <w:vAlign w:val="center"/>
          </w:tcPr>
          <w:p w14:paraId="39DEF09D">
            <w:pPr>
              <w:adjustRightInd w:val="0"/>
              <w:snapToGrid w:val="0"/>
              <w:spacing w:line="300" w:lineRule="auto"/>
              <w:jc w:val="center"/>
              <w:outlineLvl w:val="0"/>
              <w:rPr>
                <w:rFonts w:ascii="宋体" w:hAnsi="宋体"/>
                <w:szCs w:val="21"/>
              </w:rPr>
            </w:pPr>
            <w:r>
              <w:rPr>
                <w:rFonts w:hint="eastAsia" w:ascii="宋体" w:hAnsi="宋体"/>
                <w:szCs w:val="21"/>
              </w:rPr>
              <w:t>采购文件要求</w:t>
            </w:r>
          </w:p>
        </w:tc>
        <w:tc>
          <w:tcPr>
            <w:tcW w:w="3087" w:type="dxa"/>
            <w:vAlign w:val="center"/>
          </w:tcPr>
          <w:p w14:paraId="38C195E5">
            <w:pPr>
              <w:adjustRightInd w:val="0"/>
              <w:snapToGrid w:val="0"/>
              <w:spacing w:line="300" w:lineRule="auto"/>
              <w:ind w:left="-107" w:leftChars="-51" w:firstLine="107" w:firstLineChars="51"/>
              <w:jc w:val="center"/>
              <w:outlineLvl w:val="0"/>
              <w:rPr>
                <w:rFonts w:ascii="宋体" w:hAnsi="宋体"/>
                <w:szCs w:val="21"/>
              </w:rPr>
            </w:pPr>
            <w:r>
              <w:rPr>
                <w:rFonts w:hint="eastAsia" w:ascii="宋体" w:hAnsi="宋体"/>
                <w:szCs w:val="21"/>
              </w:rPr>
              <w:t>报价响应文件具体响应</w:t>
            </w:r>
          </w:p>
        </w:tc>
        <w:tc>
          <w:tcPr>
            <w:tcW w:w="1198" w:type="dxa"/>
            <w:vAlign w:val="center"/>
          </w:tcPr>
          <w:p w14:paraId="75A04A61">
            <w:pPr>
              <w:adjustRightInd w:val="0"/>
              <w:snapToGrid w:val="0"/>
              <w:spacing w:line="300" w:lineRule="auto"/>
              <w:jc w:val="center"/>
              <w:outlineLvl w:val="0"/>
              <w:rPr>
                <w:rFonts w:ascii="宋体" w:hAnsi="宋体"/>
                <w:szCs w:val="21"/>
              </w:rPr>
            </w:pPr>
            <w:r>
              <w:rPr>
                <w:rFonts w:hint="eastAsia" w:ascii="宋体" w:hAnsi="宋体"/>
                <w:szCs w:val="21"/>
              </w:rPr>
              <w:t>响应/偏离</w:t>
            </w:r>
          </w:p>
        </w:tc>
        <w:tc>
          <w:tcPr>
            <w:tcW w:w="939" w:type="dxa"/>
            <w:vAlign w:val="center"/>
          </w:tcPr>
          <w:p w14:paraId="2152636D">
            <w:pPr>
              <w:adjustRightInd w:val="0"/>
              <w:snapToGrid w:val="0"/>
              <w:spacing w:line="300" w:lineRule="auto"/>
              <w:jc w:val="center"/>
              <w:outlineLvl w:val="0"/>
              <w:rPr>
                <w:rFonts w:ascii="宋体" w:hAnsi="宋体"/>
                <w:szCs w:val="21"/>
              </w:rPr>
            </w:pPr>
            <w:r>
              <w:rPr>
                <w:rFonts w:hint="eastAsia" w:ascii="宋体" w:hAnsi="宋体"/>
                <w:szCs w:val="21"/>
              </w:rPr>
              <w:t>说明</w:t>
            </w:r>
          </w:p>
        </w:tc>
      </w:tr>
      <w:tr w14:paraId="774438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1FBE134C">
            <w:pPr>
              <w:adjustRightInd w:val="0"/>
              <w:snapToGrid w:val="0"/>
              <w:spacing w:line="300" w:lineRule="auto"/>
              <w:jc w:val="center"/>
              <w:outlineLvl w:val="0"/>
              <w:rPr>
                <w:rFonts w:ascii="宋体" w:hAnsi="宋体"/>
                <w:szCs w:val="21"/>
              </w:rPr>
            </w:pPr>
          </w:p>
        </w:tc>
        <w:tc>
          <w:tcPr>
            <w:tcW w:w="8808" w:type="dxa"/>
            <w:gridSpan w:val="5"/>
            <w:vAlign w:val="center"/>
          </w:tcPr>
          <w:p w14:paraId="59F71742">
            <w:pPr>
              <w:adjustRightInd w:val="0"/>
              <w:snapToGrid w:val="0"/>
              <w:spacing w:line="300" w:lineRule="auto"/>
              <w:jc w:val="center"/>
              <w:outlineLvl w:val="0"/>
              <w:rPr>
                <w:rFonts w:ascii="宋体" w:hAnsi="宋体"/>
                <w:b/>
                <w:szCs w:val="21"/>
              </w:rPr>
            </w:pPr>
            <w:r>
              <w:rPr>
                <w:rFonts w:hint="eastAsia" w:ascii="宋体" w:hAnsi="宋体"/>
                <w:b/>
                <w:szCs w:val="21"/>
              </w:rPr>
              <w:t>商务部分</w:t>
            </w:r>
          </w:p>
        </w:tc>
      </w:tr>
      <w:tr w14:paraId="2ABCFF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vAlign w:val="center"/>
          </w:tcPr>
          <w:p w14:paraId="0F2D456A">
            <w:pPr>
              <w:adjustRightInd w:val="0"/>
              <w:snapToGrid w:val="0"/>
              <w:spacing w:line="300" w:lineRule="auto"/>
              <w:jc w:val="center"/>
              <w:outlineLvl w:val="0"/>
              <w:rPr>
                <w:rFonts w:ascii="宋体" w:hAnsi="宋体"/>
                <w:szCs w:val="21"/>
              </w:rPr>
            </w:pPr>
            <w:r>
              <w:rPr>
                <w:rFonts w:hint="eastAsia" w:ascii="宋体" w:hAnsi="宋体"/>
                <w:szCs w:val="21"/>
              </w:rPr>
              <w:t>1</w:t>
            </w:r>
          </w:p>
        </w:tc>
        <w:tc>
          <w:tcPr>
            <w:tcW w:w="1316" w:type="dxa"/>
            <w:vAlign w:val="center"/>
          </w:tcPr>
          <w:p w14:paraId="56CCA63C">
            <w:pPr>
              <w:adjustRightInd w:val="0"/>
              <w:snapToGrid w:val="0"/>
              <w:spacing w:line="300" w:lineRule="auto"/>
              <w:jc w:val="center"/>
              <w:outlineLvl w:val="0"/>
              <w:rPr>
                <w:rFonts w:ascii="宋体" w:hAnsi="宋体"/>
                <w:szCs w:val="21"/>
              </w:rPr>
            </w:pPr>
          </w:p>
        </w:tc>
        <w:tc>
          <w:tcPr>
            <w:tcW w:w="2268" w:type="dxa"/>
            <w:vAlign w:val="center"/>
          </w:tcPr>
          <w:p w14:paraId="04122484">
            <w:pPr>
              <w:adjustRightInd w:val="0"/>
              <w:snapToGrid w:val="0"/>
              <w:spacing w:line="300" w:lineRule="auto"/>
              <w:jc w:val="center"/>
              <w:outlineLvl w:val="0"/>
              <w:rPr>
                <w:rFonts w:ascii="宋体" w:hAnsi="宋体"/>
                <w:szCs w:val="21"/>
              </w:rPr>
            </w:pPr>
          </w:p>
        </w:tc>
        <w:tc>
          <w:tcPr>
            <w:tcW w:w="3087" w:type="dxa"/>
            <w:vAlign w:val="center"/>
          </w:tcPr>
          <w:p w14:paraId="470F91D4">
            <w:pPr>
              <w:adjustRightInd w:val="0"/>
              <w:snapToGrid w:val="0"/>
              <w:spacing w:line="300" w:lineRule="auto"/>
              <w:jc w:val="center"/>
              <w:outlineLvl w:val="0"/>
              <w:rPr>
                <w:rFonts w:ascii="宋体" w:hAnsi="宋体"/>
                <w:szCs w:val="21"/>
              </w:rPr>
            </w:pPr>
          </w:p>
        </w:tc>
        <w:tc>
          <w:tcPr>
            <w:tcW w:w="1198" w:type="dxa"/>
            <w:vAlign w:val="center"/>
          </w:tcPr>
          <w:p w14:paraId="3B5A3C7F">
            <w:pPr>
              <w:adjustRightInd w:val="0"/>
              <w:snapToGrid w:val="0"/>
              <w:spacing w:line="300" w:lineRule="auto"/>
              <w:jc w:val="center"/>
              <w:outlineLvl w:val="0"/>
              <w:rPr>
                <w:rFonts w:ascii="宋体" w:hAnsi="宋体"/>
                <w:szCs w:val="21"/>
              </w:rPr>
            </w:pPr>
          </w:p>
        </w:tc>
        <w:tc>
          <w:tcPr>
            <w:tcW w:w="939" w:type="dxa"/>
            <w:vAlign w:val="center"/>
          </w:tcPr>
          <w:p w14:paraId="0FCF9CBF">
            <w:pPr>
              <w:adjustRightInd w:val="0"/>
              <w:snapToGrid w:val="0"/>
              <w:spacing w:line="300" w:lineRule="auto"/>
              <w:jc w:val="center"/>
              <w:outlineLvl w:val="0"/>
              <w:rPr>
                <w:rFonts w:ascii="宋体" w:hAnsi="宋体"/>
                <w:szCs w:val="21"/>
              </w:rPr>
            </w:pPr>
          </w:p>
        </w:tc>
      </w:tr>
      <w:tr w14:paraId="78E5A9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14:paraId="2F989550">
            <w:pPr>
              <w:adjustRightInd w:val="0"/>
              <w:snapToGrid w:val="0"/>
              <w:spacing w:line="300" w:lineRule="auto"/>
              <w:jc w:val="center"/>
              <w:outlineLvl w:val="0"/>
              <w:rPr>
                <w:rFonts w:ascii="宋体" w:hAnsi="宋体"/>
                <w:szCs w:val="21"/>
              </w:rPr>
            </w:pPr>
            <w:r>
              <w:rPr>
                <w:rFonts w:hint="eastAsia" w:ascii="宋体" w:hAnsi="宋体"/>
                <w:szCs w:val="21"/>
              </w:rPr>
              <w:t>2</w:t>
            </w:r>
          </w:p>
        </w:tc>
        <w:tc>
          <w:tcPr>
            <w:tcW w:w="1316" w:type="dxa"/>
            <w:vAlign w:val="center"/>
          </w:tcPr>
          <w:p w14:paraId="0BA4E2DA">
            <w:pPr>
              <w:adjustRightInd w:val="0"/>
              <w:snapToGrid w:val="0"/>
              <w:spacing w:line="300" w:lineRule="auto"/>
              <w:jc w:val="center"/>
              <w:outlineLvl w:val="0"/>
              <w:rPr>
                <w:rFonts w:ascii="宋体" w:hAnsi="宋体"/>
                <w:szCs w:val="21"/>
              </w:rPr>
            </w:pPr>
          </w:p>
        </w:tc>
        <w:tc>
          <w:tcPr>
            <w:tcW w:w="2268" w:type="dxa"/>
            <w:vAlign w:val="center"/>
          </w:tcPr>
          <w:p w14:paraId="4F9F6EEE">
            <w:pPr>
              <w:adjustRightInd w:val="0"/>
              <w:snapToGrid w:val="0"/>
              <w:spacing w:line="300" w:lineRule="auto"/>
              <w:jc w:val="center"/>
              <w:outlineLvl w:val="0"/>
              <w:rPr>
                <w:rFonts w:ascii="宋体" w:hAnsi="宋体"/>
                <w:szCs w:val="21"/>
              </w:rPr>
            </w:pPr>
          </w:p>
        </w:tc>
        <w:tc>
          <w:tcPr>
            <w:tcW w:w="3087" w:type="dxa"/>
            <w:vAlign w:val="center"/>
          </w:tcPr>
          <w:p w14:paraId="326F80F8">
            <w:pPr>
              <w:adjustRightInd w:val="0"/>
              <w:snapToGrid w:val="0"/>
              <w:spacing w:line="300" w:lineRule="auto"/>
              <w:jc w:val="center"/>
              <w:outlineLvl w:val="0"/>
              <w:rPr>
                <w:rFonts w:ascii="宋体" w:hAnsi="宋体"/>
                <w:szCs w:val="21"/>
              </w:rPr>
            </w:pPr>
          </w:p>
        </w:tc>
        <w:tc>
          <w:tcPr>
            <w:tcW w:w="1198" w:type="dxa"/>
            <w:vAlign w:val="center"/>
          </w:tcPr>
          <w:p w14:paraId="7AB38222">
            <w:pPr>
              <w:adjustRightInd w:val="0"/>
              <w:snapToGrid w:val="0"/>
              <w:spacing w:line="300" w:lineRule="auto"/>
              <w:jc w:val="center"/>
              <w:outlineLvl w:val="0"/>
              <w:rPr>
                <w:rFonts w:ascii="宋体" w:hAnsi="宋体"/>
                <w:szCs w:val="21"/>
              </w:rPr>
            </w:pPr>
          </w:p>
        </w:tc>
        <w:tc>
          <w:tcPr>
            <w:tcW w:w="939" w:type="dxa"/>
            <w:vAlign w:val="center"/>
          </w:tcPr>
          <w:p w14:paraId="53943C99">
            <w:pPr>
              <w:adjustRightInd w:val="0"/>
              <w:snapToGrid w:val="0"/>
              <w:spacing w:line="300" w:lineRule="auto"/>
              <w:jc w:val="center"/>
              <w:outlineLvl w:val="0"/>
              <w:rPr>
                <w:rFonts w:ascii="宋体" w:hAnsi="宋体"/>
                <w:szCs w:val="21"/>
              </w:rPr>
            </w:pPr>
          </w:p>
        </w:tc>
      </w:tr>
      <w:tr w14:paraId="4DF15C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14:paraId="1D9CC225">
            <w:pPr>
              <w:adjustRightInd w:val="0"/>
              <w:snapToGrid w:val="0"/>
              <w:spacing w:line="300" w:lineRule="auto"/>
              <w:jc w:val="center"/>
              <w:outlineLvl w:val="0"/>
              <w:rPr>
                <w:rFonts w:ascii="宋体" w:hAnsi="宋体"/>
                <w:szCs w:val="21"/>
              </w:rPr>
            </w:pPr>
            <w:r>
              <w:rPr>
                <w:rFonts w:hint="eastAsia" w:ascii="宋体" w:hAnsi="宋体"/>
                <w:szCs w:val="21"/>
              </w:rPr>
              <w:t>…</w:t>
            </w:r>
          </w:p>
        </w:tc>
        <w:tc>
          <w:tcPr>
            <w:tcW w:w="1316" w:type="dxa"/>
            <w:vAlign w:val="center"/>
          </w:tcPr>
          <w:p w14:paraId="21D0D0E5">
            <w:pPr>
              <w:adjustRightInd w:val="0"/>
              <w:snapToGrid w:val="0"/>
              <w:spacing w:line="300" w:lineRule="auto"/>
              <w:jc w:val="center"/>
              <w:outlineLvl w:val="0"/>
              <w:rPr>
                <w:rFonts w:ascii="宋体" w:hAnsi="宋体"/>
                <w:szCs w:val="21"/>
              </w:rPr>
            </w:pPr>
          </w:p>
        </w:tc>
        <w:tc>
          <w:tcPr>
            <w:tcW w:w="2268" w:type="dxa"/>
            <w:vAlign w:val="center"/>
          </w:tcPr>
          <w:p w14:paraId="62EAB7A8">
            <w:pPr>
              <w:adjustRightInd w:val="0"/>
              <w:snapToGrid w:val="0"/>
              <w:spacing w:line="300" w:lineRule="auto"/>
              <w:jc w:val="center"/>
              <w:outlineLvl w:val="0"/>
              <w:rPr>
                <w:rFonts w:ascii="宋体" w:hAnsi="宋体"/>
                <w:szCs w:val="21"/>
              </w:rPr>
            </w:pPr>
          </w:p>
        </w:tc>
        <w:tc>
          <w:tcPr>
            <w:tcW w:w="3087" w:type="dxa"/>
            <w:vAlign w:val="center"/>
          </w:tcPr>
          <w:p w14:paraId="61949965">
            <w:pPr>
              <w:adjustRightInd w:val="0"/>
              <w:snapToGrid w:val="0"/>
              <w:spacing w:line="300" w:lineRule="auto"/>
              <w:jc w:val="center"/>
              <w:outlineLvl w:val="0"/>
              <w:rPr>
                <w:rFonts w:ascii="宋体" w:hAnsi="宋体"/>
                <w:szCs w:val="21"/>
              </w:rPr>
            </w:pPr>
          </w:p>
        </w:tc>
        <w:tc>
          <w:tcPr>
            <w:tcW w:w="1198" w:type="dxa"/>
            <w:vAlign w:val="center"/>
          </w:tcPr>
          <w:p w14:paraId="1CCDB114">
            <w:pPr>
              <w:adjustRightInd w:val="0"/>
              <w:snapToGrid w:val="0"/>
              <w:spacing w:line="300" w:lineRule="auto"/>
              <w:jc w:val="center"/>
              <w:outlineLvl w:val="0"/>
              <w:rPr>
                <w:rFonts w:ascii="宋体" w:hAnsi="宋体"/>
                <w:szCs w:val="21"/>
              </w:rPr>
            </w:pPr>
          </w:p>
        </w:tc>
        <w:tc>
          <w:tcPr>
            <w:tcW w:w="939" w:type="dxa"/>
            <w:vAlign w:val="center"/>
          </w:tcPr>
          <w:p w14:paraId="1A0F09A2">
            <w:pPr>
              <w:adjustRightInd w:val="0"/>
              <w:snapToGrid w:val="0"/>
              <w:spacing w:line="300" w:lineRule="auto"/>
              <w:jc w:val="center"/>
              <w:outlineLvl w:val="0"/>
              <w:rPr>
                <w:rFonts w:ascii="宋体" w:hAnsi="宋体"/>
                <w:szCs w:val="21"/>
              </w:rPr>
            </w:pPr>
          </w:p>
        </w:tc>
      </w:tr>
      <w:tr w14:paraId="012797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3F7B389F">
            <w:pPr>
              <w:adjustRightInd w:val="0"/>
              <w:snapToGrid w:val="0"/>
              <w:spacing w:line="300" w:lineRule="auto"/>
              <w:jc w:val="center"/>
              <w:outlineLvl w:val="0"/>
              <w:rPr>
                <w:rFonts w:ascii="宋体" w:hAnsi="宋体"/>
                <w:szCs w:val="21"/>
              </w:rPr>
            </w:pPr>
          </w:p>
        </w:tc>
        <w:tc>
          <w:tcPr>
            <w:tcW w:w="8808" w:type="dxa"/>
            <w:gridSpan w:val="5"/>
          </w:tcPr>
          <w:p w14:paraId="75380513">
            <w:pPr>
              <w:adjustRightInd w:val="0"/>
              <w:snapToGrid w:val="0"/>
              <w:spacing w:line="300" w:lineRule="auto"/>
              <w:jc w:val="center"/>
              <w:outlineLvl w:val="0"/>
              <w:rPr>
                <w:rFonts w:ascii="宋体" w:hAnsi="宋体"/>
                <w:b/>
                <w:szCs w:val="21"/>
              </w:rPr>
            </w:pPr>
            <w:r>
              <w:rPr>
                <w:rFonts w:hint="eastAsia" w:ascii="宋体" w:hAnsi="宋体"/>
                <w:b/>
                <w:szCs w:val="21"/>
              </w:rPr>
              <w:t>技术部分</w:t>
            </w:r>
          </w:p>
        </w:tc>
      </w:tr>
      <w:tr w14:paraId="4A3569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66ECBFA0">
            <w:pPr>
              <w:adjustRightInd w:val="0"/>
              <w:snapToGrid w:val="0"/>
              <w:spacing w:line="300" w:lineRule="auto"/>
              <w:jc w:val="center"/>
              <w:outlineLvl w:val="0"/>
              <w:rPr>
                <w:rFonts w:ascii="宋体" w:hAnsi="宋体"/>
                <w:szCs w:val="21"/>
              </w:rPr>
            </w:pPr>
            <w:r>
              <w:rPr>
                <w:rFonts w:hint="eastAsia" w:ascii="宋体" w:hAnsi="宋体"/>
                <w:szCs w:val="21"/>
              </w:rPr>
              <w:t>1</w:t>
            </w:r>
          </w:p>
        </w:tc>
        <w:tc>
          <w:tcPr>
            <w:tcW w:w="1316" w:type="dxa"/>
          </w:tcPr>
          <w:p w14:paraId="23805610">
            <w:pPr>
              <w:adjustRightInd w:val="0"/>
              <w:snapToGrid w:val="0"/>
              <w:spacing w:line="300" w:lineRule="auto"/>
              <w:jc w:val="center"/>
              <w:outlineLvl w:val="0"/>
              <w:rPr>
                <w:rFonts w:ascii="宋体" w:hAnsi="宋体"/>
                <w:szCs w:val="21"/>
              </w:rPr>
            </w:pPr>
          </w:p>
        </w:tc>
        <w:tc>
          <w:tcPr>
            <w:tcW w:w="2268" w:type="dxa"/>
          </w:tcPr>
          <w:p w14:paraId="0D726933">
            <w:pPr>
              <w:adjustRightInd w:val="0"/>
              <w:snapToGrid w:val="0"/>
              <w:spacing w:line="300" w:lineRule="auto"/>
              <w:jc w:val="center"/>
              <w:outlineLvl w:val="0"/>
              <w:rPr>
                <w:rFonts w:ascii="宋体" w:hAnsi="宋体"/>
                <w:szCs w:val="21"/>
              </w:rPr>
            </w:pPr>
          </w:p>
        </w:tc>
        <w:tc>
          <w:tcPr>
            <w:tcW w:w="3087" w:type="dxa"/>
          </w:tcPr>
          <w:p w14:paraId="793A84A5">
            <w:pPr>
              <w:adjustRightInd w:val="0"/>
              <w:snapToGrid w:val="0"/>
              <w:spacing w:line="300" w:lineRule="auto"/>
              <w:jc w:val="center"/>
              <w:outlineLvl w:val="0"/>
              <w:rPr>
                <w:rFonts w:ascii="宋体" w:hAnsi="宋体"/>
                <w:szCs w:val="21"/>
              </w:rPr>
            </w:pPr>
          </w:p>
        </w:tc>
        <w:tc>
          <w:tcPr>
            <w:tcW w:w="1198" w:type="dxa"/>
          </w:tcPr>
          <w:p w14:paraId="54FF93D8">
            <w:pPr>
              <w:adjustRightInd w:val="0"/>
              <w:snapToGrid w:val="0"/>
              <w:spacing w:line="300" w:lineRule="auto"/>
              <w:jc w:val="center"/>
              <w:outlineLvl w:val="0"/>
              <w:rPr>
                <w:rFonts w:ascii="宋体" w:hAnsi="宋体"/>
                <w:szCs w:val="21"/>
              </w:rPr>
            </w:pPr>
          </w:p>
        </w:tc>
        <w:tc>
          <w:tcPr>
            <w:tcW w:w="939" w:type="dxa"/>
          </w:tcPr>
          <w:p w14:paraId="6BD7A081">
            <w:pPr>
              <w:adjustRightInd w:val="0"/>
              <w:snapToGrid w:val="0"/>
              <w:spacing w:line="300" w:lineRule="auto"/>
              <w:jc w:val="center"/>
              <w:outlineLvl w:val="0"/>
              <w:rPr>
                <w:rFonts w:ascii="宋体" w:hAnsi="宋体"/>
                <w:szCs w:val="21"/>
              </w:rPr>
            </w:pPr>
          </w:p>
        </w:tc>
      </w:tr>
      <w:tr w14:paraId="2BC408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7E15934C">
            <w:pPr>
              <w:adjustRightInd w:val="0"/>
              <w:snapToGrid w:val="0"/>
              <w:spacing w:line="300" w:lineRule="auto"/>
              <w:jc w:val="center"/>
              <w:outlineLvl w:val="0"/>
              <w:rPr>
                <w:rFonts w:ascii="宋体" w:hAnsi="宋体"/>
                <w:szCs w:val="21"/>
              </w:rPr>
            </w:pPr>
            <w:r>
              <w:rPr>
                <w:rFonts w:hint="eastAsia" w:ascii="宋体" w:hAnsi="宋体"/>
                <w:szCs w:val="21"/>
              </w:rPr>
              <w:t>2</w:t>
            </w:r>
          </w:p>
        </w:tc>
        <w:tc>
          <w:tcPr>
            <w:tcW w:w="1316" w:type="dxa"/>
          </w:tcPr>
          <w:p w14:paraId="1CC0D322">
            <w:pPr>
              <w:adjustRightInd w:val="0"/>
              <w:snapToGrid w:val="0"/>
              <w:spacing w:line="300" w:lineRule="auto"/>
              <w:jc w:val="center"/>
              <w:outlineLvl w:val="0"/>
              <w:rPr>
                <w:rFonts w:ascii="宋体" w:hAnsi="宋体"/>
                <w:szCs w:val="21"/>
              </w:rPr>
            </w:pPr>
          </w:p>
        </w:tc>
        <w:tc>
          <w:tcPr>
            <w:tcW w:w="2268" w:type="dxa"/>
          </w:tcPr>
          <w:p w14:paraId="2C707108">
            <w:pPr>
              <w:adjustRightInd w:val="0"/>
              <w:snapToGrid w:val="0"/>
              <w:spacing w:line="300" w:lineRule="auto"/>
              <w:jc w:val="center"/>
              <w:outlineLvl w:val="0"/>
              <w:rPr>
                <w:rFonts w:ascii="宋体" w:hAnsi="宋体"/>
                <w:szCs w:val="21"/>
              </w:rPr>
            </w:pPr>
          </w:p>
        </w:tc>
        <w:tc>
          <w:tcPr>
            <w:tcW w:w="3087" w:type="dxa"/>
          </w:tcPr>
          <w:p w14:paraId="70AD03CA">
            <w:pPr>
              <w:adjustRightInd w:val="0"/>
              <w:snapToGrid w:val="0"/>
              <w:spacing w:line="300" w:lineRule="auto"/>
              <w:jc w:val="center"/>
              <w:outlineLvl w:val="0"/>
              <w:rPr>
                <w:rFonts w:ascii="宋体" w:hAnsi="宋体"/>
                <w:szCs w:val="21"/>
              </w:rPr>
            </w:pPr>
          </w:p>
        </w:tc>
        <w:tc>
          <w:tcPr>
            <w:tcW w:w="1198" w:type="dxa"/>
          </w:tcPr>
          <w:p w14:paraId="38774BF4">
            <w:pPr>
              <w:adjustRightInd w:val="0"/>
              <w:snapToGrid w:val="0"/>
              <w:spacing w:line="300" w:lineRule="auto"/>
              <w:jc w:val="center"/>
              <w:outlineLvl w:val="0"/>
              <w:rPr>
                <w:rFonts w:ascii="宋体" w:hAnsi="宋体"/>
                <w:szCs w:val="21"/>
              </w:rPr>
            </w:pPr>
          </w:p>
        </w:tc>
        <w:tc>
          <w:tcPr>
            <w:tcW w:w="939" w:type="dxa"/>
          </w:tcPr>
          <w:p w14:paraId="53A994F3">
            <w:pPr>
              <w:adjustRightInd w:val="0"/>
              <w:snapToGrid w:val="0"/>
              <w:spacing w:line="300" w:lineRule="auto"/>
              <w:jc w:val="center"/>
              <w:outlineLvl w:val="0"/>
              <w:rPr>
                <w:rFonts w:ascii="宋体" w:hAnsi="宋体"/>
                <w:szCs w:val="21"/>
              </w:rPr>
            </w:pPr>
          </w:p>
        </w:tc>
      </w:tr>
      <w:tr w14:paraId="735F7E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35" w:type="dxa"/>
            <w:vAlign w:val="center"/>
          </w:tcPr>
          <w:p w14:paraId="1A921769">
            <w:pPr>
              <w:adjustRightInd w:val="0"/>
              <w:snapToGrid w:val="0"/>
              <w:spacing w:line="300" w:lineRule="auto"/>
              <w:jc w:val="center"/>
              <w:outlineLvl w:val="0"/>
              <w:rPr>
                <w:rFonts w:ascii="宋体" w:hAnsi="宋体"/>
                <w:szCs w:val="21"/>
              </w:rPr>
            </w:pPr>
            <w:r>
              <w:rPr>
                <w:rFonts w:hint="eastAsia" w:ascii="宋体" w:hAnsi="宋体"/>
                <w:szCs w:val="21"/>
              </w:rPr>
              <w:t>…</w:t>
            </w:r>
          </w:p>
        </w:tc>
        <w:tc>
          <w:tcPr>
            <w:tcW w:w="1316" w:type="dxa"/>
            <w:vAlign w:val="center"/>
          </w:tcPr>
          <w:p w14:paraId="7198CB71">
            <w:pPr>
              <w:adjustRightInd w:val="0"/>
              <w:snapToGrid w:val="0"/>
              <w:spacing w:line="300" w:lineRule="auto"/>
              <w:jc w:val="center"/>
              <w:outlineLvl w:val="0"/>
              <w:rPr>
                <w:rFonts w:ascii="宋体" w:hAnsi="宋体"/>
                <w:szCs w:val="21"/>
              </w:rPr>
            </w:pPr>
          </w:p>
        </w:tc>
        <w:tc>
          <w:tcPr>
            <w:tcW w:w="2268" w:type="dxa"/>
            <w:vAlign w:val="center"/>
          </w:tcPr>
          <w:p w14:paraId="0DC1A604">
            <w:pPr>
              <w:adjustRightInd w:val="0"/>
              <w:snapToGrid w:val="0"/>
              <w:spacing w:line="300" w:lineRule="auto"/>
              <w:jc w:val="center"/>
              <w:outlineLvl w:val="0"/>
              <w:rPr>
                <w:rFonts w:ascii="宋体" w:hAnsi="宋体"/>
                <w:szCs w:val="21"/>
              </w:rPr>
            </w:pPr>
          </w:p>
        </w:tc>
        <w:tc>
          <w:tcPr>
            <w:tcW w:w="3087" w:type="dxa"/>
            <w:vAlign w:val="center"/>
          </w:tcPr>
          <w:p w14:paraId="590A9396">
            <w:pPr>
              <w:adjustRightInd w:val="0"/>
              <w:snapToGrid w:val="0"/>
              <w:spacing w:line="300" w:lineRule="auto"/>
              <w:jc w:val="center"/>
              <w:outlineLvl w:val="0"/>
              <w:rPr>
                <w:rFonts w:ascii="宋体" w:hAnsi="宋体"/>
                <w:szCs w:val="21"/>
              </w:rPr>
            </w:pPr>
          </w:p>
        </w:tc>
        <w:tc>
          <w:tcPr>
            <w:tcW w:w="1198" w:type="dxa"/>
            <w:tcBorders>
              <w:right w:val="single" w:color="auto" w:sz="4" w:space="0"/>
            </w:tcBorders>
            <w:vAlign w:val="center"/>
          </w:tcPr>
          <w:p w14:paraId="05CCBAD0">
            <w:pPr>
              <w:adjustRightInd w:val="0"/>
              <w:snapToGrid w:val="0"/>
              <w:spacing w:line="300" w:lineRule="auto"/>
              <w:jc w:val="center"/>
              <w:outlineLvl w:val="0"/>
              <w:rPr>
                <w:rFonts w:ascii="宋体" w:hAnsi="宋体"/>
                <w:szCs w:val="21"/>
              </w:rPr>
            </w:pPr>
          </w:p>
        </w:tc>
        <w:tc>
          <w:tcPr>
            <w:tcW w:w="939" w:type="dxa"/>
            <w:tcBorders>
              <w:left w:val="single" w:color="auto" w:sz="4" w:space="0"/>
            </w:tcBorders>
            <w:vAlign w:val="center"/>
          </w:tcPr>
          <w:p w14:paraId="1A275E75">
            <w:pPr>
              <w:adjustRightInd w:val="0"/>
              <w:snapToGrid w:val="0"/>
              <w:spacing w:line="300" w:lineRule="auto"/>
              <w:jc w:val="center"/>
              <w:outlineLvl w:val="0"/>
              <w:rPr>
                <w:rFonts w:ascii="宋体" w:hAnsi="宋体"/>
                <w:szCs w:val="21"/>
              </w:rPr>
            </w:pPr>
          </w:p>
        </w:tc>
      </w:tr>
    </w:tbl>
    <w:p w14:paraId="31801AD8">
      <w:pPr>
        <w:spacing w:line="300" w:lineRule="auto"/>
        <w:rPr>
          <w:rFonts w:ascii="宋体" w:hAnsi="宋体"/>
          <w:szCs w:val="21"/>
        </w:rPr>
      </w:pPr>
    </w:p>
    <w:p w14:paraId="1A928E96">
      <w:pPr>
        <w:adjustRightInd w:val="0"/>
        <w:snapToGrid w:val="0"/>
        <w:spacing w:line="300" w:lineRule="auto"/>
        <w:rPr>
          <w:rFonts w:ascii="宋体" w:hAnsi="宋体"/>
          <w:szCs w:val="21"/>
        </w:rPr>
      </w:pPr>
    </w:p>
    <w:p w14:paraId="0374DA3A">
      <w:pPr>
        <w:adjustRightInd w:val="0"/>
        <w:snapToGrid w:val="0"/>
        <w:spacing w:line="360" w:lineRule="exact"/>
        <w:rPr>
          <w:rFonts w:ascii="宋体" w:hAnsi="宋体"/>
          <w:szCs w:val="21"/>
        </w:rPr>
      </w:pPr>
      <w:r>
        <w:rPr>
          <w:rFonts w:hint="eastAsia" w:ascii="宋体" w:hAnsi="宋体"/>
          <w:szCs w:val="21"/>
        </w:rPr>
        <w:t>说明：</w:t>
      </w:r>
      <w:r>
        <w:rPr>
          <w:rFonts w:hint="eastAsia" w:ascii="宋体" w:hAnsi="宋体"/>
        </w:rPr>
        <w:t>1.应写明报价响应文件对商务与技术要求的响应和偏离情况；</w:t>
      </w:r>
    </w:p>
    <w:p w14:paraId="6DD4E1D0">
      <w:pPr>
        <w:spacing w:line="500" w:lineRule="exact"/>
        <w:ind w:firstLine="630" w:firstLineChars="300"/>
        <w:rPr>
          <w:rFonts w:ascii="宋体" w:hAnsi="宋体"/>
          <w:szCs w:val="21"/>
        </w:rPr>
      </w:pPr>
      <w:r>
        <w:rPr>
          <w:rFonts w:hint="eastAsia" w:ascii="宋体" w:hAnsi="宋体"/>
          <w:szCs w:val="21"/>
        </w:rPr>
        <w:t>2.应对照采购文件</w:t>
      </w:r>
      <w:r>
        <w:rPr>
          <w:rFonts w:hint="eastAsia" w:ascii="宋体" w:hAnsi="宋体"/>
          <w:b/>
          <w:szCs w:val="21"/>
          <w:u w:val="single"/>
        </w:rPr>
        <w:t xml:space="preserve">  采购需求，逐条说明 </w:t>
      </w:r>
      <w:r>
        <w:rPr>
          <w:rFonts w:hint="eastAsia" w:ascii="宋体" w:hAnsi="宋体"/>
          <w:szCs w:val="21"/>
        </w:rPr>
        <w:t>所提供货物和服务已对</w:t>
      </w:r>
      <w:r>
        <w:rPr>
          <w:rFonts w:hint="eastAsia" w:ascii="宋体" w:hAnsi="宋体"/>
          <w:szCs w:val="21"/>
          <w:lang w:val="en-US" w:eastAsia="zh-CN"/>
        </w:rPr>
        <w:t>采购</w:t>
      </w:r>
      <w:r>
        <w:rPr>
          <w:rFonts w:hint="eastAsia" w:ascii="宋体" w:hAnsi="宋体"/>
          <w:szCs w:val="21"/>
        </w:rPr>
        <w:t>文件的技术规格做出了实质性的响应，并申明与技术规格条文的响应和偏离。特别对有具体参数要求的指标，报价供应商必须提供所供设备的具体参数值。</w:t>
      </w:r>
    </w:p>
    <w:p w14:paraId="197FDBAB">
      <w:pPr>
        <w:spacing w:line="300" w:lineRule="auto"/>
        <w:rPr>
          <w:rFonts w:ascii="宋体" w:hAnsi="宋体" w:cs="Courier New"/>
          <w:b/>
          <w:bCs/>
          <w:szCs w:val="21"/>
        </w:rPr>
      </w:pPr>
      <w:r>
        <w:rPr>
          <w:rFonts w:hint="eastAsia" w:ascii="宋体" w:hAnsi="宋体" w:cs="Courier New"/>
          <w:szCs w:val="21"/>
        </w:rPr>
        <w:t xml:space="preserve">     </w:t>
      </w:r>
      <w:r>
        <w:rPr>
          <w:rFonts w:hint="eastAsia" w:ascii="宋体" w:hAnsi="宋体" w:cs="Courier New"/>
          <w:b/>
          <w:bCs/>
          <w:szCs w:val="21"/>
        </w:rPr>
        <w:t xml:space="preserve"> 3.技术部分要体现出响应的具体品牌，否则</w:t>
      </w:r>
      <w:r>
        <w:rPr>
          <w:rFonts w:hint="eastAsia" w:ascii="宋体" w:hAnsi="宋体"/>
          <w:b/>
          <w:bCs/>
          <w:szCs w:val="21"/>
        </w:rPr>
        <w:t>将导致报价被拒绝。</w:t>
      </w:r>
    </w:p>
    <w:p w14:paraId="591AF0C2">
      <w:pPr>
        <w:spacing w:line="300" w:lineRule="auto"/>
        <w:rPr>
          <w:rFonts w:ascii="宋体" w:hAnsi="宋体" w:cs="Courier New"/>
          <w:szCs w:val="21"/>
        </w:rPr>
      </w:pPr>
    </w:p>
    <w:p w14:paraId="799320CF">
      <w:pPr>
        <w:spacing w:line="360" w:lineRule="auto"/>
        <w:ind w:firstLine="1470" w:firstLineChars="700"/>
        <w:rPr>
          <w:rFonts w:ascii="宋体" w:hAnsi="宋体" w:cs="Courier New"/>
          <w:szCs w:val="21"/>
        </w:rPr>
      </w:pPr>
      <w:r>
        <w:rPr>
          <w:rFonts w:hint="eastAsia" w:ascii="宋体" w:hAnsi="宋体" w:cs="Courier New"/>
          <w:szCs w:val="21"/>
        </w:rPr>
        <w:t>法定代表人或法定代表人授权代表签字:</w:t>
      </w:r>
      <w:r>
        <w:rPr>
          <w:rFonts w:hint="eastAsia" w:ascii="宋体" w:hAnsi="宋体" w:cs="Courier New"/>
          <w:szCs w:val="21"/>
          <w:u w:val="single"/>
        </w:rPr>
        <w:t xml:space="preserve">                </w:t>
      </w:r>
      <w:r>
        <w:rPr>
          <w:rFonts w:hint="eastAsia" w:ascii="宋体" w:hAnsi="宋体" w:cs="Courier New"/>
          <w:szCs w:val="21"/>
        </w:rPr>
        <w:t xml:space="preserve">  </w:t>
      </w:r>
    </w:p>
    <w:p w14:paraId="2ED037E8">
      <w:pPr>
        <w:spacing w:line="360" w:lineRule="auto"/>
        <w:ind w:firstLine="1470" w:firstLineChars="700"/>
        <w:rPr>
          <w:rFonts w:ascii="宋体" w:hAnsi="宋体"/>
          <w:szCs w:val="21"/>
          <w:u w:val="single"/>
        </w:rPr>
      </w:pPr>
      <w:r>
        <w:rPr>
          <w:rFonts w:ascii="宋体" w:hAnsi="宋体"/>
          <w:szCs w:val="21"/>
        </w:rPr>
        <w:t>供应商</w:t>
      </w:r>
      <w:r>
        <w:rPr>
          <w:rFonts w:ascii="宋体" w:hAnsi="宋体" w:cs="Courier New"/>
          <w:szCs w:val="21"/>
        </w:rPr>
        <w:t>名称</w:t>
      </w:r>
      <w:r>
        <w:rPr>
          <w:rFonts w:ascii="宋体" w:hAnsi="宋体"/>
          <w:szCs w:val="21"/>
        </w:rPr>
        <w:t>（</w:t>
      </w:r>
      <w:r>
        <w:rPr>
          <w:rFonts w:hint="eastAsia" w:ascii="宋体" w:hAnsi="宋体"/>
          <w:szCs w:val="21"/>
        </w:rPr>
        <w:t>加盖</w:t>
      </w:r>
      <w:r>
        <w:rPr>
          <w:rFonts w:ascii="宋体" w:hAnsi="宋体"/>
          <w:szCs w:val="21"/>
        </w:rPr>
        <w:t>公章）：</w:t>
      </w:r>
      <w:r>
        <w:rPr>
          <w:rFonts w:ascii="宋体" w:hAnsi="宋体"/>
          <w:szCs w:val="21"/>
          <w:u w:val="single"/>
        </w:rPr>
        <w:t xml:space="preserve">                          </w:t>
      </w:r>
    </w:p>
    <w:p w14:paraId="0F1B700F">
      <w:pPr>
        <w:spacing w:line="360" w:lineRule="auto"/>
        <w:ind w:firstLine="1470" w:firstLineChars="700"/>
        <w:rPr>
          <w:rFonts w:ascii="宋体" w:hAnsi="宋体"/>
          <w:szCs w:val="21"/>
          <w:u w:val="single"/>
        </w:rPr>
      </w:pPr>
      <w:r>
        <w:rPr>
          <w:rFonts w:hint="eastAsia" w:ascii="宋体" w:hAnsi="宋体"/>
          <w:szCs w:val="21"/>
        </w:rPr>
        <w:t>项目联系人</w:t>
      </w:r>
      <w:r>
        <w:rPr>
          <w:rFonts w:ascii="宋体" w:hAnsi="宋体"/>
          <w:szCs w:val="21"/>
        </w:rPr>
        <w:t>（</w:t>
      </w:r>
      <w:r>
        <w:rPr>
          <w:rFonts w:hint="eastAsia" w:ascii="宋体" w:hAnsi="宋体"/>
          <w:szCs w:val="21"/>
        </w:rPr>
        <w:t>电话</w:t>
      </w:r>
      <w:r>
        <w:rPr>
          <w:rFonts w:ascii="宋体" w:hAnsi="宋体"/>
          <w:szCs w:val="21"/>
        </w:rPr>
        <w:t>）：</w:t>
      </w:r>
      <w:r>
        <w:rPr>
          <w:rFonts w:ascii="宋体" w:hAnsi="宋体"/>
          <w:szCs w:val="21"/>
          <w:u w:val="single"/>
        </w:rPr>
        <w:t xml:space="preserve">                          </w:t>
      </w:r>
    </w:p>
    <w:p w14:paraId="5A9283FD">
      <w:pPr>
        <w:pStyle w:val="6"/>
        <w:rPr>
          <w:rFonts w:ascii="宋体" w:hAnsi="宋体" w:eastAsia="宋体"/>
        </w:rPr>
      </w:pPr>
    </w:p>
    <w:p w14:paraId="05932A96">
      <w:pPr>
        <w:spacing w:line="300" w:lineRule="auto"/>
        <w:ind w:firstLine="4935" w:firstLineChars="2350"/>
        <w:rPr>
          <w:rFonts w:ascii="宋体" w:hAnsi="宋体" w:cs="Courier New"/>
          <w:szCs w:val="21"/>
          <w:u w:val="single"/>
        </w:rPr>
      </w:pPr>
    </w:p>
    <w:p w14:paraId="1C5E9957">
      <w:pPr>
        <w:spacing w:line="300" w:lineRule="auto"/>
        <w:ind w:firstLine="4935" w:firstLineChars="2350"/>
        <w:rPr>
          <w:rFonts w:ascii="宋体" w:hAnsi="宋体" w:cs="Courier New"/>
          <w:szCs w:val="21"/>
        </w:rPr>
      </w:pPr>
      <w:r>
        <w:rPr>
          <w:rFonts w:hint="eastAsia" w:ascii="宋体" w:hAnsi="宋体" w:cs="Courier New"/>
          <w:szCs w:val="21"/>
          <w:u w:val="single"/>
        </w:rPr>
        <w:t xml:space="preserve">      </w:t>
      </w:r>
      <w:r>
        <w:rPr>
          <w:rFonts w:hint="eastAsia" w:ascii="宋体" w:hAnsi="宋体" w:cs="Courier New"/>
          <w:szCs w:val="21"/>
        </w:rPr>
        <w:t>年</w:t>
      </w:r>
      <w:r>
        <w:rPr>
          <w:rFonts w:hint="eastAsia" w:ascii="宋体" w:hAnsi="宋体" w:cs="Courier New"/>
          <w:szCs w:val="21"/>
          <w:u w:val="single"/>
        </w:rPr>
        <w:t xml:space="preserve">   </w:t>
      </w:r>
      <w:r>
        <w:rPr>
          <w:rFonts w:hint="eastAsia" w:ascii="宋体" w:hAnsi="宋体" w:cs="Courier New"/>
          <w:szCs w:val="21"/>
        </w:rPr>
        <w:t>月</w:t>
      </w:r>
      <w:r>
        <w:rPr>
          <w:rFonts w:hint="eastAsia" w:ascii="宋体" w:hAnsi="宋体" w:cs="Courier New"/>
          <w:szCs w:val="21"/>
          <w:u w:val="single"/>
        </w:rPr>
        <w:t xml:space="preserve">   </w:t>
      </w:r>
      <w:r>
        <w:rPr>
          <w:rFonts w:hint="eastAsia" w:ascii="宋体" w:hAnsi="宋体" w:cs="Courier New"/>
          <w:szCs w:val="21"/>
        </w:rPr>
        <w:t>日</w:t>
      </w:r>
    </w:p>
    <w:p w14:paraId="742D670F">
      <w:pPr>
        <w:rPr>
          <w:rFonts w:ascii="宋体" w:hAnsi="宋体"/>
        </w:rPr>
      </w:pPr>
    </w:p>
    <w:p w14:paraId="11887680">
      <w:pPr>
        <w:jc w:val="left"/>
        <w:rPr>
          <w:rFonts w:hint="eastAsia" w:ascii="宋体" w:hAnsi="宋体"/>
          <w:lang w:val="en-US" w:eastAsia="zh-CN"/>
        </w:rPr>
        <w:sectPr>
          <w:pgSz w:w="11906" w:h="16838"/>
          <w:pgMar w:top="1440" w:right="1800" w:bottom="1440" w:left="1800" w:header="851" w:footer="992" w:gutter="0"/>
          <w:cols w:space="425" w:num="1"/>
          <w:docGrid w:type="lines" w:linePitch="312" w:charSpace="0"/>
        </w:sectPr>
      </w:pPr>
    </w:p>
    <w:p w14:paraId="2D09F4F5">
      <w:pPr>
        <w:jc w:val="left"/>
        <w:rPr>
          <w:rFonts w:hint="eastAsia" w:ascii="宋体" w:hAnsi="宋体" w:eastAsia="宋体" w:cs="宋体"/>
          <w:b/>
          <w:bCs/>
          <w:color w:val="auto"/>
          <w:kern w:val="0"/>
          <w:sz w:val="20"/>
          <w:szCs w:val="20"/>
          <w:lang w:val="en-US" w:eastAsia="zh-CN"/>
        </w:rPr>
      </w:pPr>
      <w:r>
        <w:rPr>
          <w:rFonts w:hint="eastAsia" w:ascii="宋体" w:hAnsi="宋体"/>
          <w:b/>
          <w:bCs/>
          <w:lang w:val="en-US" w:eastAsia="zh-CN"/>
        </w:rPr>
        <w:t>附件2：</w:t>
      </w:r>
      <w:r>
        <w:rPr>
          <w:rFonts w:hint="eastAsia" w:ascii="宋体" w:hAnsi="宋体"/>
          <w:lang w:val="en-US" w:eastAsia="zh-CN"/>
        </w:rPr>
        <w:t xml:space="preserve">      </w:t>
      </w:r>
      <w:bookmarkStart w:id="2" w:name="_GoBack"/>
      <w:bookmarkEnd w:id="2"/>
      <w:r>
        <w:rPr>
          <w:rFonts w:hint="eastAsia" w:ascii="宋体" w:hAnsi="宋体"/>
          <w:lang w:val="en-US" w:eastAsia="zh-CN"/>
        </w:rPr>
        <w:t xml:space="preserve"> </w:t>
      </w:r>
      <w:r>
        <w:rPr>
          <w:rFonts w:hint="eastAsia" w:ascii="宋体" w:hAnsi="宋体" w:cs="宋体"/>
          <w:b/>
          <w:bCs/>
          <w:color w:val="auto"/>
          <w:kern w:val="0"/>
          <w:sz w:val="20"/>
          <w:szCs w:val="20"/>
        </w:rPr>
        <w:t>本项目采购需求(主要技术参数要求)中带</w:t>
      </w:r>
      <w:r>
        <w:rPr>
          <w:rFonts w:hint="eastAsia" w:ascii="宋体" w:hAnsi="宋体" w:cs="宋体"/>
          <w:b/>
          <w:bCs/>
          <w:kern w:val="0"/>
          <w:sz w:val="20"/>
          <w:szCs w:val="20"/>
        </w:rPr>
        <w:t>★</w:t>
      </w:r>
      <w:r>
        <w:rPr>
          <w:rFonts w:hint="eastAsia" w:ascii="宋体" w:hAnsi="宋体" w:cs="宋体"/>
          <w:b/>
          <w:bCs/>
          <w:color w:val="auto"/>
          <w:kern w:val="0"/>
          <w:sz w:val="20"/>
          <w:szCs w:val="20"/>
        </w:rPr>
        <w:t>号的内容</w:t>
      </w:r>
      <w:r>
        <w:rPr>
          <w:rFonts w:hint="eastAsia" w:ascii="宋体" w:hAnsi="宋体" w:cs="宋体"/>
          <w:b/>
          <w:bCs/>
          <w:color w:val="auto"/>
          <w:kern w:val="0"/>
          <w:sz w:val="20"/>
          <w:szCs w:val="20"/>
          <w:lang w:val="en-US" w:eastAsia="zh-CN"/>
        </w:rPr>
        <w:t>投标时，请按照</w:t>
      </w:r>
      <w:r>
        <w:rPr>
          <w:rFonts w:hint="eastAsia" w:ascii="宋体" w:hAnsi="宋体" w:cs="宋体"/>
          <w:b/>
          <w:bCs/>
          <w:color w:val="auto"/>
          <w:kern w:val="0"/>
          <w:sz w:val="20"/>
          <w:szCs w:val="20"/>
        </w:rPr>
        <w:t>投标</w:t>
      </w:r>
      <w:r>
        <w:rPr>
          <w:rFonts w:hint="eastAsia" w:ascii="宋体" w:hAnsi="宋体" w:cs="宋体"/>
          <w:b/>
          <w:bCs/>
          <w:color w:val="auto"/>
          <w:kern w:val="0"/>
          <w:sz w:val="20"/>
          <w:szCs w:val="20"/>
          <w:lang w:val="en-US" w:eastAsia="zh-CN"/>
        </w:rPr>
        <w:t>要求</w:t>
      </w:r>
      <w:r>
        <w:rPr>
          <w:rFonts w:hint="eastAsia" w:ascii="宋体" w:hAnsi="宋体" w:cs="宋体"/>
          <w:b/>
          <w:bCs/>
          <w:color w:val="auto"/>
          <w:kern w:val="0"/>
          <w:sz w:val="20"/>
          <w:szCs w:val="20"/>
        </w:rPr>
        <w:t>提供国家认可的第三方检测机构所出具的关于该功能的检测报告复印件</w:t>
      </w:r>
      <w:r>
        <w:rPr>
          <w:rFonts w:hint="eastAsia" w:ascii="宋体" w:hAnsi="宋体" w:cs="宋体"/>
          <w:b/>
          <w:bCs/>
          <w:color w:val="auto"/>
          <w:kern w:val="0"/>
          <w:sz w:val="20"/>
          <w:szCs w:val="20"/>
          <w:lang w:val="en-US" w:eastAsia="zh-CN"/>
        </w:rPr>
        <w:t>或者相关功能截图</w:t>
      </w:r>
      <w:r>
        <w:rPr>
          <w:rFonts w:hint="eastAsia" w:ascii="宋体" w:hAnsi="宋体" w:cs="宋体"/>
          <w:b/>
          <w:bCs/>
          <w:color w:val="auto"/>
          <w:kern w:val="0"/>
          <w:sz w:val="20"/>
          <w:szCs w:val="20"/>
        </w:rPr>
        <w:t>并加盖</w:t>
      </w:r>
      <w:r>
        <w:rPr>
          <w:rFonts w:hint="eastAsia" w:ascii="宋体" w:hAnsi="宋体" w:cs="宋体"/>
          <w:b/>
          <w:bCs/>
          <w:color w:val="auto"/>
          <w:kern w:val="0"/>
          <w:sz w:val="20"/>
          <w:szCs w:val="20"/>
          <w:lang w:val="en-US" w:eastAsia="zh-CN"/>
        </w:rPr>
        <w:t>生产厂家</w:t>
      </w:r>
      <w:r>
        <w:rPr>
          <w:rFonts w:hint="eastAsia" w:ascii="宋体" w:hAnsi="宋体" w:cs="宋体"/>
          <w:b/>
          <w:bCs/>
          <w:color w:val="auto"/>
          <w:kern w:val="0"/>
          <w:sz w:val="20"/>
          <w:szCs w:val="20"/>
        </w:rPr>
        <w:t>公章</w:t>
      </w:r>
      <w:r>
        <w:rPr>
          <w:rFonts w:hint="eastAsia" w:ascii="宋体" w:hAnsi="宋体" w:cs="宋体"/>
          <w:b/>
          <w:bCs/>
          <w:color w:val="auto"/>
          <w:kern w:val="0"/>
          <w:sz w:val="20"/>
          <w:szCs w:val="20"/>
          <w:lang w:eastAsia="zh-CN"/>
        </w:rPr>
        <w:t>。</w:t>
      </w:r>
    </w:p>
    <w:p w14:paraId="155272C0">
      <w:pPr>
        <w:jc w:val="left"/>
        <w:rPr>
          <w:rFonts w:hint="eastAsia" w:ascii="宋体" w:hAnsi="宋体" w:eastAsia="宋体" w:cs="宋体"/>
          <w:b/>
          <w:bCs/>
          <w:color w:val="auto"/>
          <w:kern w:val="0"/>
          <w:sz w:val="20"/>
          <w:szCs w:val="20"/>
          <w:lang w:val="en-US" w:eastAsia="zh-CN"/>
        </w:rPr>
      </w:pPr>
    </w:p>
    <w:p w14:paraId="6139ABB9">
      <w:pPr>
        <w:pStyle w:val="4"/>
        <w:rPr>
          <w:rFonts w:hint="default" w:ascii="宋体" w:hAnsi="宋体"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MTllZTI1MWI0ZDJkNjMzYmUzMDlmNTVmMTM4MTQifQ=="/>
  </w:docVars>
  <w:rsids>
    <w:rsidRoot w:val="00172A27"/>
    <w:rsid w:val="00014E39"/>
    <w:rsid w:val="00064C80"/>
    <w:rsid w:val="00092A2C"/>
    <w:rsid w:val="000B2851"/>
    <w:rsid w:val="00172A27"/>
    <w:rsid w:val="0018187E"/>
    <w:rsid w:val="001A2F53"/>
    <w:rsid w:val="001A636E"/>
    <w:rsid w:val="001D7D3C"/>
    <w:rsid w:val="002001DC"/>
    <w:rsid w:val="00241654"/>
    <w:rsid w:val="002559A4"/>
    <w:rsid w:val="00262DFC"/>
    <w:rsid w:val="0032724C"/>
    <w:rsid w:val="0055428D"/>
    <w:rsid w:val="00574864"/>
    <w:rsid w:val="005935C4"/>
    <w:rsid w:val="005E37DF"/>
    <w:rsid w:val="00622E47"/>
    <w:rsid w:val="00634028"/>
    <w:rsid w:val="006B5CC3"/>
    <w:rsid w:val="006D2DC5"/>
    <w:rsid w:val="008564AD"/>
    <w:rsid w:val="00966C00"/>
    <w:rsid w:val="00997BF3"/>
    <w:rsid w:val="009A211E"/>
    <w:rsid w:val="009C2AA1"/>
    <w:rsid w:val="00A22FAD"/>
    <w:rsid w:val="00AA2C12"/>
    <w:rsid w:val="00B92047"/>
    <w:rsid w:val="00BD7BDC"/>
    <w:rsid w:val="00C335D4"/>
    <w:rsid w:val="00C443AE"/>
    <w:rsid w:val="00C6125E"/>
    <w:rsid w:val="00CA7755"/>
    <w:rsid w:val="00CE39DF"/>
    <w:rsid w:val="00D20B4D"/>
    <w:rsid w:val="00E92AF3"/>
    <w:rsid w:val="00ED2EA3"/>
    <w:rsid w:val="011918B2"/>
    <w:rsid w:val="01317F69"/>
    <w:rsid w:val="013E2686"/>
    <w:rsid w:val="018C21A5"/>
    <w:rsid w:val="01981D96"/>
    <w:rsid w:val="01EE084F"/>
    <w:rsid w:val="038D51FF"/>
    <w:rsid w:val="03E0543C"/>
    <w:rsid w:val="03FA3682"/>
    <w:rsid w:val="04200809"/>
    <w:rsid w:val="04457DEF"/>
    <w:rsid w:val="044730A1"/>
    <w:rsid w:val="052A1782"/>
    <w:rsid w:val="054C7D90"/>
    <w:rsid w:val="054D62E6"/>
    <w:rsid w:val="05746676"/>
    <w:rsid w:val="062067FE"/>
    <w:rsid w:val="06FC0D31"/>
    <w:rsid w:val="070954E4"/>
    <w:rsid w:val="070E48A8"/>
    <w:rsid w:val="07267E44"/>
    <w:rsid w:val="0757624F"/>
    <w:rsid w:val="07DB6591"/>
    <w:rsid w:val="08065580"/>
    <w:rsid w:val="089B5884"/>
    <w:rsid w:val="092B20EA"/>
    <w:rsid w:val="0ACE6829"/>
    <w:rsid w:val="0B6F4D1A"/>
    <w:rsid w:val="0D7400B6"/>
    <w:rsid w:val="0DC3019B"/>
    <w:rsid w:val="0DFE5677"/>
    <w:rsid w:val="0ECB733C"/>
    <w:rsid w:val="0EDD528C"/>
    <w:rsid w:val="0F05607B"/>
    <w:rsid w:val="0F4C2412"/>
    <w:rsid w:val="0F7D081D"/>
    <w:rsid w:val="0F933B9D"/>
    <w:rsid w:val="0F9A068E"/>
    <w:rsid w:val="0FF01609"/>
    <w:rsid w:val="10196798"/>
    <w:rsid w:val="11534DF8"/>
    <w:rsid w:val="117235B3"/>
    <w:rsid w:val="117B0D8C"/>
    <w:rsid w:val="11E608FC"/>
    <w:rsid w:val="12CB491A"/>
    <w:rsid w:val="135763B5"/>
    <w:rsid w:val="1370122A"/>
    <w:rsid w:val="13960100"/>
    <w:rsid w:val="147C10A3"/>
    <w:rsid w:val="148B578A"/>
    <w:rsid w:val="148D79A7"/>
    <w:rsid w:val="14AB0D8C"/>
    <w:rsid w:val="155F416A"/>
    <w:rsid w:val="15BE749A"/>
    <w:rsid w:val="15D55597"/>
    <w:rsid w:val="1698541C"/>
    <w:rsid w:val="179E3A27"/>
    <w:rsid w:val="18606E46"/>
    <w:rsid w:val="18626802"/>
    <w:rsid w:val="18A230A3"/>
    <w:rsid w:val="18EB67F8"/>
    <w:rsid w:val="19A60971"/>
    <w:rsid w:val="19C07C84"/>
    <w:rsid w:val="1A4C32C6"/>
    <w:rsid w:val="1A5B79AD"/>
    <w:rsid w:val="1B157B5C"/>
    <w:rsid w:val="1B767F89"/>
    <w:rsid w:val="1BBA3BF3"/>
    <w:rsid w:val="1C406E5A"/>
    <w:rsid w:val="1CBA09BB"/>
    <w:rsid w:val="1D2B18B9"/>
    <w:rsid w:val="1D305121"/>
    <w:rsid w:val="1D440BCC"/>
    <w:rsid w:val="1D8A2A83"/>
    <w:rsid w:val="1E65704C"/>
    <w:rsid w:val="20A35C0A"/>
    <w:rsid w:val="20CF69FF"/>
    <w:rsid w:val="20E13D6B"/>
    <w:rsid w:val="21A50B34"/>
    <w:rsid w:val="22211DCF"/>
    <w:rsid w:val="227123D7"/>
    <w:rsid w:val="2307194D"/>
    <w:rsid w:val="230C7A96"/>
    <w:rsid w:val="233901C8"/>
    <w:rsid w:val="23B8005D"/>
    <w:rsid w:val="23B95E70"/>
    <w:rsid w:val="241C1F5B"/>
    <w:rsid w:val="24961D0D"/>
    <w:rsid w:val="24A34A44"/>
    <w:rsid w:val="2546345C"/>
    <w:rsid w:val="254E26FD"/>
    <w:rsid w:val="25A011DE"/>
    <w:rsid w:val="25C66622"/>
    <w:rsid w:val="25F136F5"/>
    <w:rsid w:val="26B26BA7"/>
    <w:rsid w:val="27372D40"/>
    <w:rsid w:val="27750300"/>
    <w:rsid w:val="277F1EA7"/>
    <w:rsid w:val="284E0B51"/>
    <w:rsid w:val="285C501C"/>
    <w:rsid w:val="288307FB"/>
    <w:rsid w:val="288B65EF"/>
    <w:rsid w:val="289035E9"/>
    <w:rsid w:val="2907142C"/>
    <w:rsid w:val="2940493E"/>
    <w:rsid w:val="29567CBD"/>
    <w:rsid w:val="29B27D0E"/>
    <w:rsid w:val="2A6C52BE"/>
    <w:rsid w:val="2ABC484C"/>
    <w:rsid w:val="2B4029D3"/>
    <w:rsid w:val="2B9B0B32"/>
    <w:rsid w:val="2BDE3F9A"/>
    <w:rsid w:val="2C071C42"/>
    <w:rsid w:val="2C1D2D14"/>
    <w:rsid w:val="2C695F59"/>
    <w:rsid w:val="2C7A2053"/>
    <w:rsid w:val="2CAD5E46"/>
    <w:rsid w:val="2D5717A7"/>
    <w:rsid w:val="2E3C1B78"/>
    <w:rsid w:val="2E8C4181"/>
    <w:rsid w:val="2E9372BE"/>
    <w:rsid w:val="2EA50432"/>
    <w:rsid w:val="2F1D1A33"/>
    <w:rsid w:val="2F242C70"/>
    <w:rsid w:val="2F606CFF"/>
    <w:rsid w:val="2FC14B1A"/>
    <w:rsid w:val="2FC60D80"/>
    <w:rsid w:val="30590093"/>
    <w:rsid w:val="306A53C9"/>
    <w:rsid w:val="30B33C47"/>
    <w:rsid w:val="31903F88"/>
    <w:rsid w:val="31B00187"/>
    <w:rsid w:val="328C0BF4"/>
    <w:rsid w:val="32E16E4C"/>
    <w:rsid w:val="33152997"/>
    <w:rsid w:val="331A5350"/>
    <w:rsid w:val="33745910"/>
    <w:rsid w:val="34DE547F"/>
    <w:rsid w:val="34F67558"/>
    <w:rsid w:val="35BB5A78"/>
    <w:rsid w:val="35E84393"/>
    <w:rsid w:val="36392E40"/>
    <w:rsid w:val="36BD0470"/>
    <w:rsid w:val="37371BA6"/>
    <w:rsid w:val="37621F23"/>
    <w:rsid w:val="37CB5D1A"/>
    <w:rsid w:val="39033292"/>
    <w:rsid w:val="392751D2"/>
    <w:rsid w:val="396106E4"/>
    <w:rsid w:val="3A2A4F7A"/>
    <w:rsid w:val="3AA54601"/>
    <w:rsid w:val="3AD2116E"/>
    <w:rsid w:val="3AD42F2E"/>
    <w:rsid w:val="3AF70BD4"/>
    <w:rsid w:val="3B0C0B24"/>
    <w:rsid w:val="3B3D3DF1"/>
    <w:rsid w:val="3B974891"/>
    <w:rsid w:val="3CCA404E"/>
    <w:rsid w:val="3D493F83"/>
    <w:rsid w:val="3D5931FA"/>
    <w:rsid w:val="3DEA67CE"/>
    <w:rsid w:val="3DF24001"/>
    <w:rsid w:val="3E304B29"/>
    <w:rsid w:val="3EC60D06"/>
    <w:rsid w:val="3EE65F79"/>
    <w:rsid w:val="3F7B12CB"/>
    <w:rsid w:val="3FEC6810"/>
    <w:rsid w:val="40A101D1"/>
    <w:rsid w:val="414D1C8C"/>
    <w:rsid w:val="414F52C6"/>
    <w:rsid w:val="41755F54"/>
    <w:rsid w:val="417E3DFD"/>
    <w:rsid w:val="41CE268F"/>
    <w:rsid w:val="42ED3265"/>
    <w:rsid w:val="433E1A96"/>
    <w:rsid w:val="43CA545D"/>
    <w:rsid w:val="444E7CA8"/>
    <w:rsid w:val="44705C7F"/>
    <w:rsid w:val="44B02520"/>
    <w:rsid w:val="45B660D5"/>
    <w:rsid w:val="46AE701E"/>
    <w:rsid w:val="46CB3641"/>
    <w:rsid w:val="47DC187E"/>
    <w:rsid w:val="48107E1B"/>
    <w:rsid w:val="484A4371"/>
    <w:rsid w:val="492B03C7"/>
    <w:rsid w:val="4A45195C"/>
    <w:rsid w:val="4A472602"/>
    <w:rsid w:val="4B2C6678"/>
    <w:rsid w:val="4B5A1437"/>
    <w:rsid w:val="4B797B0F"/>
    <w:rsid w:val="4B941C34"/>
    <w:rsid w:val="4C7812D0"/>
    <w:rsid w:val="4CB16E35"/>
    <w:rsid w:val="4DFD6DE8"/>
    <w:rsid w:val="4E086F29"/>
    <w:rsid w:val="4E5D1341"/>
    <w:rsid w:val="4E7D6677"/>
    <w:rsid w:val="4ED92673"/>
    <w:rsid w:val="4F2F7315"/>
    <w:rsid w:val="508A4202"/>
    <w:rsid w:val="50E9506E"/>
    <w:rsid w:val="512F2A1E"/>
    <w:rsid w:val="515A3F3F"/>
    <w:rsid w:val="520F39C4"/>
    <w:rsid w:val="523D0C8A"/>
    <w:rsid w:val="52844FED"/>
    <w:rsid w:val="52E71802"/>
    <w:rsid w:val="533C1422"/>
    <w:rsid w:val="53770C52"/>
    <w:rsid w:val="53DD0E57"/>
    <w:rsid w:val="550A17D8"/>
    <w:rsid w:val="558D0F16"/>
    <w:rsid w:val="559A7000"/>
    <w:rsid w:val="55BD272D"/>
    <w:rsid w:val="55F36710"/>
    <w:rsid w:val="55FD30EB"/>
    <w:rsid w:val="563805C7"/>
    <w:rsid w:val="569F41A2"/>
    <w:rsid w:val="56B23ED5"/>
    <w:rsid w:val="56B75990"/>
    <w:rsid w:val="570A4C73"/>
    <w:rsid w:val="5797131D"/>
    <w:rsid w:val="57AF6667"/>
    <w:rsid w:val="58823D7B"/>
    <w:rsid w:val="58871392"/>
    <w:rsid w:val="588B5FCD"/>
    <w:rsid w:val="589F66DB"/>
    <w:rsid w:val="59090558"/>
    <w:rsid w:val="598805C8"/>
    <w:rsid w:val="59C56616"/>
    <w:rsid w:val="59C75EEA"/>
    <w:rsid w:val="5B230C8C"/>
    <w:rsid w:val="5B4E41E4"/>
    <w:rsid w:val="5C0E3BCB"/>
    <w:rsid w:val="5C1E3DBB"/>
    <w:rsid w:val="5CA6628A"/>
    <w:rsid w:val="5DEA664B"/>
    <w:rsid w:val="5E2E58FB"/>
    <w:rsid w:val="5E532442"/>
    <w:rsid w:val="5F03180F"/>
    <w:rsid w:val="601856F1"/>
    <w:rsid w:val="60C2565D"/>
    <w:rsid w:val="60E02D21"/>
    <w:rsid w:val="612A3DC7"/>
    <w:rsid w:val="61842912"/>
    <w:rsid w:val="618A68FA"/>
    <w:rsid w:val="621719D8"/>
    <w:rsid w:val="626A7D5A"/>
    <w:rsid w:val="628C1E57"/>
    <w:rsid w:val="62EE2739"/>
    <w:rsid w:val="64501F98"/>
    <w:rsid w:val="64616F3B"/>
    <w:rsid w:val="64B36C9B"/>
    <w:rsid w:val="64CC2F58"/>
    <w:rsid w:val="656C5B97"/>
    <w:rsid w:val="65A83860"/>
    <w:rsid w:val="65B512EC"/>
    <w:rsid w:val="65EE0CA2"/>
    <w:rsid w:val="662D3A2A"/>
    <w:rsid w:val="66AD46B9"/>
    <w:rsid w:val="67654F94"/>
    <w:rsid w:val="680C386F"/>
    <w:rsid w:val="685E3EBD"/>
    <w:rsid w:val="68A02082"/>
    <w:rsid w:val="68C301C4"/>
    <w:rsid w:val="68DC1B6E"/>
    <w:rsid w:val="69EB29F3"/>
    <w:rsid w:val="6A3A6264"/>
    <w:rsid w:val="6A880510"/>
    <w:rsid w:val="6A9C0CCD"/>
    <w:rsid w:val="6AE10DD5"/>
    <w:rsid w:val="6B054AC4"/>
    <w:rsid w:val="6BD93ECE"/>
    <w:rsid w:val="6BF3491C"/>
    <w:rsid w:val="6C586E75"/>
    <w:rsid w:val="6CDA5ADC"/>
    <w:rsid w:val="6D9D7A52"/>
    <w:rsid w:val="6DAE3BB3"/>
    <w:rsid w:val="6E470F4F"/>
    <w:rsid w:val="6F233D84"/>
    <w:rsid w:val="6FA84896"/>
    <w:rsid w:val="6FAD572A"/>
    <w:rsid w:val="6FCA62DC"/>
    <w:rsid w:val="6FCF744E"/>
    <w:rsid w:val="705C4D63"/>
    <w:rsid w:val="705F07D2"/>
    <w:rsid w:val="70D063BA"/>
    <w:rsid w:val="715F5A90"/>
    <w:rsid w:val="72080E01"/>
    <w:rsid w:val="722D3DE6"/>
    <w:rsid w:val="72A545F7"/>
    <w:rsid w:val="73843F8F"/>
    <w:rsid w:val="73C1083E"/>
    <w:rsid w:val="745E5245"/>
    <w:rsid w:val="7463285B"/>
    <w:rsid w:val="74C652C4"/>
    <w:rsid w:val="74DF0134"/>
    <w:rsid w:val="74EE65C9"/>
    <w:rsid w:val="75023186"/>
    <w:rsid w:val="75594513"/>
    <w:rsid w:val="75596138"/>
    <w:rsid w:val="755E2130"/>
    <w:rsid w:val="759D0D2C"/>
    <w:rsid w:val="759F2249"/>
    <w:rsid w:val="76173C81"/>
    <w:rsid w:val="76C40B40"/>
    <w:rsid w:val="778E7636"/>
    <w:rsid w:val="782263B1"/>
    <w:rsid w:val="7866291A"/>
    <w:rsid w:val="78A50F9B"/>
    <w:rsid w:val="78A53AB9"/>
    <w:rsid w:val="79627585"/>
    <w:rsid w:val="79865022"/>
    <w:rsid w:val="7A825C86"/>
    <w:rsid w:val="7ABC0D24"/>
    <w:rsid w:val="7BDB7CD4"/>
    <w:rsid w:val="7C476479"/>
    <w:rsid w:val="7C9A0DE4"/>
    <w:rsid w:val="7D0B042F"/>
    <w:rsid w:val="7DC077CE"/>
    <w:rsid w:val="7E3B53A8"/>
    <w:rsid w:val="7E4D25B2"/>
    <w:rsid w:val="7EDD04C3"/>
    <w:rsid w:val="7F97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ody Text"/>
    <w:basedOn w:val="1"/>
    <w:unhideWhenUsed/>
    <w:qFormat/>
    <w:uiPriority w:val="99"/>
    <w:pPr>
      <w:spacing w:after="12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3"/>
    <w:next w:val="3"/>
    <w:link w:val="17"/>
    <w:semiHidden/>
    <w:unhideWhenUsed/>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kern w:val="2"/>
      <w:sz w:val="18"/>
      <w:szCs w:val="18"/>
    </w:rPr>
  </w:style>
  <w:style w:type="character" w:customStyle="1" w:styleId="16">
    <w:name w:val="批注文字 Char"/>
    <w:basedOn w:val="11"/>
    <w:link w:val="3"/>
    <w:semiHidden/>
    <w:qFormat/>
    <w:uiPriority w:val="99"/>
    <w:rPr>
      <w:kern w:val="2"/>
      <w:sz w:val="21"/>
      <w:szCs w:val="24"/>
    </w:rPr>
  </w:style>
  <w:style w:type="character" w:customStyle="1" w:styleId="17">
    <w:name w:val="批注主题 Char"/>
    <w:basedOn w:val="16"/>
    <w:link w:val="8"/>
    <w:semiHidden/>
    <w:qFormat/>
    <w:uiPriority w:val="99"/>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27811-C1B6-4340-BB0C-E65BCC6407B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4388</Words>
  <Characters>4794</Characters>
  <Lines>87</Lines>
  <Paragraphs>24</Paragraphs>
  <TotalTime>2</TotalTime>
  <ScaleCrop>false</ScaleCrop>
  <LinksUpToDate>false</LinksUpToDate>
  <CharactersWithSpaces>4989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2024-10-11T15:47:00Z</dcterms:created>
  <dc:creator>Windows User</dc:creator>
  <cp:lastModifiedBy>HM</cp:lastModifiedBy>
  <dcterms:modified xsi:type="dcterms:W3CDTF">2025-05-21T02:23:05Z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CB99ED7E155F4FF388309BD94CAE58EE_13</vt:lpwstr>
  </property>
  <property fmtid="{D5CDD505-2E9C-101B-9397-08002B2CF9AE}" pid="4" name="KSOTemplateDocerSaveRecord">
    <vt:lpwstr>eyJoZGlkIjoiY2UxMjg2NzFhNWI0NDAzMjNiZDQ1MzYzYzRlYmNhYjkiLCJ1c2VySWQiOiI0NDI2MDkxODAifQ==</vt:lpwstr>
  </property>
</Properties>
</file>