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EB850">
      <w:pPr>
        <w:pStyle w:val="3"/>
        <w:spacing w:after="0" w:line="400" w:lineRule="exact"/>
        <w:jc w:val="center"/>
        <w:rPr>
          <w:rFonts w:ascii="仿宋_GB2312" w:hAnsi="宋体" w:eastAsia="仿宋_GB2312" w:cs="Times New Roman"/>
          <w:b/>
          <w:bCs/>
          <w:sz w:val="36"/>
          <w:szCs w:val="36"/>
        </w:rPr>
      </w:pPr>
      <w:r>
        <w:rPr>
          <w:rFonts w:hint="eastAsia" w:ascii="仿宋_GB2312" w:hAnsi="宋体" w:eastAsia="仿宋_GB2312" w:cs="Times New Roman"/>
          <w:b/>
          <w:bCs/>
          <w:sz w:val="36"/>
          <w:szCs w:val="36"/>
        </w:rPr>
        <w:t>政采云反向竞价参数及商务条款</w:t>
      </w:r>
    </w:p>
    <w:p w14:paraId="495B4197">
      <w:pPr>
        <w:pStyle w:val="3"/>
        <w:spacing w:after="0" w:line="400" w:lineRule="exact"/>
        <w:rPr>
          <w:rFonts w:ascii="仿宋_GB2312" w:hAnsi="宋体" w:eastAsia="仿宋_GB2312" w:cs="Times New Roman"/>
          <w:sz w:val="24"/>
        </w:rPr>
      </w:pP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84"/>
        <w:gridCol w:w="415"/>
        <w:gridCol w:w="861"/>
        <w:gridCol w:w="992"/>
        <w:gridCol w:w="4111"/>
        <w:gridCol w:w="992"/>
        <w:gridCol w:w="748"/>
      </w:tblGrid>
      <w:tr w14:paraId="4FC2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34" w:type="dxa"/>
            <w:gridSpan w:val="8"/>
            <w:vAlign w:val="center"/>
          </w:tcPr>
          <w:p w14:paraId="38632D05">
            <w:pPr>
              <w:pStyle w:val="3"/>
              <w:spacing w:after="0" w:line="400" w:lineRule="exact"/>
              <w:rPr>
                <w:rFonts w:ascii="仿宋_GB2312" w:hAnsi="宋体" w:eastAsia="仿宋_GB2312" w:cs="Times New Roman"/>
                <w:sz w:val="24"/>
              </w:rPr>
            </w:pPr>
            <w:r>
              <w:rPr>
                <w:rFonts w:hint="eastAsia" w:ascii="仿宋_GB2312" w:hAnsi="宋体" w:eastAsia="仿宋_GB2312" w:cs="Times New Roman"/>
                <w:sz w:val="24"/>
              </w:rPr>
              <w:t>项目名称：投影机竞价采购</w:t>
            </w:r>
            <w:bookmarkStart w:id="2" w:name="_GoBack"/>
            <w:bookmarkEnd w:id="2"/>
          </w:p>
        </w:tc>
      </w:tr>
      <w:tr w14:paraId="6432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34" w:type="dxa"/>
            <w:gridSpan w:val="8"/>
            <w:vAlign w:val="center"/>
          </w:tcPr>
          <w:p w14:paraId="01C7AC88">
            <w:pPr>
              <w:pStyle w:val="3"/>
              <w:spacing w:after="0" w:line="400" w:lineRule="exact"/>
              <w:rPr>
                <w:rFonts w:ascii="仿宋_GB2312" w:hAnsi="宋体" w:eastAsia="仿宋_GB2312" w:cs="Times New Roman"/>
                <w:sz w:val="24"/>
              </w:rPr>
            </w:pPr>
            <w:r>
              <w:rPr>
                <w:rFonts w:hint="eastAsia" w:ascii="仿宋_GB2312" w:hAnsi="宋体" w:eastAsia="仿宋_GB2312" w:cs="Times New Roman"/>
                <w:sz w:val="24"/>
              </w:rPr>
              <w:t>上限控制价：</w:t>
            </w:r>
            <w:r>
              <w:rPr>
                <w:rFonts w:hint="eastAsia" w:ascii="仿宋_GB2312" w:hAnsi="宋体" w:eastAsia="仿宋_GB2312" w:cs="Times New Roman"/>
                <w:sz w:val="24"/>
                <w:lang w:val="en-US" w:eastAsia="zh-CN"/>
              </w:rPr>
              <w:t>539000</w:t>
            </w:r>
            <w:r>
              <w:rPr>
                <w:rFonts w:hint="eastAsia" w:ascii="仿宋_GB2312" w:hAnsi="宋体" w:eastAsia="仿宋_GB2312" w:cs="Times New Roman"/>
                <w:sz w:val="24"/>
              </w:rPr>
              <w:t>.00元</w:t>
            </w:r>
          </w:p>
        </w:tc>
      </w:tr>
      <w:tr w14:paraId="6B15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34" w:type="dxa"/>
            <w:gridSpan w:val="8"/>
            <w:vAlign w:val="center"/>
          </w:tcPr>
          <w:p w14:paraId="017470B9">
            <w:pPr>
              <w:widowControl/>
              <w:spacing w:line="400" w:lineRule="exact"/>
              <w:jc w:val="left"/>
              <w:textAlignment w:val="center"/>
              <w:rPr>
                <w:rFonts w:ascii="仿宋_GB2312" w:hAnsi="宋体" w:eastAsia="仿宋_GB2312"/>
                <w:sz w:val="24"/>
              </w:rPr>
            </w:pPr>
            <w:r>
              <w:rPr>
                <w:rFonts w:hint="eastAsia" w:ascii="仿宋_GB2312" w:hAnsi="宋体" w:eastAsia="仿宋_GB2312"/>
                <w:b/>
                <w:bCs/>
                <w:sz w:val="24"/>
              </w:rPr>
              <w:t>一、项目采购需求：</w:t>
            </w:r>
          </w:p>
        </w:tc>
      </w:tr>
      <w:tr w14:paraId="7E43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14:paraId="22060DC1">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序号</w:t>
            </w:r>
          </w:p>
        </w:tc>
        <w:tc>
          <w:tcPr>
            <w:tcW w:w="1499" w:type="dxa"/>
            <w:gridSpan w:val="2"/>
            <w:vAlign w:val="center"/>
          </w:tcPr>
          <w:p w14:paraId="5D4A57D7">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标的名称</w:t>
            </w:r>
          </w:p>
        </w:tc>
        <w:tc>
          <w:tcPr>
            <w:tcW w:w="861" w:type="dxa"/>
            <w:vAlign w:val="center"/>
          </w:tcPr>
          <w:p w14:paraId="0818ABD3">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品牌</w:t>
            </w:r>
          </w:p>
          <w:p w14:paraId="35847387">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型号</w:t>
            </w:r>
          </w:p>
        </w:tc>
        <w:tc>
          <w:tcPr>
            <w:tcW w:w="992" w:type="dxa"/>
            <w:vAlign w:val="center"/>
          </w:tcPr>
          <w:p w14:paraId="3550CC86">
            <w:pPr>
              <w:widowControl/>
              <w:spacing w:line="400" w:lineRule="exact"/>
              <w:jc w:val="center"/>
              <w:textAlignment w:val="center"/>
              <w:rPr>
                <w:rFonts w:ascii="仿宋_GB2312" w:hAnsi="宋体" w:eastAsia="仿宋_GB2312"/>
                <w:b/>
                <w:bCs/>
                <w:sz w:val="24"/>
              </w:rPr>
            </w:pPr>
            <w:r>
              <w:rPr>
                <w:rFonts w:hint="eastAsia" w:ascii="仿宋_GB2312" w:hAnsi="宋体" w:eastAsia="仿宋_GB2312" w:cs="宋体"/>
                <w:sz w:val="24"/>
              </w:rPr>
              <w:t>数量及单位</w:t>
            </w:r>
          </w:p>
        </w:tc>
        <w:tc>
          <w:tcPr>
            <w:tcW w:w="4111" w:type="dxa"/>
            <w:vAlign w:val="center"/>
          </w:tcPr>
          <w:p w14:paraId="77C2F948">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技术参数</w:t>
            </w:r>
          </w:p>
        </w:tc>
        <w:tc>
          <w:tcPr>
            <w:tcW w:w="992" w:type="dxa"/>
          </w:tcPr>
          <w:p w14:paraId="0DE23FBD">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是否   响应</w:t>
            </w:r>
          </w:p>
        </w:tc>
        <w:tc>
          <w:tcPr>
            <w:tcW w:w="748" w:type="dxa"/>
            <w:vAlign w:val="center"/>
          </w:tcPr>
          <w:p w14:paraId="3BB3DD73">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备注</w:t>
            </w:r>
          </w:p>
        </w:tc>
      </w:tr>
      <w:tr w14:paraId="5C99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14:paraId="7669E968">
            <w:pPr>
              <w:jc w:val="center"/>
              <w:rPr>
                <w:rFonts w:ascii="仿宋_GB2312" w:hAnsi="Calibri" w:eastAsia="仿宋_GB2312" w:cs="宋体"/>
                <w:sz w:val="24"/>
              </w:rPr>
            </w:pPr>
            <w:r>
              <w:rPr>
                <w:rFonts w:hint="eastAsia" w:ascii="仿宋_GB2312" w:hAnsi="Calibri" w:eastAsia="仿宋_GB2312" w:cs="宋体"/>
                <w:sz w:val="24"/>
              </w:rPr>
              <w:t>1</w:t>
            </w:r>
          </w:p>
        </w:tc>
        <w:tc>
          <w:tcPr>
            <w:tcW w:w="1499" w:type="dxa"/>
            <w:gridSpan w:val="2"/>
            <w:vAlign w:val="center"/>
          </w:tcPr>
          <w:p w14:paraId="582C41BA">
            <w:pPr>
              <w:rPr>
                <w:rFonts w:ascii="仿宋_GB2312" w:hAnsi="Calibri" w:eastAsia="仿宋_GB2312" w:cs="宋体"/>
                <w:sz w:val="24"/>
              </w:rPr>
            </w:pPr>
            <w:r>
              <w:rPr>
                <w:rFonts w:hint="eastAsia" w:ascii="宋体" w:hAnsi="宋体" w:cs="宋体"/>
                <w:szCs w:val="21"/>
              </w:rPr>
              <w:t>激光投影机</w:t>
            </w:r>
          </w:p>
        </w:tc>
        <w:tc>
          <w:tcPr>
            <w:tcW w:w="861" w:type="dxa"/>
            <w:vAlign w:val="center"/>
          </w:tcPr>
          <w:p w14:paraId="34E25BA8">
            <w:pPr>
              <w:rPr>
                <w:rFonts w:ascii="仿宋_GB2312" w:hAnsi="Calibri" w:eastAsia="仿宋_GB2312" w:cs="宋体"/>
                <w:sz w:val="24"/>
              </w:rPr>
            </w:pPr>
            <w:r>
              <w:rPr>
                <w:rFonts w:hint="eastAsia" w:ascii="仿宋_GB2312" w:hAnsi="Calibri" w:eastAsia="仿宋_GB2312" w:cs="宋体"/>
                <w:sz w:val="24"/>
              </w:rPr>
              <w:t>爱普生CB-L520U</w:t>
            </w:r>
          </w:p>
        </w:tc>
        <w:tc>
          <w:tcPr>
            <w:tcW w:w="992" w:type="dxa"/>
            <w:vAlign w:val="center"/>
          </w:tcPr>
          <w:p w14:paraId="6AE302C3">
            <w:pPr>
              <w:rPr>
                <w:rFonts w:ascii="仿宋_GB2312" w:hAnsi="Calibri" w:eastAsia="仿宋_GB2312" w:cs="宋体"/>
                <w:sz w:val="24"/>
              </w:rPr>
            </w:pPr>
            <w:r>
              <w:rPr>
                <w:rFonts w:hint="eastAsia" w:ascii="宋体" w:hAnsi="宋体" w:eastAsia="仿宋_GB2312" w:cs="宋体"/>
                <w:kern w:val="0"/>
              </w:rPr>
              <w:t>5台</w:t>
            </w:r>
          </w:p>
        </w:tc>
        <w:tc>
          <w:tcPr>
            <w:tcW w:w="4111" w:type="dxa"/>
          </w:tcPr>
          <w:p w14:paraId="57152A48">
            <w:pPr>
              <w:rPr>
                <w:rFonts w:ascii="宋体" w:hAnsi="宋体"/>
                <w:szCs w:val="21"/>
              </w:rPr>
            </w:pPr>
            <w:r>
              <w:rPr>
                <w:rFonts w:hint="eastAsia" w:ascii="宋体" w:hAnsi="宋体"/>
                <w:szCs w:val="21"/>
              </w:rPr>
              <w:t>1、采用3片芯片技术，不接受任何单芯片技术，成像系统：显示芯片尺寸≥0.67英寸</w:t>
            </w:r>
          </w:p>
          <w:p w14:paraId="0CBEB8F2">
            <w:pPr>
              <w:rPr>
                <w:rFonts w:ascii="宋体" w:hAnsi="宋体"/>
                <w:szCs w:val="21"/>
              </w:rPr>
            </w:pPr>
            <w:r>
              <w:rPr>
                <w:rFonts w:hint="eastAsia" w:ascii="宋体" w:hAnsi="宋体"/>
                <w:szCs w:val="21"/>
              </w:rPr>
              <w:t>2、标称亮度≥5200流明(依据ISO21118标准)， ；</w:t>
            </w:r>
          </w:p>
          <w:p w14:paraId="0A9ECCD6">
            <w:pPr>
              <w:rPr>
                <w:rFonts w:ascii="宋体" w:hAnsi="宋体"/>
                <w:szCs w:val="21"/>
              </w:rPr>
            </w:pPr>
            <w:r>
              <w:rPr>
                <w:rFonts w:hint="eastAsia" w:ascii="宋体" w:hAnsi="宋体"/>
                <w:szCs w:val="21"/>
              </w:rPr>
              <w:t>3、标准分辨率≥1920×1200，显示比例：16：10；</w:t>
            </w:r>
          </w:p>
          <w:p w14:paraId="09A0BE9A">
            <w:pPr>
              <w:rPr>
                <w:rFonts w:ascii="宋体" w:hAnsi="宋体"/>
                <w:szCs w:val="21"/>
              </w:rPr>
            </w:pPr>
            <w:r>
              <w:rPr>
                <w:rFonts w:hint="eastAsia" w:ascii="宋体" w:hAnsi="宋体"/>
                <w:szCs w:val="21"/>
              </w:rPr>
              <w:t>4、对比度 ≥2500000：1 。</w:t>
            </w:r>
          </w:p>
          <w:p w14:paraId="76EDF158">
            <w:pPr>
              <w:rPr>
                <w:rFonts w:ascii="宋体" w:hAnsi="宋体"/>
                <w:szCs w:val="21"/>
              </w:rPr>
            </w:pPr>
            <w:r>
              <w:rPr>
                <w:rFonts w:hint="eastAsia" w:ascii="宋体" w:hAnsi="宋体"/>
                <w:szCs w:val="21"/>
              </w:rPr>
              <w:t>5、纯激光光源（不接受混合光源），光源寿命≥20000小时（标准模式）。</w:t>
            </w:r>
          </w:p>
          <w:p w14:paraId="3CA25D2B">
            <w:pPr>
              <w:rPr>
                <w:rFonts w:ascii="宋体" w:hAnsi="宋体"/>
                <w:szCs w:val="21"/>
              </w:rPr>
            </w:pPr>
            <w:r>
              <w:rPr>
                <w:rFonts w:hint="eastAsia" w:ascii="宋体" w:hAnsi="宋体"/>
                <w:szCs w:val="21"/>
              </w:rPr>
              <w:t>6、中置镜头设计（不接受偏镜头设计），光学变焦比≥1.6倍；具备快速四角调节功能，可单独对投影画面的四个边角进行单独调整。</w:t>
            </w:r>
          </w:p>
          <w:p w14:paraId="64B02D03">
            <w:pPr>
              <w:rPr>
                <w:rFonts w:ascii="宋体" w:hAnsi="宋体"/>
                <w:szCs w:val="21"/>
              </w:rPr>
            </w:pPr>
            <w:r>
              <w:rPr>
                <w:rFonts w:hint="eastAsia" w:ascii="宋体" w:hAnsi="宋体"/>
                <w:szCs w:val="21"/>
              </w:rPr>
              <w:t>7、接口要求：不少于1路HDMI接口、1路VGA接口、1路RJ45接口、1路RS-232C、1路内置HDBaseT*接口；</w:t>
            </w:r>
          </w:p>
          <w:p w14:paraId="5F9AAE3A">
            <w:pPr>
              <w:rPr>
                <w:rFonts w:ascii="宋体" w:hAnsi="宋体"/>
                <w:szCs w:val="21"/>
              </w:rPr>
            </w:pPr>
            <w:r>
              <w:rPr>
                <w:rFonts w:hint="eastAsia" w:ascii="宋体" w:hAnsi="宋体"/>
                <w:szCs w:val="21"/>
              </w:rPr>
              <w:t>8、必须提供同品牌的管理软件，可监控不少于2000台联网投影机。投影机的电源状态、故障、警报等都可以被直观地察觉，还可通过电子邮件获知投影机的异常。</w:t>
            </w:r>
          </w:p>
          <w:p w14:paraId="72FF263D">
            <w:pPr>
              <w:rPr>
                <w:rFonts w:ascii="仿宋_GB2312" w:hAnsi="Calibri" w:eastAsia="仿宋_GB2312" w:cs="宋体"/>
                <w:sz w:val="24"/>
              </w:rPr>
            </w:pPr>
            <w:r>
              <w:rPr>
                <w:rFonts w:hint="eastAsia" w:ascii="宋体" w:hAnsi="宋体"/>
                <w:szCs w:val="21"/>
              </w:rPr>
              <w:t>9、整机五年质保服务（含光源质保五年）；</w:t>
            </w:r>
            <w:r>
              <w:rPr>
                <w:rFonts w:hint="eastAsia" w:ascii="宋体" w:hAnsi="宋体"/>
                <w:color w:val="FF0000"/>
                <w:szCs w:val="21"/>
              </w:rPr>
              <w:t>1</w:t>
            </w:r>
            <w:r>
              <w:rPr>
                <w:rFonts w:ascii="宋体" w:hAnsi="宋体"/>
                <w:color w:val="FF0000"/>
                <w:szCs w:val="21"/>
              </w:rPr>
              <w:t>0</w:t>
            </w:r>
            <w:r>
              <w:rPr>
                <w:rFonts w:hint="eastAsia" w:ascii="宋体" w:hAnsi="宋体"/>
                <w:color w:val="FF0000"/>
                <w:szCs w:val="21"/>
              </w:rPr>
              <w:t>、中标供应商须在中标后签订合同前提交所</w:t>
            </w:r>
            <w:r>
              <w:rPr>
                <w:rFonts w:ascii="宋体" w:hAnsi="宋体"/>
                <w:color w:val="FF0000"/>
                <w:szCs w:val="21"/>
              </w:rPr>
              <w:t>投</w:t>
            </w:r>
            <w:r>
              <w:rPr>
                <w:rFonts w:hint="eastAsia" w:ascii="宋体" w:hAnsi="宋体"/>
                <w:color w:val="FF0000"/>
                <w:szCs w:val="21"/>
              </w:rPr>
              <w:t>产品的3C，节能环保证明</w:t>
            </w:r>
            <w:r>
              <w:rPr>
                <w:rFonts w:ascii="宋体" w:hAnsi="宋体"/>
                <w:color w:val="FF0000"/>
                <w:szCs w:val="21"/>
              </w:rPr>
              <w:t>材料</w:t>
            </w:r>
            <w:r>
              <w:rPr>
                <w:rFonts w:hint="eastAsia" w:ascii="宋体" w:hAnsi="宋体"/>
                <w:color w:val="FF0000"/>
                <w:szCs w:val="21"/>
              </w:rPr>
              <w:t>。</w:t>
            </w:r>
            <w:r>
              <w:rPr>
                <w:rFonts w:hint="eastAsia" w:ascii="宋体" w:hAnsi="宋体"/>
                <w:szCs w:val="21"/>
              </w:rPr>
              <w:t xml:space="preserve"> </w:t>
            </w:r>
          </w:p>
        </w:tc>
        <w:tc>
          <w:tcPr>
            <w:tcW w:w="992" w:type="dxa"/>
            <w:vAlign w:val="center"/>
          </w:tcPr>
          <w:p w14:paraId="77A8A383">
            <w:pPr>
              <w:widowControl/>
              <w:spacing w:line="400" w:lineRule="exact"/>
              <w:jc w:val="center"/>
              <w:textAlignment w:val="center"/>
              <w:rPr>
                <w:rFonts w:ascii="仿宋_GB2312" w:hAnsi="Calibri" w:eastAsia="仿宋_GB2312" w:cs="宋体"/>
                <w:sz w:val="24"/>
              </w:rPr>
            </w:pPr>
          </w:p>
        </w:tc>
        <w:tc>
          <w:tcPr>
            <w:tcW w:w="748" w:type="dxa"/>
            <w:vAlign w:val="center"/>
          </w:tcPr>
          <w:p w14:paraId="1B95CB02">
            <w:pPr>
              <w:widowControl/>
              <w:spacing w:line="400" w:lineRule="exact"/>
              <w:jc w:val="center"/>
              <w:textAlignment w:val="center"/>
              <w:rPr>
                <w:rFonts w:ascii="仿宋_GB2312" w:hAnsi="Calibri" w:eastAsia="仿宋_GB2312" w:cs="宋体"/>
                <w:sz w:val="24"/>
              </w:rPr>
            </w:pPr>
          </w:p>
        </w:tc>
      </w:tr>
      <w:tr w14:paraId="3FC0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shd w:val="clear" w:color="auto" w:fill="auto"/>
            <w:vAlign w:val="center"/>
          </w:tcPr>
          <w:p w14:paraId="41945FEA">
            <w:pPr>
              <w:jc w:val="center"/>
              <w:rPr>
                <w:rFonts w:ascii="仿宋_GB2312" w:hAnsi="Calibri" w:eastAsia="仿宋_GB2312" w:cs="宋体"/>
                <w:sz w:val="24"/>
              </w:rPr>
            </w:pPr>
            <w:r>
              <w:rPr>
                <w:rFonts w:hint="eastAsia" w:ascii="仿宋_GB2312" w:hAnsi="Calibri" w:eastAsia="仿宋_GB2312" w:cs="宋体"/>
                <w:sz w:val="24"/>
              </w:rPr>
              <w:t>2</w:t>
            </w:r>
          </w:p>
        </w:tc>
        <w:tc>
          <w:tcPr>
            <w:tcW w:w="1499" w:type="dxa"/>
            <w:gridSpan w:val="2"/>
            <w:shd w:val="clear" w:color="auto" w:fill="auto"/>
            <w:vAlign w:val="center"/>
          </w:tcPr>
          <w:p w14:paraId="05837A87">
            <w:pPr>
              <w:rPr>
                <w:rFonts w:ascii="仿宋_GB2312" w:hAnsi="Calibri" w:eastAsia="仿宋_GB2312" w:cs="宋体"/>
                <w:sz w:val="24"/>
              </w:rPr>
            </w:pPr>
            <w:r>
              <w:rPr>
                <w:rFonts w:hint="eastAsia" w:ascii="宋体" w:hAnsi="宋体" w:cs="宋体"/>
                <w:szCs w:val="21"/>
              </w:rPr>
              <w:t>激光投影机</w:t>
            </w:r>
          </w:p>
        </w:tc>
        <w:tc>
          <w:tcPr>
            <w:tcW w:w="861" w:type="dxa"/>
            <w:shd w:val="clear" w:color="auto" w:fill="auto"/>
            <w:vAlign w:val="center"/>
          </w:tcPr>
          <w:p w14:paraId="10AC67D5">
            <w:pPr>
              <w:rPr>
                <w:rFonts w:ascii="仿宋_GB2312" w:hAnsi="Calibri" w:eastAsia="仿宋_GB2312" w:cs="宋体"/>
                <w:sz w:val="24"/>
              </w:rPr>
            </w:pPr>
            <w:r>
              <w:rPr>
                <w:rFonts w:hint="eastAsia" w:ascii="仿宋_GB2312" w:hAnsi="Calibri" w:eastAsia="仿宋_GB2312" w:cs="宋体"/>
                <w:sz w:val="24"/>
              </w:rPr>
              <w:t>爱普生CB-L790U</w:t>
            </w:r>
          </w:p>
        </w:tc>
        <w:tc>
          <w:tcPr>
            <w:tcW w:w="992" w:type="dxa"/>
            <w:shd w:val="clear" w:color="auto" w:fill="auto"/>
            <w:vAlign w:val="center"/>
          </w:tcPr>
          <w:p w14:paraId="1486DA32">
            <w:pPr>
              <w:rPr>
                <w:rFonts w:ascii="仿宋_GB2312" w:hAnsi="Calibri" w:eastAsia="仿宋_GB2312" w:cs="宋体"/>
                <w:sz w:val="24"/>
              </w:rPr>
            </w:pPr>
            <w:r>
              <w:rPr>
                <w:rFonts w:hint="eastAsia" w:ascii="宋体" w:hAnsi="宋体" w:eastAsia="仿宋_GB2312" w:cs="宋体"/>
                <w:kern w:val="0"/>
              </w:rPr>
              <w:t>24台</w:t>
            </w:r>
          </w:p>
        </w:tc>
        <w:tc>
          <w:tcPr>
            <w:tcW w:w="4111" w:type="dxa"/>
            <w:shd w:val="clear" w:color="auto" w:fill="auto"/>
          </w:tcPr>
          <w:p w14:paraId="1CA5A28E">
            <w:pPr>
              <w:rPr>
                <w:rFonts w:ascii="宋体" w:hAnsi="宋体"/>
                <w:szCs w:val="21"/>
              </w:rPr>
            </w:pPr>
            <w:r>
              <w:rPr>
                <w:rFonts w:hint="eastAsia" w:ascii="宋体" w:hAnsi="宋体"/>
                <w:szCs w:val="21"/>
              </w:rPr>
              <w:t>1、采用3片芯片技术，不接受任何单芯片技术，成像系统：显示芯片尺寸≥0.67英寸</w:t>
            </w:r>
          </w:p>
          <w:p w14:paraId="4C9A0DC2">
            <w:pPr>
              <w:rPr>
                <w:rFonts w:ascii="宋体" w:hAnsi="宋体"/>
                <w:szCs w:val="21"/>
              </w:rPr>
            </w:pPr>
            <w:r>
              <w:rPr>
                <w:rFonts w:hint="eastAsia" w:ascii="宋体" w:hAnsi="宋体"/>
                <w:szCs w:val="21"/>
              </w:rPr>
              <w:t>2、标称亮度≥7300流明(依据ISO21118标准)， ；</w:t>
            </w:r>
          </w:p>
          <w:p w14:paraId="4D0F7C84">
            <w:pPr>
              <w:rPr>
                <w:rFonts w:ascii="宋体" w:hAnsi="宋体"/>
                <w:szCs w:val="21"/>
              </w:rPr>
            </w:pPr>
            <w:r>
              <w:rPr>
                <w:rFonts w:hint="eastAsia" w:ascii="宋体" w:hAnsi="宋体"/>
                <w:szCs w:val="21"/>
              </w:rPr>
              <w:t>3、标准分辨率≥1920×1200，显示比例：16：10；</w:t>
            </w:r>
          </w:p>
          <w:p w14:paraId="7DC01E51">
            <w:pPr>
              <w:rPr>
                <w:rFonts w:ascii="宋体" w:hAnsi="宋体"/>
                <w:szCs w:val="21"/>
              </w:rPr>
            </w:pPr>
            <w:r>
              <w:rPr>
                <w:rFonts w:hint="eastAsia" w:ascii="宋体" w:hAnsi="宋体"/>
                <w:szCs w:val="21"/>
              </w:rPr>
              <w:t>4、对比度 ≥2500000：1 。</w:t>
            </w:r>
          </w:p>
          <w:p w14:paraId="46A73E20">
            <w:pPr>
              <w:rPr>
                <w:rFonts w:ascii="宋体" w:hAnsi="宋体"/>
                <w:szCs w:val="21"/>
              </w:rPr>
            </w:pPr>
            <w:r>
              <w:rPr>
                <w:rFonts w:hint="eastAsia" w:ascii="宋体" w:hAnsi="宋体"/>
                <w:szCs w:val="21"/>
              </w:rPr>
              <w:t>5、纯激光光源（不接受混合光源），光源寿命≥20000小时（标准模式）。</w:t>
            </w:r>
          </w:p>
          <w:p w14:paraId="7AD6B4D5">
            <w:pPr>
              <w:rPr>
                <w:rFonts w:ascii="宋体" w:hAnsi="宋体"/>
                <w:szCs w:val="21"/>
              </w:rPr>
            </w:pPr>
            <w:r>
              <w:rPr>
                <w:rFonts w:hint="eastAsia" w:ascii="宋体" w:hAnsi="宋体"/>
                <w:szCs w:val="21"/>
              </w:rPr>
              <w:t>6、中置镜头设计（不接受偏镜头设计），支持手动物理镜头上下、左右位移，光学变焦比≥1.6倍；具备快速四角调节功能，可单独对投影画面的四个边角进行单独调整。</w:t>
            </w:r>
          </w:p>
          <w:p w14:paraId="4A5BF18C">
            <w:pPr>
              <w:rPr>
                <w:rFonts w:ascii="宋体" w:hAnsi="宋体"/>
                <w:szCs w:val="21"/>
              </w:rPr>
            </w:pPr>
            <w:r>
              <w:rPr>
                <w:rFonts w:hint="eastAsia" w:ascii="宋体" w:hAnsi="宋体"/>
                <w:szCs w:val="21"/>
              </w:rPr>
              <w:t>7、接口要求：不少于1路HDMI接口、1路VGA接口、1路RJ45接口、1路RS-232C、1路内置HDBaseT*接口；</w:t>
            </w:r>
          </w:p>
          <w:p w14:paraId="5FF64BD9">
            <w:pPr>
              <w:rPr>
                <w:rFonts w:ascii="宋体" w:hAnsi="宋体"/>
                <w:szCs w:val="21"/>
              </w:rPr>
            </w:pPr>
            <w:r>
              <w:rPr>
                <w:rFonts w:hint="eastAsia" w:ascii="宋体" w:hAnsi="宋体"/>
                <w:szCs w:val="21"/>
              </w:rPr>
              <w:t>8、</w:t>
            </w:r>
            <w:r>
              <w:rPr>
                <w:rFonts w:ascii="宋体" w:hAnsi="宋体"/>
                <w:szCs w:val="21"/>
              </w:rPr>
              <w:t>安装要求：</w:t>
            </w:r>
            <w:r>
              <w:rPr>
                <w:rFonts w:hint="eastAsia" w:ascii="宋体" w:hAnsi="宋体"/>
                <w:szCs w:val="21"/>
              </w:rPr>
              <w:t>须</w:t>
            </w:r>
            <w:r>
              <w:rPr>
                <w:rFonts w:ascii="宋体" w:hAnsi="宋体"/>
                <w:szCs w:val="21"/>
              </w:rPr>
              <w:t>配套提供长度不少于</w:t>
            </w:r>
            <w:r>
              <w:rPr>
                <w:rFonts w:hint="eastAsia" w:ascii="宋体" w:hAnsi="宋体"/>
                <w:szCs w:val="21"/>
              </w:rPr>
              <w:t>25米</w:t>
            </w:r>
            <w:r>
              <w:rPr>
                <w:rFonts w:ascii="宋体" w:hAnsi="宋体"/>
                <w:szCs w:val="21"/>
              </w:rPr>
              <w:t>的</w:t>
            </w:r>
            <w:r>
              <w:rPr>
                <w:rFonts w:hint="eastAsia" w:ascii="宋体" w:hAnsi="宋体"/>
                <w:szCs w:val="21"/>
              </w:rPr>
              <w:t>HDMI视频</w:t>
            </w:r>
            <w:r>
              <w:rPr>
                <w:rFonts w:ascii="宋体" w:hAnsi="宋体"/>
                <w:szCs w:val="21"/>
              </w:rPr>
              <w:t>线</w:t>
            </w:r>
            <w:r>
              <w:rPr>
                <w:rFonts w:hint="eastAsia" w:ascii="宋体" w:hAnsi="宋体"/>
                <w:szCs w:val="21"/>
              </w:rPr>
              <w:t>和</w:t>
            </w:r>
            <w:r>
              <w:rPr>
                <w:rFonts w:ascii="宋体" w:hAnsi="宋体"/>
                <w:szCs w:val="21"/>
              </w:rPr>
              <w:t>RS-232C</w:t>
            </w:r>
            <w:r>
              <w:rPr>
                <w:rFonts w:hint="eastAsia" w:ascii="宋体" w:hAnsi="宋体"/>
                <w:szCs w:val="21"/>
              </w:rPr>
              <w:t>的控制线（具体</w:t>
            </w:r>
            <w:r>
              <w:rPr>
                <w:rFonts w:ascii="宋体" w:hAnsi="宋体"/>
                <w:szCs w:val="21"/>
              </w:rPr>
              <w:t>长度以现场测量为准</w:t>
            </w:r>
            <w:r>
              <w:rPr>
                <w:rFonts w:hint="eastAsia" w:ascii="宋体" w:hAnsi="宋体"/>
                <w:szCs w:val="21"/>
              </w:rPr>
              <w:t>），</w:t>
            </w:r>
            <w:r>
              <w:rPr>
                <w:rFonts w:ascii="宋体" w:hAnsi="宋体"/>
                <w:szCs w:val="21"/>
              </w:rPr>
              <w:t>其中</w:t>
            </w:r>
            <w:r>
              <w:rPr>
                <w:rFonts w:hint="eastAsia" w:ascii="宋体" w:hAnsi="宋体"/>
                <w:szCs w:val="21"/>
              </w:rPr>
              <w:t>HDMI视频线</w:t>
            </w:r>
            <w:r>
              <w:rPr>
                <w:rFonts w:ascii="宋体" w:hAnsi="宋体"/>
                <w:szCs w:val="21"/>
              </w:rPr>
              <w:t>须满足</w:t>
            </w:r>
            <w:r>
              <w:rPr>
                <w:rFonts w:hint="eastAsia" w:ascii="宋体" w:hAnsi="宋体"/>
                <w:szCs w:val="21"/>
              </w:rPr>
              <w:t>HDMI</w:t>
            </w:r>
            <w:r>
              <w:rPr>
                <w:rFonts w:ascii="宋体" w:hAnsi="宋体"/>
                <w:szCs w:val="21"/>
              </w:rPr>
              <w:t>1.4</w:t>
            </w:r>
            <w:r>
              <w:rPr>
                <w:rFonts w:hint="eastAsia" w:ascii="宋体" w:hAnsi="宋体"/>
                <w:szCs w:val="21"/>
              </w:rPr>
              <w:t>标准；</w:t>
            </w:r>
          </w:p>
          <w:p w14:paraId="4D55B898">
            <w:pPr>
              <w:rPr>
                <w:rFonts w:ascii="宋体" w:hAnsi="宋体"/>
                <w:szCs w:val="21"/>
              </w:rPr>
            </w:pPr>
            <w:r>
              <w:rPr>
                <w:rFonts w:ascii="宋体" w:hAnsi="宋体"/>
                <w:szCs w:val="21"/>
              </w:rPr>
              <w:t>9</w:t>
            </w:r>
            <w:r>
              <w:rPr>
                <w:rFonts w:hint="eastAsia" w:ascii="宋体" w:hAnsi="宋体"/>
                <w:szCs w:val="21"/>
              </w:rPr>
              <w:t>、必须提供同品牌的管理软件，可监控不少于2000台联网投影机。投影机的电源状态、故障、警报等都可以被直观地察觉，还可通过电子邮件获知投影机的异常；</w:t>
            </w:r>
          </w:p>
          <w:p w14:paraId="4266B7AD">
            <w:pPr>
              <w:rPr>
                <w:rFonts w:ascii="宋体" w:hAnsi="宋体"/>
                <w:color w:val="FF0000"/>
                <w:szCs w:val="21"/>
              </w:rPr>
            </w:pPr>
            <w:r>
              <w:rPr>
                <w:rFonts w:ascii="宋体" w:hAnsi="宋体"/>
                <w:szCs w:val="21"/>
              </w:rPr>
              <w:t>10</w:t>
            </w:r>
            <w:r>
              <w:rPr>
                <w:rFonts w:hint="eastAsia" w:ascii="宋体" w:hAnsi="宋体"/>
                <w:szCs w:val="21"/>
              </w:rPr>
              <w:t>、整机五年质保服务（含光源质保五年）；</w:t>
            </w:r>
            <w:r>
              <w:rPr>
                <w:rFonts w:ascii="宋体" w:hAnsi="宋体"/>
                <w:color w:val="FF0000"/>
                <w:szCs w:val="21"/>
              </w:rPr>
              <w:t xml:space="preserve"> </w:t>
            </w:r>
          </w:p>
          <w:p w14:paraId="43FFF007">
            <w:pPr>
              <w:rPr>
                <w:rFonts w:ascii="宋体" w:hAnsi="宋体"/>
                <w:color w:val="FF0000"/>
                <w:szCs w:val="21"/>
              </w:rPr>
            </w:pPr>
            <w:r>
              <w:rPr>
                <w:rFonts w:hint="eastAsia" w:ascii="宋体" w:hAnsi="宋体"/>
                <w:color w:val="FF0000"/>
                <w:szCs w:val="21"/>
              </w:rPr>
              <w:t>11、中标供应商须在中标后签订合同前提交所</w:t>
            </w:r>
            <w:r>
              <w:rPr>
                <w:rFonts w:ascii="宋体" w:hAnsi="宋体"/>
                <w:color w:val="FF0000"/>
                <w:szCs w:val="21"/>
              </w:rPr>
              <w:t>投</w:t>
            </w:r>
            <w:r>
              <w:rPr>
                <w:rFonts w:hint="eastAsia" w:ascii="宋体" w:hAnsi="宋体"/>
                <w:color w:val="FF0000"/>
                <w:szCs w:val="21"/>
              </w:rPr>
              <w:t>产品的3C，节能环保证明</w:t>
            </w:r>
            <w:r>
              <w:rPr>
                <w:rFonts w:ascii="宋体" w:hAnsi="宋体"/>
                <w:color w:val="FF0000"/>
                <w:szCs w:val="21"/>
              </w:rPr>
              <w:t>材料</w:t>
            </w:r>
            <w:r>
              <w:rPr>
                <w:rFonts w:hint="eastAsia" w:ascii="宋体" w:hAnsi="宋体"/>
                <w:color w:val="FF0000"/>
                <w:szCs w:val="21"/>
              </w:rPr>
              <w:t>。</w:t>
            </w:r>
          </w:p>
        </w:tc>
        <w:tc>
          <w:tcPr>
            <w:tcW w:w="992" w:type="dxa"/>
            <w:vAlign w:val="center"/>
          </w:tcPr>
          <w:p w14:paraId="70B25186">
            <w:pPr>
              <w:widowControl/>
              <w:spacing w:line="400" w:lineRule="exact"/>
              <w:jc w:val="center"/>
              <w:textAlignment w:val="center"/>
              <w:rPr>
                <w:rFonts w:ascii="仿宋_GB2312" w:hAnsi="Calibri" w:eastAsia="仿宋_GB2312" w:cs="宋体"/>
                <w:sz w:val="24"/>
              </w:rPr>
            </w:pPr>
          </w:p>
        </w:tc>
        <w:tc>
          <w:tcPr>
            <w:tcW w:w="748" w:type="dxa"/>
            <w:vAlign w:val="center"/>
          </w:tcPr>
          <w:p w14:paraId="18F36E47">
            <w:pPr>
              <w:widowControl/>
              <w:spacing w:line="400" w:lineRule="exact"/>
              <w:jc w:val="center"/>
              <w:textAlignment w:val="center"/>
              <w:rPr>
                <w:rFonts w:ascii="仿宋_GB2312" w:hAnsi="Calibri" w:eastAsia="仿宋_GB2312" w:cs="宋体"/>
                <w:sz w:val="24"/>
              </w:rPr>
            </w:pPr>
          </w:p>
        </w:tc>
      </w:tr>
      <w:tr w14:paraId="1918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8"/>
            <w:vAlign w:val="center"/>
          </w:tcPr>
          <w:p w14:paraId="457448C7">
            <w:pPr>
              <w:widowControl/>
              <w:spacing w:line="400" w:lineRule="exact"/>
              <w:jc w:val="left"/>
              <w:textAlignment w:val="center"/>
              <w:rPr>
                <w:rFonts w:ascii="仿宋_GB2312" w:hAnsi="宋体" w:eastAsia="仿宋_GB2312"/>
                <w:b/>
                <w:bCs/>
                <w:sz w:val="24"/>
              </w:rPr>
            </w:pPr>
            <w:r>
              <w:rPr>
                <w:rFonts w:hint="eastAsia" w:ascii="仿宋_GB2312" w:hAnsi="宋体" w:eastAsia="仿宋_GB2312"/>
                <w:b/>
                <w:bCs/>
                <w:sz w:val="24"/>
              </w:rPr>
              <w:t>二、商务要求：</w:t>
            </w:r>
          </w:p>
        </w:tc>
      </w:tr>
      <w:tr w14:paraId="67DD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6B2CAFE3">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要求名称</w:t>
            </w:r>
          </w:p>
        </w:tc>
        <w:tc>
          <w:tcPr>
            <w:tcW w:w="6379" w:type="dxa"/>
            <w:gridSpan w:val="4"/>
            <w:vAlign w:val="center"/>
          </w:tcPr>
          <w:p w14:paraId="2C649618">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要求内容</w:t>
            </w:r>
          </w:p>
        </w:tc>
        <w:tc>
          <w:tcPr>
            <w:tcW w:w="992" w:type="dxa"/>
            <w:vAlign w:val="center"/>
          </w:tcPr>
          <w:p w14:paraId="29DEEFA9">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是否   响应</w:t>
            </w:r>
          </w:p>
        </w:tc>
        <w:tc>
          <w:tcPr>
            <w:tcW w:w="748" w:type="dxa"/>
            <w:vAlign w:val="center"/>
          </w:tcPr>
          <w:p w14:paraId="689CF12C">
            <w:pPr>
              <w:widowControl/>
              <w:spacing w:line="400" w:lineRule="exact"/>
              <w:jc w:val="center"/>
              <w:textAlignment w:val="center"/>
              <w:rPr>
                <w:rFonts w:ascii="仿宋_GB2312" w:hAnsi="宋体" w:eastAsia="仿宋_GB2312"/>
                <w:b/>
                <w:bCs/>
                <w:sz w:val="24"/>
              </w:rPr>
            </w:pPr>
            <w:r>
              <w:rPr>
                <w:rFonts w:hint="eastAsia" w:ascii="仿宋_GB2312" w:hAnsi="宋体" w:eastAsia="仿宋_GB2312"/>
                <w:b/>
                <w:bCs/>
                <w:sz w:val="24"/>
              </w:rPr>
              <w:t>备注</w:t>
            </w:r>
          </w:p>
        </w:tc>
      </w:tr>
      <w:tr w14:paraId="1D5C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25C0E3F6">
            <w:pPr>
              <w:widowControl/>
              <w:jc w:val="center"/>
              <w:textAlignment w:val="center"/>
              <w:rPr>
                <w:rFonts w:ascii="仿宋_GB2312" w:hAnsi="宋体" w:eastAsia="仿宋_GB2312"/>
                <w:sz w:val="24"/>
              </w:rPr>
            </w:pPr>
            <w:r>
              <w:rPr>
                <w:rFonts w:hint="eastAsia" w:ascii="仿宋_GB2312" w:hAnsi="宋体" w:eastAsia="仿宋_GB2312"/>
                <w:sz w:val="24"/>
              </w:rPr>
              <w:t>竞标要求</w:t>
            </w:r>
          </w:p>
        </w:tc>
        <w:tc>
          <w:tcPr>
            <w:tcW w:w="6379" w:type="dxa"/>
            <w:gridSpan w:val="4"/>
            <w:vAlign w:val="center"/>
          </w:tcPr>
          <w:p w14:paraId="73F62403">
            <w:pPr>
              <w:jc w:val="left"/>
              <w:rPr>
                <w:rFonts w:ascii="仿宋_GB2312" w:hAnsi="宋体" w:eastAsia="仿宋_GB2312"/>
                <w:sz w:val="24"/>
              </w:rPr>
            </w:pPr>
            <w:r>
              <w:rPr>
                <w:rFonts w:hint="eastAsia" w:ascii="仿宋_GB2312" w:hAnsi="宋体" w:eastAsia="仿宋_GB2312"/>
                <w:sz w:val="24"/>
              </w:rPr>
              <w:t>1．供应商竞价时必须完全响应《政采云反向竞价项目采购需求响应表》（附件1）中的“一、项目采购需求”，否则报价无效。</w:t>
            </w:r>
          </w:p>
          <w:p w14:paraId="3BB76530">
            <w:pPr>
              <w:jc w:val="left"/>
              <w:rPr>
                <w:rFonts w:ascii="仿宋_GB2312" w:hAnsi="宋体" w:eastAsia="仿宋_GB2312"/>
                <w:sz w:val="24"/>
              </w:rPr>
            </w:pPr>
            <w:r>
              <w:rPr>
                <w:rFonts w:hint="eastAsia" w:ascii="仿宋_GB2312" w:hAnsi="宋体" w:eastAsia="仿宋_GB2312"/>
                <w:sz w:val="24"/>
              </w:rPr>
              <w:t>2．供应商首次竞价必须按照附件1格式填写并上传《政采云反向竞价项目采购需求响应表》（法定代表人或授权委托人签字并加盖单位公章）扫描件，否则报价无效。</w:t>
            </w:r>
          </w:p>
          <w:p w14:paraId="240626E4">
            <w:pPr>
              <w:jc w:val="left"/>
              <w:rPr>
                <w:rFonts w:ascii="仿宋_GB2312" w:hAnsi="宋体" w:eastAsia="仿宋_GB2312"/>
                <w:color w:val="FF0000"/>
                <w:sz w:val="24"/>
              </w:rPr>
            </w:pPr>
            <w:r>
              <w:rPr>
                <w:rFonts w:hint="eastAsia" w:ascii="仿宋_GB2312" w:hAnsi="宋体" w:eastAsia="仿宋_GB2312"/>
                <w:color w:val="FF0000"/>
                <w:sz w:val="24"/>
              </w:rPr>
              <w:t>3、为了保证建设和售后服务，中标供应商须在合同签订前提供：</w:t>
            </w:r>
          </w:p>
          <w:p w14:paraId="2D8595C2">
            <w:pPr>
              <w:jc w:val="left"/>
              <w:rPr>
                <w:rFonts w:ascii="仿宋_GB2312" w:hAnsi="宋体" w:eastAsia="仿宋_GB2312"/>
                <w:color w:val="FF0000"/>
                <w:sz w:val="24"/>
              </w:rPr>
            </w:pPr>
            <w:r>
              <w:rPr>
                <w:rFonts w:hint="eastAsia" w:ascii="仿宋_GB2312" w:hAnsi="宋体" w:eastAsia="仿宋_GB2312"/>
                <w:color w:val="FF0000"/>
                <w:sz w:val="24"/>
              </w:rPr>
              <w:t>（1）所投产品的合法进货渠道证明（附近一年的经销协议/海关报关单/增值税发票）</w:t>
            </w:r>
          </w:p>
          <w:p w14:paraId="0712F7EA">
            <w:pPr>
              <w:jc w:val="left"/>
              <w:rPr>
                <w:rFonts w:ascii="仿宋_GB2312" w:hAnsi="宋体" w:eastAsia="仿宋_GB2312"/>
                <w:color w:val="FF0000"/>
                <w:sz w:val="24"/>
              </w:rPr>
            </w:pPr>
            <w:r>
              <w:rPr>
                <w:rFonts w:hint="eastAsia" w:ascii="仿宋_GB2312" w:hAnsi="宋体" w:eastAsia="仿宋_GB2312"/>
                <w:color w:val="FF0000"/>
                <w:sz w:val="24"/>
              </w:rPr>
              <w:t>（</w:t>
            </w:r>
            <w:r>
              <w:rPr>
                <w:rFonts w:ascii="仿宋_GB2312" w:hAnsi="宋体" w:eastAsia="仿宋_GB2312"/>
                <w:color w:val="FF0000"/>
                <w:sz w:val="24"/>
              </w:rPr>
              <w:t>2</w:t>
            </w:r>
            <w:r>
              <w:rPr>
                <w:rFonts w:hint="eastAsia" w:ascii="仿宋_GB2312" w:hAnsi="宋体" w:eastAsia="仿宋_GB2312"/>
                <w:color w:val="FF0000"/>
                <w:sz w:val="24"/>
              </w:rPr>
              <w:t>）所投设备原厂出具的供货确认及售后支持函（需</w:t>
            </w:r>
            <w:r>
              <w:rPr>
                <w:rFonts w:ascii="仿宋_GB2312" w:hAnsi="宋体" w:eastAsia="仿宋_GB2312"/>
                <w:color w:val="FF0000"/>
                <w:sz w:val="24"/>
              </w:rPr>
              <w:t>附上厂家</w:t>
            </w:r>
            <w:r>
              <w:rPr>
                <w:rFonts w:hint="eastAsia" w:ascii="仿宋_GB2312" w:hAnsi="宋体" w:eastAsia="仿宋_GB2312"/>
                <w:color w:val="FF0000"/>
                <w:sz w:val="24"/>
              </w:rPr>
              <w:t>联系人</w:t>
            </w:r>
            <w:r>
              <w:rPr>
                <w:rFonts w:ascii="仿宋_GB2312" w:hAnsi="宋体" w:eastAsia="仿宋_GB2312"/>
                <w:color w:val="FF0000"/>
                <w:sz w:val="24"/>
              </w:rPr>
              <w:t>和联系方式</w:t>
            </w:r>
            <w:r>
              <w:rPr>
                <w:rFonts w:hint="eastAsia" w:ascii="仿宋_GB2312" w:hAnsi="宋体" w:eastAsia="仿宋_GB2312"/>
                <w:color w:val="FF0000"/>
                <w:sz w:val="24"/>
              </w:rPr>
              <w:t>以备核验）；</w:t>
            </w:r>
          </w:p>
          <w:p w14:paraId="68540108">
            <w:pPr>
              <w:jc w:val="left"/>
              <w:rPr>
                <w:rFonts w:ascii="仿宋_GB2312" w:hAnsi="宋体" w:eastAsia="仿宋_GB2312"/>
                <w:color w:val="FF0000"/>
                <w:sz w:val="24"/>
              </w:rPr>
            </w:pPr>
            <w:r>
              <w:rPr>
                <w:rFonts w:hint="eastAsia" w:ascii="仿宋_GB2312" w:hAnsi="宋体" w:eastAsia="仿宋_GB2312"/>
                <w:color w:val="FF0000"/>
                <w:sz w:val="24"/>
              </w:rPr>
              <w:t>（</w:t>
            </w:r>
            <w:r>
              <w:rPr>
                <w:rFonts w:ascii="仿宋_GB2312" w:hAnsi="宋体" w:eastAsia="仿宋_GB2312"/>
                <w:color w:val="FF0000"/>
                <w:sz w:val="24"/>
              </w:rPr>
              <w:t>3</w:t>
            </w:r>
            <w:r>
              <w:rPr>
                <w:rFonts w:hint="eastAsia" w:ascii="仿宋_GB2312" w:hAnsi="宋体" w:eastAsia="仿宋_GB2312"/>
                <w:color w:val="FF0000"/>
                <w:sz w:val="24"/>
              </w:rPr>
              <w:t>）在广西区域的服务能力证明材料：经厂家认证的工程师（提供认证证书）、备件仓库地址和所投</w:t>
            </w:r>
            <w:r>
              <w:rPr>
                <w:rFonts w:ascii="仿宋_GB2312" w:hAnsi="宋体" w:eastAsia="仿宋_GB2312"/>
                <w:color w:val="FF0000"/>
                <w:sz w:val="24"/>
              </w:rPr>
              <w:t>产品型号的</w:t>
            </w:r>
            <w:r>
              <w:rPr>
                <w:rFonts w:hint="eastAsia" w:ascii="仿宋_GB2312" w:hAnsi="宋体" w:eastAsia="仿宋_GB2312"/>
                <w:color w:val="FF0000"/>
                <w:sz w:val="24"/>
              </w:rPr>
              <w:t>库存清单；</w:t>
            </w:r>
          </w:p>
          <w:p w14:paraId="00C6940B">
            <w:pPr>
              <w:jc w:val="left"/>
              <w:rPr>
                <w:rFonts w:ascii="仿宋_GB2312" w:hAnsi="宋体" w:eastAsia="仿宋_GB2312"/>
                <w:color w:val="FF0000"/>
                <w:sz w:val="24"/>
              </w:rPr>
            </w:pPr>
            <w:r>
              <w:rPr>
                <w:rFonts w:hint="eastAsia" w:ascii="仿宋_GB2312" w:hAnsi="宋体" w:eastAsia="仿宋_GB2312"/>
                <w:color w:val="FF0000"/>
                <w:sz w:val="24"/>
              </w:rPr>
              <w:t>（</w:t>
            </w:r>
            <w:r>
              <w:rPr>
                <w:rFonts w:ascii="仿宋_GB2312" w:hAnsi="宋体" w:eastAsia="仿宋_GB2312"/>
                <w:color w:val="FF0000"/>
                <w:sz w:val="24"/>
              </w:rPr>
              <w:t>4</w:t>
            </w:r>
            <w:r>
              <w:rPr>
                <w:rFonts w:hint="eastAsia" w:ascii="仿宋_GB2312" w:hAnsi="宋体" w:eastAsia="仿宋_GB2312"/>
                <w:color w:val="FF0000"/>
                <w:sz w:val="24"/>
              </w:rPr>
              <w:t xml:space="preserve">）必须提供运维服务人员名单、联系电话,供货时在所供应设备上粘贴保修信息标签。 </w:t>
            </w:r>
          </w:p>
          <w:p w14:paraId="017E335D">
            <w:pPr>
              <w:jc w:val="left"/>
              <w:rPr>
                <w:rFonts w:ascii="仿宋_GB2312" w:hAnsi="宋体" w:eastAsia="仿宋_GB2312"/>
                <w:sz w:val="24"/>
              </w:rPr>
            </w:pPr>
            <w:r>
              <w:rPr>
                <w:rFonts w:hint="eastAsia" w:ascii="仿宋_GB2312" w:hAnsi="宋体" w:eastAsia="仿宋_GB2312"/>
                <w:sz w:val="24"/>
              </w:rPr>
              <w:t>4、投标供应商必须实质性能够满足产品参数要求；对不能满足参数要求虚假响应， 或者无法正常交货影响业主办公使用的，业主可作为废标处理，并按规定对投标公司予以处罚，和进行网上通报处理。</w:t>
            </w:r>
          </w:p>
          <w:p w14:paraId="0F5EB483">
            <w:pPr>
              <w:jc w:val="left"/>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.系统生成预成交供应商后，预成交供应商须在</w:t>
            </w:r>
            <w:r>
              <w:rPr>
                <w:rFonts w:ascii="仿宋_GB2312" w:hAnsi="宋体" w:eastAsia="仿宋_GB2312"/>
                <w:sz w:val="24"/>
              </w:rPr>
              <w:t>5</w:t>
            </w:r>
            <w:r>
              <w:rPr>
                <w:rFonts w:hint="eastAsia" w:ascii="仿宋_GB2312" w:hAnsi="宋体" w:eastAsia="仿宋_GB2312"/>
                <w:sz w:val="24"/>
              </w:rPr>
              <w:t>个</w:t>
            </w:r>
            <w:r>
              <w:rPr>
                <w:rFonts w:ascii="仿宋_GB2312" w:hAnsi="宋体" w:eastAsia="仿宋_GB2312"/>
                <w:sz w:val="24"/>
              </w:rPr>
              <w:t>工作</w:t>
            </w:r>
            <w:r>
              <w:rPr>
                <w:rFonts w:hint="eastAsia" w:ascii="仿宋_GB2312" w:hAnsi="宋体" w:eastAsia="仿宋_GB2312"/>
                <w:sz w:val="24"/>
              </w:rPr>
              <w:t>日内将</w:t>
            </w:r>
            <w:r>
              <w:rPr>
                <w:rFonts w:ascii="仿宋_GB2312" w:hAnsi="宋体" w:eastAsia="仿宋_GB2312"/>
                <w:sz w:val="24"/>
              </w:rPr>
              <w:t>上述售后服务保障承诺材料</w:t>
            </w:r>
            <w:r>
              <w:rPr>
                <w:rFonts w:hint="eastAsia" w:ascii="仿宋_GB2312" w:hAnsi="宋体" w:eastAsia="仿宋_GB2312"/>
                <w:sz w:val="24"/>
              </w:rPr>
              <w:t>及到采购人邮箱：</w:t>
            </w:r>
            <w:r>
              <w:rPr>
                <w:rFonts w:ascii="仿宋_GB2312" w:hAnsi="宋体" w:eastAsia="仿宋_GB2312"/>
                <w:sz w:val="24"/>
              </w:rPr>
              <w:t>gxwzywlzx@163.com</w:t>
            </w:r>
            <w:r>
              <w:rPr>
                <w:rFonts w:hint="eastAsia" w:ascii="仿宋_GB2312" w:hAnsi="宋体" w:eastAsia="仿宋_GB2312"/>
                <w:sz w:val="24"/>
              </w:rPr>
              <w:t>。如果不能按时按要求提供，则视为预成交供应商响应无效，采购人有权取消其成交资格。</w:t>
            </w:r>
          </w:p>
          <w:p w14:paraId="3F3FAECD">
            <w:pPr>
              <w:jc w:val="left"/>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投标报价是履行合同的最终价格，包括但不限于：（1）货物的价格；（2）货物的标准附件、备品备件、专用工具的价格；（3）运输、装卸、软硬件安装调试、培训、技术支持、售后服务等费用；（4）必要的保险费用和各项税费；（5）施工（安装）费用；（6）设备零配件、项目安装、调试、检测、试验及验收、现场卫生清理和招标文件中有关的全部内容和有关要求等所有成本费用的总和，采购人不再支付其他任何费用。</w:t>
            </w:r>
          </w:p>
          <w:p w14:paraId="0921C492">
            <w:pPr>
              <w:jc w:val="left"/>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.竞标报价超过预算上限控制价的，为无效报价。</w:t>
            </w:r>
          </w:p>
        </w:tc>
        <w:tc>
          <w:tcPr>
            <w:tcW w:w="992" w:type="dxa"/>
            <w:vAlign w:val="center"/>
          </w:tcPr>
          <w:p w14:paraId="6F7EBD33">
            <w:pPr>
              <w:jc w:val="center"/>
              <w:rPr>
                <w:rFonts w:ascii="仿宋_GB2312" w:hAnsi="宋体" w:eastAsia="仿宋_GB2312"/>
                <w:sz w:val="24"/>
              </w:rPr>
            </w:pPr>
          </w:p>
        </w:tc>
        <w:tc>
          <w:tcPr>
            <w:tcW w:w="748" w:type="dxa"/>
            <w:vAlign w:val="center"/>
          </w:tcPr>
          <w:p w14:paraId="6C2D3527">
            <w:pPr>
              <w:jc w:val="center"/>
              <w:rPr>
                <w:rFonts w:ascii="仿宋_GB2312" w:hAnsi="宋体" w:eastAsia="仿宋_GB2312"/>
                <w:sz w:val="24"/>
              </w:rPr>
            </w:pPr>
          </w:p>
        </w:tc>
      </w:tr>
      <w:tr w14:paraId="0DFF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1319D782">
            <w:pPr>
              <w:widowControl/>
              <w:jc w:val="center"/>
              <w:textAlignment w:val="center"/>
              <w:rPr>
                <w:rFonts w:ascii="仿宋_GB2312" w:hAnsi="宋体" w:eastAsia="仿宋_GB2312"/>
                <w:sz w:val="24"/>
              </w:rPr>
            </w:pPr>
            <w:r>
              <w:rPr>
                <w:rFonts w:hint="eastAsia" w:ascii="仿宋_GB2312" w:hAnsi="宋体" w:eastAsia="仿宋_GB2312"/>
                <w:sz w:val="24"/>
              </w:rPr>
              <w:t>付款方式</w:t>
            </w:r>
          </w:p>
        </w:tc>
        <w:tc>
          <w:tcPr>
            <w:tcW w:w="6379" w:type="dxa"/>
            <w:gridSpan w:val="4"/>
            <w:vAlign w:val="center"/>
          </w:tcPr>
          <w:p w14:paraId="4B7CD834">
            <w:pPr>
              <w:pStyle w:val="3"/>
              <w:spacing w:after="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1.双方签订合同后，成交供应商须向采购人提供真实合法有效的增值税专用发票，</w:t>
            </w:r>
            <w:r>
              <w:rPr>
                <w:rFonts w:ascii="仿宋_GB2312" w:hAnsi="宋体" w:eastAsia="仿宋_GB2312" w:cs="Times New Roman"/>
                <w:color w:val="000000"/>
                <w:sz w:val="24"/>
              </w:rPr>
              <w:t>票面金额为</w:t>
            </w:r>
            <w:r>
              <w:rPr>
                <w:rFonts w:hint="eastAsia" w:ascii="仿宋_GB2312" w:hAnsi="宋体" w:eastAsia="仿宋_GB2312" w:cs="Times New Roman"/>
                <w:color w:val="000000"/>
                <w:sz w:val="24"/>
              </w:rPr>
              <w:t>合同总金额的30%，采购人收到预付款及发票后10个工作日内向成交供应商一次性支付合同款总金额30%的预付款；项目验收合格且双方完成结算后，采购人在收到成交供应商提供的相应尾款的</w:t>
            </w:r>
            <w:r>
              <w:rPr>
                <w:rFonts w:ascii="仿宋_GB2312" w:hAnsi="宋体" w:eastAsia="仿宋_GB2312" w:cs="Times New Roman"/>
                <w:color w:val="000000"/>
                <w:sz w:val="24"/>
              </w:rPr>
              <w:t>增值税专用</w:t>
            </w:r>
            <w:r>
              <w:rPr>
                <w:rFonts w:hint="eastAsia" w:ascii="仿宋_GB2312" w:hAnsi="宋体" w:eastAsia="仿宋_GB2312" w:cs="Times New Roman"/>
                <w:color w:val="000000"/>
                <w:sz w:val="24"/>
              </w:rPr>
              <w:t>发票后的10个工作日内向成交供应商一次性支付剩余尾款。成交供应商提供的发票不符合要求，采购人有权拒绝付款且不承担违约责任，成交供应商应在接到采购人通知后5日内更换合规发票。</w:t>
            </w:r>
          </w:p>
          <w:p w14:paraId="6EDCEA8A">
            <w:pPr>
              <w:pStyle w:val="3"/>
              <w:spacing w:after="0"/>
              <w:jc w:val="left"/>
              <w:rPr>
                <w:rFonts w:ascii="仿宋_GB2312" w:hAnsi="宋体" w:eastAsia="仿宋_GB2312" w:cs="Times New Roman"/>
                <w:sz w:val="24"/>
              </w:rPr>
            </w:pPr>
            <w:r>
              <w:rPr>
                <w:rFonts w:hint="eastAsia" w:ascii="仿宋_GB2312" w:hAnsi="宋体" w:eastAsia="仿宋_GB2312"/>
                <w:color w:val="000000"/>
                <w:sz w:val="24"/>
              </w:rPr>
              <w:t>2.若采购数量与实际使用数量不一致时，成交供应商应根据实际使用量供货，合同的最终结算金额按实际使用量乘以成交单价进行据实计算。</w:t>
            </w:r>
          </w:p>
        </w:tc>
        <w:tc>
          <w:tcPr>
            <w:tcW w:w="992" w:type="dxa"/>
            <w:vAlign w:val="center"/>
          </w:tcPr>
          <w:p w14:paraId="3BF5CA6E">
            <w:pPr>
              <w:pStyle w:val="3"/>
              <w:spacing w:after="0"/>
              <w:jc w:val="center"/>
              <w:rPr>
                <w:rFonts w:ascii="仿宋_GB2312" w:hAnsi="宋体" w:eastAsia="仿宋_GB2312" w:cs="Times New Roman"/>
                <w:sz w:val="24"/>
              </w:rPr>
            </w:pPr>
          </w:p>
        </w:tc>
        <w:tc>
          <w:tcPr>
            <w:tcW w:w="748" w:type="dxa"/>
            <w:vAlign w:val="center"/>
          </w:tcPr>
          <w:p w14:paraId="5F63AD62">
            <w:pPr>
              <w:pStyle w:val="3"/>
              <w:spacing w:after="0"/>
              <w:jc w:val="center"/>
              <w:rPr>
                <w:rFonts w:ascii="仿宋_GB2312" w:hAnsi="宋体" w:eastAsia="仿宋_GB2312" w:cs="Times New Roman"/>
                <w:sz w:val="24"/>
              </w:rPr>
            </w:pPr>
          </w:p>
        </w:tc>
      </w:tr>
      <w:tr w14:paraId="6CD3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1C89B708">
            <w:pPr>
              <w:pStyle w:val="3"/>
              <w:jc w:val="center"/>
              <w:rPr>
                <w:rFonts w:ascii="仿宋_GB2312" w:hAnsi="宋体" w:eastAsia="仿宋_GB2312"/>
                <w:sz w:val="24"/>
              </w:rPr>
            </w:pPr>
            <w:r>
              <w:rPr>
                <w:rFonts w:hint="eastAsia" w:ascii="仿宋_GB2312" w:hAnsi="宋体" w:eastAsia="仿宋_GB2312"/>
                <w:sz w:val="24"/>
              </w:rPr>
              <w:t>合同签订</w:t>
            </w:r>
          </w:p>
          <w:p w14:paraId="6A3F6E6B">
            <w:pPr>
              <w:pStyle w:val="3"/>
              <w:jc w:val="center"/>
              <w:rPr>
                <w:rFonts w:ascii="仿宋_GB2312" w:hAnsi="宋体" w:eastAsia="仿宋_GB2312" w:cs="Times New Roman"/>
                <w:sz w:val="24"/>
              </w:rPr>
            </w:pPr>
            <w:r>
              <w:rPr>
                <w:rFonts w:hint="eastAsia" w:ascii="仿宋_GB2312" w:hAnsi="宋体" w:eastAsia="仿宋_GB2312"/>
                <w:sz w:val="24"/>
              </w:rPr>
              <w:t>期限</w:t>
            </w:r>
          </w:p>
        </w:tc>
        <w:tc>
          <w:tcPr>
            <w:tcW w:w="6379" w:type="dxa"/>
            <w:gridSpan w:val="4"/>
          </w:tcPr>
          <w:p w14:paraId="1E7BE7C6">
            <w:pPr>
              <w:pStyle w:val="3"/>
              <w:spacing w:after="0"/>
              <w:jc w:val="left"/>
              <w:rPr>
                <w:rFonts w:ascii="仿宋_GB2312" w:hAnsi="Times New Roman" w:eastAsia="仿宋_GB2312" w:cs="Times New Roman"/>
                <w:sz w:val="24"/>
              </w:rPr>
            </w:pPr>
            <w:r>
              <w:rPr>
                <w:rFonts w:hint="eastAsia" w:ascii="仿宋_GB2312" w:hAnsi="Times New Roman" w:eastAsia="仿宋_GB2312" w:cs="Times New Roman"/>
                <w:sz w:val="24"/>
              </w:rPr>
              <w:t>自成交公告发出之日起10日内完成合同签订。</w:t>
            </w:r>
          </w:p>
        </w:tc>
        <w:tc>
          <w:tcPr>
            <w:tcW w:w="992" w:type="dxa"/>
            <w:vAlign w:val="center"/>
          </w:tcPr>
          <w:p w14:paraId="127755CC">
            <w:pPr>
              <w:widowControl/>
              <w:jc w:val="center"/>
              <w:textAlignment w:val="center"/>
              <w:rPr>
                <w:rFonts w:ascii="仿宋_GB2312" w:hAnsi="宋体" w:eastAsia="仿宋_GB2312"/>
                <w:sz w:val="24"/>
              </w:rPr>
            </w:pPr>
          </w:p>
        </w:tc>
        <w:tc>
          <w:tcPr>
            <w:tcW w:w="748" w:type="dxa"/>
            <w:vAlign w:val="center"/>
          </w:tcPr>
          <w:p w14:paraId="072335CD">
            <w:pPr>
              <w:widowControl/>
              <w:jc w:val="center"/>
              <w:textAlignment w:val="center"/>
              <w:rPr>
                <w:rFonts w:ascii="仿宋_GB2312" w:hAnsi="宋体" w:eastAsia="仿宋_GB2312"/>
                <w:sz w:val="24"/>
              </w:rPr>
            </w:pPr>
          </w:p>
        </w:tc>
      </w:tr>
      <w:tr w14:paraId="1F28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0DAA8E75">
            <w:pPr>
              <w:pStyle w:val="3"/>
              <w:jc w:val="center"/>
              <w:rPr>
                <w:rFonts w:ascii="仿宋_GB2312" w:hAnsi="宋体" w:eastAsia="仿宋_GB2312" w:cs="Times New Roman"/>
                <w:sz w:val="24"/>
              </w:rPr>
            </w:pPr>
            <w:r>
              <w:rPr>
                <w:rFonts w:hint="eastAsia" w:ascii="仿宋_GB2312" w:hAnsi="宋体" w:eastAsia="仿宋_GB2312" w:cs="Times New Roman"/>
                <w:sz w:val="24"/>
              </w:rPr>
              <w:t>交货期及</w:t>
            </w:r>
          </w:p>
          <w:p w14:paraId="6327C5B1">
            <w:pPr>
              <w:pStyle w:val="3"/>
              <w:jc w:val="center"/>
              <w:rPr>
                <w:rFonts w:ascii="仿宋_GB2312" w:hAnsi="宋体" w:eastAsia="仿宋_GB2312" w:cs="Times New Roman"/>
                <w:sz w:val="24"/>
              </w:rPr>
            </w:pPr>
            <w:r>
              <w:rPr>
                <w:rFonts w:hint="eastAsia" w:ascii="仿宋_GB2312" w:hAnsi="宋体" w:eastAsia="仿宋_GB2312" w:cs="Times New Roman"/>
                <w:sz w:val="24"/>
              </w:rPr>
              <w:t>安装期</w:t>
            </w:r>
          </w:p>
        </w:tc>
        <w:tc>
          <w:tcPr>
            <w:tcW w:w="6379" w:type="dxa"/>
            <w:gridSpan w:val="4"/>
            <w:vAlign w:val="center"/>
          </w:tcPr>
          <w:p w14:paraId="07D7F112">
            <w:pPr>
              <w:widowControl/>
              <w:jc w:val="left"/>
              <w:textAlignment w:val="center"/>
              <w:rPr>
                <w:rFonts w:ascii="仿宋_GB2312" w:eastAsia="仿宋_GB2312"/>
                <w:sz w:val="24"/>
              </w:rPr>
            </w:pPr>
            <w:r>
              <w:rPr>
                <w:rFonts w:hint="eastAsia" w:ascii="仿宋_GB2312" w:hAnsi="宋体" w:eastAsia="仿宋_GB2312"/>
                <w:sz w:val="24"/>
              </w:rPr>
              <w:t>自合同生效后由采购人指定送货时间，10日内安装调试完毕。未如期签订合同的，将视为自动放弃中选资格，采购人视情节严重程度将相关情况报送自治区财政厅备案处罚。</w:t>
            </w:r>
          </w:p>
        </w:tc>
        <w:tc>
          <w:tcPr>
            <w:tcW w:w="992" w:type="dxa"/>
            <w:vAlign w:val="center"/>
          </w:tcPr>
          <w:p w14:paraId="0247E3E2">
            <w:pPr>
              <w:widowControl/>
              <w:jc w:val="center"/>
              <w:textAlignment w:val="center"/>
              <w:rPr>
                <w:rFonts w:ascii="仿宋_GB2312" w:hAnsi="宋体" w:eastAsia="仿宋_GB2312"/>
                <w:sz w:val="24"/>
              </w:rPr>
            </w:pPr>
          </w:p>
        </w:tc>
        <w:tc>
          <w:tcPr>
            <w:tcW w:w="748" w:type="dxa"/>
            <w:vAlign w:val="center"/>
          </w:tcPr>
          <w:p w14:paraId="1AFE0C40">
            <w:pPr>
              <w:widowControl/>
              <w:jc w:val="center"/>
              <w:textAlignment w:val="center"/>
              <w:rPr>
                <w:rFonts w:ascii="仿宋_GB2312" w:hAnsi="宋体" w:eastAsia="仿宋_GB2312"/>
                <w:sz w:val="24"/>
              </w:rPr>
            </w:pPr>
          </w:p>
        </w:tc>
      </w:tr>
      <w:tr w14:paraId="1C5C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7984E8B8">
            <w:pPr>
              <w:pStyle w:val="3"/>
              <w:jc w:val="center"/>
              <w:rPr>
                <w:rFonts w:ascii="仿宋_GB2312" w:hAnsi="宋体" w:eastAsia="仿宋_GB2312" w:cs="Times New Roman"/>
                <w:sz w:val="24"/>
              </w:rPr>
            </w:pPr>
            <w:r>
              <w:rPr>
                <w:rFonts w:hint="eastAsia" w:ascii="仿宋_GB2312" w:hAnsi="宋体" w:eastAsia="仿宋_GB2312" w:cs="Times New Roman"/>
                <w:sz w:val="24"/>
              </w:rPr>
              <w:t>交货地点</w:t>
            </w:r>
          </w:p>
        </w:tc>
        <w:tc>
          <w:tcPr>
            <w:tcW w:w="6379" w:type="dxa"/>
            <w:gridSpan w:val="4"/>
          </w:tcPr>
          <w:p w14:paraId="7AE0D8B8">
            <w:pPr>
              <w:pStyle w:val="3"/>
              <w:spacing w:after="0"/>
              <w:jc w:val="left"/>
              <w:rPr>
                <w:rFonts w:ascii="仿宋_GB2312" w:hAnsi="Times New Roman" w:eastAsia="仿宋_GB2312" w:cs="Times New Roman"/>
                <w:sz w:val="24"/>
              </w:rPr>
            </w:pPr>
            <w:r>
              <w:rPr>
                <w:rFonts w:hint="eastAsia" w:ascii="仿宋_GB2312" w:hAnsi="Times New Roman" w:eastAsia="仿宋_GB2312" w:cs="Times New Roman"/>
                <w:sz w:val="24"/>
              </w:rPr>
              <w:t>广西</w:t>
            </w:r>
            <w:r>
              <w:rPr>
                <w:rFonts w:ascii="仿宋_GB2312" w:hAnsi="Times New Roman" w:eastAsia="仿宋_GB2312" w:cs="Times New Roman"/>
                <w:sz w:val="24"/>
              </w:rPr>
              <w:t>南宁市</w:t>
            </w:r>
            <w:r>
              <w:rPr>
                <w:rFonts w:hint="eastAsia" w:ascii="仿宋_GB2312" w:hAnsi="Times New Roman" w:eastAsia="仿宋_GB2312" w:cs="Times New Roman"/>
                <w:sz w:val="24"/>
              </w:rPr>
              <w:t>兴宁区</w:t>
            </w:r>
            <w:r>
              <w:rPr>
                <w:rFonts w:ascii="仿宋_GB2312" w:hAnsi="Times New Roman" w:eastAsia="仿宋_GB2312" w:cs="Times New Roman"/>
                <w:sz w:val="24"/>
              </w:rPr>
              <w:t>昆仑大道</w:t>
            </w:r>
            <w:r>
              <w:rPr>
                <w:rFonts w:hint="eastAsia" w:ascii="仿宋_GB2312" w:hAnsi="Times New Roman" w:eastAsia="仿宋_GB2312" w:cs="Times New Roman"/>
                <w:sz w:val="24"/>
              </w:rPr>
              <w:t>8号</w:t>
            </w:r>
            <w:r>
              <w:rPr>
                <w:rFonts w:ascii="仿宋_GB2312" w:hAnsi="Times New Roman" w:eastAsia="仿宋_GB2312" w:cs="Times New Roman"/>
                <w:sz w:val="24"/>
              </w:rPr>
              <w:t>广西卫生职业技术学院昆仑校区</w:t>
            </w:r>
          </w:p>
        </w:tc>
        <w:tc>
          <w:tcPr>
            <w:tcW w:w="992" w:type="dxa"/>
            <w:vAlign w:val="center"/>
          </w:tcPr>
          <w:p w14:paraId="1EE7110B">
            <w:pPr>
              <w:pStyle w:val="3"/>
              <w:spacing w:after="0"/>
              <w:jc w:val="center"/>
              <w:rPr>
                <w:rFonts w:ascii="仿宋_GB2312" w:hAnsi="宋体" w:eastAsia="仿宋_GB2312" w:cs="Times New Roman"/>
                <w:sz w:val="24"/>
              </w:rPr>
            </w:pPr>
          </w:p>
        </w:tc>
        <w:tc>
          <w:tcPr>
            <w:tcW w:w="748" w:type="dxa"/>
            <w:vAlign w:val="center"/>
          </w:tcPr>
          <w:p w14:paraId="218592C3">
            <w:pPr>
              <w:pStyle w:val="3"/>
              <w:spacing w:after="0"/>
              <w:jc w:val="center"/>
              <w:rPr>
                <w:rFonts w:ascii="仿宋_GB2312" w:hAnsi="宋体" w:eastAsia="仿宋_GB2312" w:cs="Times New Roman"/>
                <w:sz w:val="24"/>
              </w:rPr>
            </w:pPr>
          </w:p>
        </w:tc>
      </w:tr>
      <w:tr w14:paraId="1DCD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12554CF3">
            <w:pPr>
              <w:jc w:val="center"/>
              <w:rPr>
                <w:rFonts w:ascii="仿宋_GB2312" w:hAnsi="宋体" w:eastAsia="仿宋_GB2312"/>
                <w:sz w:val="24"/>
              </w:rPr>
            </w:pPr>
            <w:r>
              <w:rPr>
                <w:rFonts w:hint="eastAsia" w:ascii="仿宋_GB2312" w:hAnsi="宋体" w:eastAsia="仿宋_GB2312"/>
                <w:sz w:val="24"/>
              </w:rPr>
              <w:t>履约保证金</w:t>
            </w:r>
          </w:p>
          <w:p w14:paraId="6D75C537">
            <w:pPr>
              <w:pStyle w:val="3"/>
              <w:jc w:val="center"/>
              <w:rPr>
                <w:rFonts w:ascii="仿宋_GB2312" w:hAnsi="宋体" w:eastAsia="仿宋_GB2312" w:cs="Times New Roman"/>
                <w:sz w:val="24"/>
              </w:rPr>
            </w:pPr>
          </w:p>
        </w:tc>
        <w:tc>
          <w:tcPr>
            <w:tcW w:w="6379" w:type="dxa"/>
            <w:gridSpan w:val="4"/>
            <w:vAlign w:val="center"/>
          </w:tcPr>
          <w:p w14:paraId="7EB7F789">
            <w:pPr>
              <w:pStyle w:val="3"/>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1.按本项目成交总金额的</w:t>
            </w:r>
            <w:r>
              <w:rPr>
                <w:rFonts w:ascii="仿宋_GB2312" w:hAnsi="宋体" w:eastAsia="仿宋_GB2312" w:cs="Times New Roman"/>
                <w:color w:val="000000"/>
                <w:sz w:val="24"/>
              </w:rPr>
              <w:t>2</w:t>
            </w:r>
            <w:r>
              <w:rPr>
                <w:rFonts w:hint="eastAsia" w:ascii="仿宋_GB2312" w:hAnsi="宋体" w:eastAsia="仿宋_GB2312" w:cs="Times New Roman"/>
                <w:color w:val="000000"/>
                <w:sz w:val="24"/>
              </w:rPr>
              <w:t>%，成交供应商须在签订合同前交至指定账户。</w:t>
            </w:r>
          </w:p>
          <w:p w14:paraId="72A02E83">
            <w:pPr>
              <w:pStyle w:val="3"/>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2.履约保证金递交方式：银行转账（备注</w:t>
            </w:r>
            <w:r>
              <w:rPr>
                <w:rFonts w:ascii="仿宋_GB2312" w:hAnsi="宋体" w:eastAsia="仿宋_GB2312" w:cs="Times New Roman"/>
                <w:color w:val="000000"/>
                <w:sz w:val="24"/>
              </w:rPr>
              <w:t>投影机</w:t>
            </w:r>
            <w:r>
              <w:rPr>
                <w:rFonts w:hint="eastAsia" w:ascii="仿宋_GB2312" w:hAnsi="宋体" w:eastAsia="仿宋_GB2312" w:cs="Times New Roman"/>
                <w:color w:val="000000"/>
                <w:sz w:val="24"/>
              </w:rPr>
              <w:t>）</w:t>
            </w:r>
          </w:p>
          <w:p w14:paraId="06255F97">
            <w:pPr>
              <w:pStyle w:val="3"/>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履约保证金指定账户：</w:t>
            </w:r>
          </w:p>
          <w:p w14:paraId="16FE63E7">
            <w:pPr>
              <w:pStyle w:val="3"/>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开户名称：广西卫生职业</w:t>
            </w:r>
            <w:r>
              <w:rPr>
                <w:rFonts w:ascii="仿宋_GB2312" w:hAnsi="宋体" w:eastAsia="仿宋_GB2312" w:cs="Times New Roman"/>
                <w:color w:val="000000"/>
                <w:sz w:val="24"/>
              </w:rPr>
              <w:t>技术</w:t>
            </w:r>
            <w:r>
              <w:rPr>
                <w:rFonts w:hint="eastAsia" w:ascii="仿宋_GB2312" w:hAnsi="宋体" w:eastAsia="仿宋_GB2312" w:cs="Times New Roman"/>
                <w:color w:val="000000"/>
                <w:sz w:val="24"/>
              </w:rPr>
              <w:t>学院</w:t>
            </w:r>
          </w:p>
          <w:p w14:paraId="384B4865">
            <w:pPr>
              <w:pStyle w:val="3"/>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开户银行：工行南宁市桃源</w:t>
            </w:r>
            <w:r>
              <w:rPr>
                <w:rFonts w:ascii="仿宋_GB2312" w:hAnsi="宋体" w:eastAsia="仿宋_GB2312" w:cs="Times New Roman"/>
                <w:color w:val="000000"/>
                <w:sz w:val="24"/>
              </w:rPr>
              <w:t>支行</w:t>
            </w:r>
          </w:p>
          <w:p w14:paraId="12E5A4BD">
            <w:pPr>
              <w:pStyle w:val="3"/>
              <w:jc w:val="left"/>
              <w:rPr>
                <w:rFonts w:ascii="仿宋_GB2312" w:hAnsi="宋体" w:eastAsia="仿宋_GB2312"/>
                <w:color w:val="000000"/>
                <w:sz w:val="24"/>
              </w:rPr>
            </w:pPr>
            <w:r>
              <w:rPr>
                <w:rFonts w:hint="eastAsia" w:ascii="仿宋_GB2312" w:hAnsi="宋体" w:eastAsia="仿宋_GB2312"/>
                <w:color w:val="000000"/>
                <w:sz w:val="24"/>
              </w:rPr>
              <w:t>银行账号：</w:t>
            </w:r>
            <w:r>
              <w:rPr>
                <w:rFonts w:ascii="仿宋_GB2312" w:hAnsi="宋体" w:eastAsia="仿宋_GB2312"/>
                <w:color w:val="000000"/>
                <w:sz w:val="24"/>
              </w:rPr>
              <w:t>2102108009264002953</w:t>
            </w:r>
          </w:p>
          <w:p w14:paraId="6CB98BE7">
            <w:pPr>
              <w:pStyle w:val="3"/>
              <w:jc w:val="left"/>
              <w:rPr>
                <w:rFonts w:ascii="仿宋_GB2312" w:hAnsi="宋体" w:eastAsia="仿宋_GB2312" w:cs="Times New Roman"/>
                <w:sz w:val="24"/>
              </w:rPr>
            </w:pPr>
            <w:r>
              <w:rPr>
                <w:rFonts w:ascii="仿宋_GB2312" w:hAnsi="宋体" w:eastAsia="仿宋_GB2312"/>
                <w:color w:val="000000"/>
                <w:sz w:val="24"/>
              </w:rPr>
              <w:t>3.</w:t>
            </w:r>
            <w:r>
              <w:rPr>
                <w:rFonts w:hint="eastAsia" w:ascii="仿宋_GB2312" w:hAnsi="宋体" w:eastAsia="仿宋_GB2312"/>
                <w:color w:val="000000"/>
                <w:sz w:val="24"/>
              </w:rPr>
              <w:t>退还期限</w:t>
            </w:r>
            <w:r>
              <w:rPr>
                <w:rFonts w:ascii="仿宋_GB2312" w:hAnsi="宋体" w:eastAsia="仿宋_GB2312"/>
                <w:color w:val="000000"/>
                <w:sz w:val="24"/>
              </w:rPr>
              <w:t>：</w:t>
            </w:r>
            <w:r>
              <w:rPr>
                <w:rFonts w:hint="eastAsia" w:ascii="仿宋_GB2312" w:hAnsi="宋体" w:eastAsia="仿宋_GB2312"/>
                <w:color w:val="000000"/>
                <w:sz w:val="24"/>
              </w:rPr>
              <w:t>于</w:t>
            </w:r>
            <w:r>
              <w:rPr>
                <w:rFonts w:ascii="仿宋_GB2312" w:hAnsi="宋体" w:eastAsia="仿宋_GB2312"/>
                <w:color w:val="000000"/>
                <w:sz w:val="24"/>
              </w:rPr>
              <w:t>项目质保期结束后一个月内</w:t>
            </w:r>
            <w:r>
              <w:rPr>
                <w:rFonts w:hint="eastAsia" w:ascii="仿宋_GB2312" w:hAnsi="宋体" w:eastAsia="仿宋_GB2312"/>
                <w:color w:val="000000"/>
                <w:sz w:val="24"/>
              </w:rPr>
              <w:t>根据</w:t>
            </w:r>
            <w:r>
              <w:rPr>
                <w:rFonts w:ascii="仿宋_GB2312" w:hAnsi="宋体" w:eastAsia="仿宋_GB2312"/>
                <w:color w:val="000000"/>
                <w:sz w:val="24"/>
              </w:rPr>
              <w:t>中标商提交</w:t>
            </w:r>
            <w:r>
              <w:rPr>
                <w:rFonts w:hint="eastAsia" w:ascii="仿宋_GB2312" w:hAnsi="宋体" w:eastAsia="仿宋_GB2312"/>
                <w:color w:val="000000"/>
                <w:sz w:val="24"/>
              </w:rPr>
              <w:t>的退还</w:t>
            </w:r>
            <w:r>
              <w:rPr>
                <w:rFonts w:ascii="仿宋_GB2312" w:hAnsi="宋体" w:eastAsia="仿宋_GB2312"/>
                <w:color w:val="000000"/>
                <w:sz w:val="24"/>
              </w:rPr>
              <w:t>申请</w:t>
            </w:r>
            <w:r>
              <w:rPr>
                <w:rFonts w:hint="eastAsia" w:ascii="仿宋_GB2312" w:hAnsi="宋体" w:eastAsia="仿宋_GB2312"/>
                <w:color w:val="000000"/>
                <w:sz w:val="24"/>
              </w:rPr>
              <w:t>书</w:t>
            </w:r>
            <w:r>
              <w:rPr>
                <w:rFonts w:ascii="仿宋_GB2312" w:hAnsi="宋体" w:eastAsia="仿宋_GB2312"/>
                <w:color w:val="000000"/>
                <w:sz w:val="24"/>
              </w:rPr>
              <w:t>无息退回</w:t>
            </w:r>
            <w:r>
              <w:rPr>
                <w:rFonts w:hint="eastAsia" w:ascii="仿宋_GB2312" w:hAnsi="宋体" w:eastAsia="仿宋_GB2312"/>
                <w:color w:val="000000"/>
                <w:sz w:val="24"/>
              </w:rPr>
              <w:t>。</w:t>
            </w:r>
          </w:p>
        </w:tc>
        <w:tc>
          <w:tcPr>
            <w:tcW w:w="992" w:type="dxa"/>
            <w:vAlign w:val="center"/>
          </w:tcPr>
          <w:p w14:paraId="3260B550">
            <w:pPr>
              <w:pStyle w:val="3"/>
              <w:spacing w:after="0"/>
              <w:jc w:val="center"/>
              <w:rPr>
                <w:rFonts w:ascii="仿宋_GB2312" w:hAnsi="宋体" w:eastAsia="仿宋_GB2312" w:cs="Times New Roman"/>
                <w:sz w:val="24"/>
              </w:rPr>
            </w:pPr>
          </w:p>
        </w:tc>
        <w:tc>
          <w:tcPr>
            <w:tcW w:w="748" w:type="dxa"/>
            <w:vAlign w:val="center"/>
          </w:tcPr>
          <w:p w14:paraId="43187F07">
            <w:pPr>
              <w:pStyle w:val="3"/>
              <w:spacing w:after="0"/>
              <w:jc w:val="center"/>
              <w:rPr>
                <w:rFonts w:ascii="仿宋_GB2312" w:hAnsi="宋体" w:eastAsia="仿宋_GB2312" w:cs="Times New Roman"/>
                <w:sz w:val="24"/>
              </w:rPr>
            </w:pPr>
          </w:p>
        </w:tc>
      </w:tr>
      <w:tr w14:paraId="2B37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0151088D">
            <w:pPr>
              <w:pStyle w:val="3"/>
              <w:jc w:val="center"/>
              <w:rPr>
                <w:rFonts w:ascii="仿宋_GB2312" w:hAnsi="宋体" w:eastAsia="仿宋_GB2312" w:cs="Times New Roman"/>
                <w:sz w:val="24"/>
              </w:rPr>
            </w:pPr>
            <w:r>
              <w:rPr>
                <w:rFonts w:hint="eastAsia" w:ascii="仿宋_GB2312" w:hAnsi="宋体" w:eastAsia="仿宋_GB2312" w:cs="Times New Roman"/>
                <w:sz w:val="24"/>
              </w:rPr>
              <w:t>质量保证</w:t>
            </w:r>
          </w:p>
        </w:tc>
        <w:tc>
          <w:tcPr>
            <w:tcW w:w="6379" w:type="dxa"/>
            <w:gridSpan w:val="4"/>
            <w:vAlign w:val="center"/>
          </w:tcPr>
          <w:p w14:paraId="1CC1A7CC">
            <w:pPr>
              <w:pStyle w:val="3"/>
              <w:jc w:val="left"/>
              <w:rPr>
                <w:rFonts w:ascii="仿宋_GB2312" w:hAnsi="宋体" w:eastAsia="仿宋_GB2312" w:cs="Times New Roman"/>
                <w:sz w:val="24"/>
              </w:rPr>
            </w:pPr>
            <w:r>
              <w:rPr>
                <w:rFonts w:hint="eastAsia" w:ascii="仿宋_GB2312" w:hAnsi="宋体" w:eastAsia="仿宋_GB2312" w:cs="Times New Roman"/>
                <w:sz w:val="24"/>
              </w:rPr>
              <w:t>1．采购货物必须满足采购需求的全部功能，一旦发现与招标参数不符，即使设备已交付使用，采购人有权终止合同，无条件退货，且成交供应商需赔偿采购人的相关损失。</w:t>
            </w:r>
          </w:p>
          <w:p w14:paraId="1BF0264A">
            <w:pPr>
              <w:pStyle w:val="3"/>
              <w:jc w:val="left"/>
              <w:rPr>
                <w:rFonts w:ascii="仿宋_GB2312" w:hAnsi="宋体" w:eastAsia="仿宋_GB2312" w:cs="Times New Roman"/>
                <w:sz w:val="24"/>
              </w:rPr>
            </w:pPr>
            <w:r>
              <w:rPr>
                <w:rFonts w:hint="eastAsia" w:ascii="仿宋_GB2312" w:hAnsi="宋体" w:eastAsia="仿宋_GB2312" w:cs="Times New Roman"/>
                <w:sz w:val="24"/>
              </w:rPr>
              <w:t>2．所提供的货物必须为原装正品且全新未使用，非拆装机、组装机和翻新机（到货核验设备包装与机身上的SN号是否一致，验收时核验机身和系统菜单内SN号是否一致）</w:t>
            </w:r>
          </w:p>
          <w:p w14:paraId="4C4EF4C8">
            <w:pPr>
              <w:pStyle w:val="3"/>
              <w:spacing w:after="0"/>
              <w:jc w:val="left"/>
              <w:rPr>
                <w:rFonts w:ascii="仿宋_GB2312" w:hAnsi="宋体" w:eastAsia="仿宋_GB2312" w:cs="Times New Roman"/>
                <w:sz w:val="24"/>
              </w:rPr>
            </w:pPr>
            <w:r>
              <w:rPr>
                <w:rFonts w:ascii="仿宋_GB2312" w:hAnsi="宋体" w:eastAsia="仿宋_GB2312" w:cs="Times New Roman"/>
                <w:sz w:val="24"/>
              </w:rPr>
              <w:t>3</w:t>
            </w:r>
            <w:r>
              <w:rPr>
                <w:rFonts w:hint="eastAsia" w:ascii="仿宋_GB2312" w:hAnsi="宋体" w:eastAsia="仿宋_GB2312" w:cs="Times New Roman"/>
                <w:sz w:val="24"/>
              </w:rPr>
              <w:t>．为保证核心设备的可靠性服务，按国家有关产品“三包”规定执行“三包”。</w:t>
            </w:r>
          </w:p>
        </w:tc>
        <w:tc>
          <w:tcPr>
            <w:tcW w:w="992" w:type="dxa"/>
            <w:vAlign w:val="center"/>
          </w:tcPr>
          <w:p w14:paraId="0C11806D">
            <w:pPr>
              <w:pStyle w:val="3"/>
              <w:spacing w:after="0"/>
              <w:jc w:val="center"/>
              <w:rPr>
                <w:rFonts w:ascii="仿宋_GB2312" w:hAnsi="宋体" w:eastAsia="仿宋_GB2312" w:cs="Times New Roman"/>
                <w:sz w:val="24"/>
              </w:rPr>
            </w:pPr>
          </w:p>
        </w:tc>
        <w:tc>
          <w:tcPr>
            <w:tcW w:w="748" w:type="dxa"/>
            <w:vAlign w:val="center"/>
          </w:tcPr>
          <w:p w14:paraId="167896A3">
            <w:pPr>
              <w:pStyle w:val="3"/>
              <w:spacing w:after="0"/>
              <w:jc w:val="center"/>
              <w:rPr>
                <w:rFonts w:ascii="仿宋_GB2312" w:hAnsi="宋体" w:eastAsia="仿宋_GB2312" w:cs="Times New Roman"/>
                <w:sz w:val="24"/>
              </w:rPr>
            </w:pPr>
          </w:p>
        </w:tc>
      </w:tr>
      <w:tr w14:paraId="71CA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13A11201">
            <w:pPr>
              <w:pStyle w:val="3"/>
              <w:jc w:val="center"/>
              <w:rPr>
                <w:rFonts w:ascii="仿宋_GB2312" w:hAnsi="宋体" w:eastAsia="仿宋_GB2312" w:cs="Times New Roman"/>
                <w:sz w:val="24"/>
              </w:rPr>
            </w:pPr>
            <w:r>
              <w:rPr>
                <w:rFonts w:hint="eastAsia" w:ascii="仿宋_GB2312" w:hAnsi="宋体" w:eastAsia="仿宋_GB2312" w:cs="Times New Roman"/>
                <w:sz w:val="24"/>
              </w:rPr>
              <w:t>验收条件及标准</w:t>
            </w:r>
          </w:p>
        </w:tc>
        <w:tc>
          <w:tcPr>
            <w:tcW w:w="6379" w:type="dxa"/>
            <w:gridSpan w:val="4"/>
            <w:vAlign w:val="center"/>
          </w:tcPr>
          <w:p w14:paraId="253C75AD">
            <w:pPr>
              <w:rPr>
                <w:rFonts w:ascii="仿宋_GB2312" w:eastAsia="仿宋_GB2312"/>
                <w:sz w:val="24"/>
              </w:rPr>
            </w:pPr>
            <w:r>
              <w:rPr>
                <w:rFonts w:hint="eastAsia" w:ascii="仿宋_GB2312" w:eastAsia="仿宋_GB2312"/>
                <w:sz w:val="24"/>
              </w:rPr>
              <w:t>1.供货安装、调试完毕后，采购人依据采购文件实质要求及成交供应商响应和承诺的技术参数及性能等有关标准进行验收，达不到要求的不予验收，视为产品验收不合格，采购人可解除双方的供货合同，并上报采购监督部门，追究相关法律责任，对造成的损失采购人保留索赔的权利。</w:t>
            </w:r>
          </w:p>
          <w:p w14:paraId="1B7B2200">
            <w:pPr>
              <w:rPr>
                <w:rFonts w:ascii="仿宋_GB2312" w:eastAsia="仿宋_GB2312"/>
                <w:sz w:val="24"/>
              </w:rPr>
            </w:pPr>
            <w:r>
              <w:rPr>
                <w:rFonts w:hint="eastAsia" w:ascii="仿宋_GB2312" w:eastAsia="仿宋_GB2312"/>
                <w:sz w:val="24"/>
              </w:rPr>
              <w:t>2.成交供应商提供的产品必须是原厂生产的正品全新、完整、未使用过的合格产品，产品质量符合国家相关标准和规范，具备正规合法经销渠道。所有产品除满足《政采云反向竞价项目采购需求响应表》要求的技术参数外，其余均按国家标准及生产厂家出厂标准配置。成交供应商提供的产品品牌、型号、规格、技术参数、质量不符合合同规定及采购需求规定标准的，采购人有权拒收该产品。</w:t>
            </w:r>
          </w:p>
          <w:p w14:paraId="5DD41DA9">
            <w:pPr>
              <w:rPr>
                <w:rFonts w:ascii="仿宋_GB2312" w:eastAsia="仿宋_GB2312"/>
                <w:sz w:val="24"/>
              </w:rPr>
            </w:pPr>
            <w:r>
              <w:rPr>
                <w:rFonts w:hint="eastAsia" w:ascii="仿宋_GB2312" w:eastAsia="仿宋_GB2312"/>
                <w:sz w:val="24"/>
              </w:rPr>
              <w:t>3.成交供应商提供的产品必须符合竞标技术参数的标准，一旦发现与招标参数不符，即使设备已交付使用，采购人有权终止合同，无条件退货，且成交供应商需赔偿采购人的相关损失。</w:t>
            </w:r>
          </w:p>
        </w:tc>
        <w:tc>
          <w:tcPr>
            <w:tcW w:w="992" w:type="dxa"/>
            <w:vAlign w:val="center"/>
          </w:tcPr>
          <w:p w14:paraId="2D82B70F">
            <w:pPr>
              <w:widowControl/>
              <w:jc w:val="center"/>
              <w:textAlignment w:val="center"/>
              <w:rPr>
                <w:rFonts w:ascii="仿宋_GB2312" w:hAnsi="宋体" w:eastAsia="仿宋_GB2312"/>
                <w:sz w:val="24"/>
              </w:rPr>
            </w:pPr>
          </w:p>
        </w:tc>
        <w:tc>
          <w:tcPr>
            <w:tcW w:w="748" w:type="dxa"/>
            <w:vAlign w:val="center"/>
          </w:tcPr>
          <w:p w14:paraId="0AB58C0D">
            <w:pPr>
              <w:widowControl/>
              <w:jc w:val="center"/>
              <w:textAlignment w:val="center"/>
              <w:rPr>
                <w:rFonts w:ascii="仿宋_GB2312" w:hAnsi="宋体" w:eastAsia="仿宋_GB2312"/>
                <w:sz w:val="24"/>
              </w:rPr>
            </w:pPr>
          </w:p>
        </w:tc>
      </w:tr>
      <w:tr w14:paraId="5124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7FD51D00">
            <w:pPr>
              <w:pStyle w:val="3"/>
              <w:jc w:val="center"/>
              <w:rPr>
                <w:rFonts w:ascii="仿宋_GB2312" w:hAnsi="宋体" w:eastAsia="仿宋_GB2312" w:cs="Times New Roman"/>
                <w:sz w:val="24"/>
              </w:rPr>
            </w:pPr>
            <w:r>
              <w:rPr>
                <w:rFonts w:hint="eastAsia" w:ascii="仿宋_GB2312" w:hAnsi="宋体" w:eastAsia="仿宋_GB2312" w:cs="Times New Roman"/>
                <w:sz w:val="24"/>
              </w:rPr>
              <w:t>送货方式及保修期</w:t>
            </w:r>
          </w:p>
        </w:tc>
        <w:tc>
          <w:tcPr>
            <w:tcW w:w="6379" w:type="dxa"/>
            <w:gridSpan w:val="4"/>
            <w:vAlign w:val="center"/>
          </w:tcPr>
          <w:p w14:paraId="2DC67AD1">
            <w:pPr>
              <w:widowControl/>
              <w:jc w:val="left"/>
              <w:textAlignment w:val="center"/>
              <w:rPr>
                <w:rFonts w:ascii="仿宋_GB2312" w:hAnsi="宋体" w:eastAsia="仿宋_GB2312"/>
                <w:sz w:val="24"/>
              </w:rPr>
            </w:pPr>
            <w:r>
              <w:rPr>
                <w:rFonts w:hint="eastAsia" w:ascii="仿宋_GB2312" w:hAnsi="宋体" w:eastAsia="仿宋_GB2312"/>
                <w:sz w:val="24"/>
              </w:rPr>
              <w:t>分项有质保要求的按分项质保要求，分项没有质保要求的质保不少于5年，其余按国家有关产品“三包”规定执行“三包”，质保期以通过项目最终验收的验收报告签字日开始计算。</w:t>
            </w:r>
          </w:p>
        </w:tc>
        <w:tc>
          <w:tcPr>
            <w:tcW w:w="992" w:type="dxa"/>
            <w:vAlign w:val="center"/>
          </w:tcPr>
          <w:p w14:paraId="32627A78">
            <w:pPr>
              <w:widowControl/>
              <w:jc w:val="center"/>
              <w:textAlignment w:val="center"/>
              <w:rPr>
                <w:rFonts w:ascii="仿宋_GB2312" w:hAnsi="宋体" w:eastAsia="仿宋_GB2312"/>
                <w:sz w:val="24"/>
              </w:rPr>
            </w:pPr>
          </w:p>
        </w:tc>
        <w:tc>
          <w:tcPr>
            <w:tcW w:w="748" w:type="dxa"/>
            <w:vAlign w:val="center"/>
          </w:tcPr>
          <w:p w14:paraId="07011F92">
            <w:pPr>
              <w:widowControl/>
              <w:jc w:val="center"/>
              <w:textAlignment w:val="center"/>
              <w:rPr>
                <w:rFonts w:ascii="仿宋_GB2312" w:hAnsi="宋体" w:eastAsia="仿宋_GB2312"/>
                <w:sz w:val="24"/>
              </w:rPr>
            </w:pPr>
          </w:p>
        </w:tc>
      </w:tr>
      <w:tr w14:paraId="70F8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0BC90783">
            <w:pPr>
              <w:pStyle w:val="3"/>
              <w:jc w:val="center"/>
              <w:rPr>
                <w:rFonts w:ascii="仿宋_GB2312" w:hAnsi="宋体" w:eastAsia="仿宋_GB2312" w:cs="Times New Roman"/>
                <w:sz w:val="24"/>
              </w:rPr>
            </w:pPr>
            <w:r>
              <w:rPr>
                <w:rFonts w:hint="eastAsia" w:ascii="仿宋_GB2312" w:hAnsi="宋体" w:eastAsia="仿宋_GB2312" w:cs="Times New Roman"/>
                <w:sz w:val="24"/>
              </w:rPr>
              <w:t>售后服务</w:t>
            </w:r>
          </w:p>
        </w:tc>
        <w:tc>
          <w:tcPr>
            <w:tcW w:w="6379" w:type="dxa"/>
            <w:gridSpan w:val="4"/>
            <w:vAlign w:val="center"/>
          </w:tcPr>
          <w:p w14:paraId="3A31D37A">
            <w:pPr>
              <w:widowControl/>
              <w:jc w:val="left"/>
              <w:textAlignment w:val="center"/>
              <w:rPr>
                <w:rFonts w:ascii="仿宋_GB2312" w:hAnsi="宋体" w:eastAsia="仿宋_GB2312"/>
                <w:sz w:val="24"/>
              </w:rPr>
            </w:pPr>
            <w:r>
              <w:rPr>
                <w:rFonts w:hint="eastAsia" w:ascii="仿宋_GB2312" w:hAnsi="宋体" w:eastAsia="仿宋_GB2312"/>
                <w:sz w:val="24"/>
              </w:rPr>
              <w:t>1．免费送货上门，免费安装调试合格；</w:t>
            </w:r>
          </w:p>
          <w:p w14:paraId="248AD394">
            <w:pPr>
              <w:widowControl/>
              <w:jc w:val="left"/>
              <w:textAlignment w:val="center"/>
              <w:rPr>
                <w:rFonts w:ascii="仿宋_GB2312" w:hAnsi="宋体" w:eastAsia="仿宋_GB2312"/>
                <w:sz w:val="24"/>
              </w:rPr>
            </w:pPr>
            <w:r>
              <w:rPr>
                <w:rFonts w:hint="eastAsia" w:ascii="仿宋_GB2312" w:hAnsi="宋体" w:eastAsia="仿宋_GB2312"/>
                <w:sz w:val="24"/>
              </w:rPr>
              <w:t>2．中标供应商必须负责项目设备送货、建设、安装调试与培训，免费提供设备操作培训，提供全套说明书；免费现场培训2～3名相关人员至掌握设备操作及日常维护；</w:t>
            </w:r>
          </w:p>
          <w:p w14:paraId="7CE38996">
            <w:pPr>
              <w:widowControl/>
              <w:jc w:val="left"/>
              <w:textAlignment w:val="center"/>
              <w:rPr>
                <w:rFonts w:ascii="仿宋_GB2312" w:hAnsi="宋体" w:eastAsia="仿宋_GB2312"/>
                <w:sz w:val="24"/>
              </w:rPr>
            </w:pPr>
            <w:r>
              <w:rPr>
                <w:rFonts w:hint="eastAsia" w:ascii="仿宋_GB2312" w:hAnsi="宋体" w:eastAsia="仿宋_GB2312"/>
                <w:sz w:val="24"/>
              </w:rPr>
              <w:t>3．设备如出现故障在接到采购人通知后在30分钟内响应，2</w:t>
            </w:r>
            <w:r>
              <w:rPr>
                <w:rFonts w:ascii="仿宋_GB2312" w:hAnsi="宋体" w:eastAsia="仿宋_GB2312"/>
                <w:sz w:val="24"/>
              </w:rPr>
              <w:t>.5</w:t>
            </w:r>
            <w:r>
              <w:rPr>
                <w:rFonts w:hint="eastAsia" w:ascii="仿宋_GB2312" w:hAnsi="宋体" w:eastAsia="仿宋_GB2312"/>
                <w:sz w:val="24"/>
              </w:rPr>
              <w:t>小时内达到设备交货</w:t>
            </w:r>
            <w:r>
              <w:rPr>
                <w:rFonts w:ascii="仿宋_GB2312" w:hAnsi="宋体" w:eastAsia="仿宋_GB2312"/>
                <w:sz w:val="24"/>
              </w:rPr>
              <w:t>地点</w:t>
            </w:r>
            <w:r>
              <w:rPr>
                <w:rFonts w:hint="eastAsia" w:ascii="仿宋_GB2312" w:hAnsi="宋体" w:eastAsia="仿宋_GB2312"/>
                <w:sz w:val="24"/>
              </w:rPr>
              <w:t>，12小时内解决故障；未能在规定时间内排除故障的，必须在接到采购人通知后48小时内提供同档次的备用机并提交故障解决处理方案；</w:t>
            </w:r>
          </w:p>
          <w:p w14:paraId="57CECE46">
            <w:pPr>
              <w:widowControl/>
              <w:jc w:val="left"/>
              <w:textAlignment w:val="center"/>
              <w:rPr>
                <w:rFonts w:ascii="仿宋_GB2312" w:hAnsi="宋体" w:eastAsia="仿宋_GB2312"/>
                <w:sz w:val="24"/>
              </w:rPr>
            </w:pPr>
            <w:r>
              <w:rPr>
                <w:rFonts w:hint="eastAsia" w:ascii="仿宋_GB2312" w:hAnsi="宋体" w:eastAsia="仿宋_GB2312"/>
                <w:sz w:val="24"/>
              </w:rPr>
              <w:t>4.服务质量担保：</w:t>
            </w:r>
          </w:p>
          <w:p w14:paraId="33CC342A">
            <w:pPr>
              <w:widowControl/>
              <w:jc w:val="left"/>
              <w:textAlignment w:val="center"/>
              <w:rPr>
                <w:rFonts w:ascii="仿宋_GB2312" w:hAnsi="宋体" w:eastAsia="仿宋_GB2312"/>
                <w:sz w:val="24"/>
              </w:rPr>
            </w:pPr>
            <w:r>
              <w:rPr>
                <w:rFonts w:hint="eastAsia" w:ascii="仿宋_GB2312" w:hAnsi="宋体" w:eastAsia="仿宋_GB2312"/>
                <w:sz w:val="24"/>
              </w:rPr>
              <w:t>（1）设备故障后2小时内未响应，每次扣减1%履约保证金</w:t>
            </w:r>
          </w:p>
          <w:p w14:paraId="1730BB9C">
            <w:pPr>
              <w:widowControl/>
              <w:jc w:val="left"/>
              <w:textAlignment w:val="center"/>
              <w:rPr>
                <w:rFonts w:ascii="仿宋_GB2312" w:hAnsi="宋体" w:eastAsia="仿宋_GB2312"/>
                <w:sz w:val="24"/>
              </w:rPr>
            </w:pPr>
            <w:r>
              <w:rPr>
                <w:rFonts w:hint="eastAsia" w:ascii="仿宋_GB2312" w:hAnsi="宋体" w:eastAsia="仿宋_GB2312"/>
                <w:sz w:val="24"/>
              </w:rPr>
              <w:t>（2）故障修复超24小时且</w:t>
            </w:r>
            <w:r>
              <w:rPr>
                <w:rFonts w:ascii="仿宋_GB2312" w:hAnsi="宋体" w:eastAsia="仿宋_GB2312"/>
                <w:sz w:val="24"/>
              </w:rPr>
              <w:t>无法提供同档次备用机</w:t>
            </w:r>
            <w:r>
              <w:rPr>
                <w:rFonts w:hint="eastAsia" w:ascii="仿宋_GB2312" w:hAnsi="宋体" w:eastAsia="仿宋_GB2312"/>
                <w:sz w:val="24"/>
              </w:rPr>
              <w:t>，每日扣减2%履约保证金”</w:t>
            </w:r>
          </w:p>
          <w:p w14:paraId="402241DE">
            <w:pPr>
              <w:widowControl/>
              <w:jc w:val="left"/>
              <w:textAlignment w:val="center"/>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．提供每年</w:t>
            </w:r>
            <w:r>
              <w:rPr>
                <w:rFonts w:ascii="仿宋_GB2312" w:hAnsi="宋体" w:eastAsia="仿宋_GB2312"/>
                <w:sz w:val="24"/>
              </w:rPr>
              <w:t>两次的</w:t>
            </w:r>
            <w:r>
              <w:rPr>
                <w:rFonts w:hint="eastAsia" w:ascii="仿宋_GB2312" w:hAnsi="宋体" w:eastAsia="仿宋_GB2312"/>
                <w:sz w:val="24"/>
              </w:rPr>
              <w:t>定期回访及巡检服务；</w:t>
            </w:r>
          </w:p>
          <w:p w14:paraId="7786F875">
            <w:pPr>
              <w:widowControl/>
              <w:jc w:val="left"/>
              <w:textAlignment w:val="center"/>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．项目供货及安装过程中产生的残留物或垃圾，需由中标供应商自行清理至校外且</w:t>
            </w:r>
            <w:r>
              <w:rPr>
                <w:rFonts w:ascii="仿宋_GB2312" w:hAnsi="宋体" w:eastAsia="仿宋_GB2312"/>
                <w:sz w:val="24"/>
              </w:rPr>
              <w:t>符合</w:t>
            </w:r>
            <w:r>
              <w:rPr>
                <w:rFonts w:hint="eastAsia" w:ascii="仿宋_GB2312" w:hAnsi="宋体" w:eastAsia="仿宋_GB2312"/>
                <w:sz w:val="24"/>
              </w:rPr>
              <w:t>国家有关部门允许堆放的</w:t>
            </w:r>
            <w:r>
              <w:rPr>
                <w:rFonts w:ascii="仿宋_GB2312" w:hAnsi="宋体" w:eastAsia="仿宋_GB2312"/>
                <w:sz w:val="24"/>
              </w:rPr>
              <w:t>地方</w:t>
            </w:r>
            <w:r>
              <w:rPr>
                <w:rFonts w:hint="eastAsia" w:ascii="仿宋_GB2312" w:hAnsi="宋体" w:eastAsia="仿宋_GB2312"/>
                <w:sz w:val="24"/>
              </w:rPr>
              <w:t>，产品包装箱及有关产品说明书等处置需经采购人确认后处理。</w:t>
            </w:r>
          </w:p>
        </w:tc>
        <w:tc>
          <w:tcPr>
            <w:tcW w:w="992" w:type="dxa"/>
            <w:vAlign w:val="center"/>
          </w:tcPr>
          <w:p w14:paraId="0FF6A01C">
            <w:pPr>
              <w:widowControl/>
              <w:jc w:val="center"/>
              <w:textAlignment w:val="center"/>
              <w:rPr>
                <w:rFonts w:ascii="仿宋_GB2312" w:hAnsi="宋体" w:eastAsia="仿宋_GB2312"/>
                <w:sz w:val="24"/>
              </w:rPr>
            </w:pPr>
          </w:p>
        </w:tc>
        <w:tc>
          <w:tcPr>
            <w:tcW w:w="748" w:type="dxa"/>
            <w:vAlign w:val="center"/>
          </w:tcPr>
          <w:p w14:paraId="0369128A">
            <w:pPr>
              <w:widowControl/>
              <w:jc w:val="center"/>
              <w:textAlignment w:val="center"/>
              <w:rPr>
                <w:rFonts w:ascii="仿宋_GB2312" w:hAnsi="宋体" w:eastAsia="仿宋_GB2312"/>
                <w:sz w:val="24"/>
              </w:rPr>
            </w:pPr>
          </w:p>
        </w:tc>
      </w:tr>
      <w:tr w14:paraId="174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10522D87">
            <w:pPr>
              <w:pStyle w:val="3"/>
              <w:jc w:val="center"/>
              <w:rPr>
                <w:rFonts w:ascii="仿宋_GB2312" w:hAnsi="宋体" w:eastAsia="仿宋_GB2312" w:cs="Times New Roman"/>
                <w:sz w:val="24"/>
              </w:rPr>
            </w:pPr>
            <w:r>
              <w:rPr>
                <w:rFonts w:hint="eastAsia" w:ascii="仿宋_GB2312" w:hAnsi="宋体" w:eastAsia="仿宋_GB2312" w:cs="Times New Roman"/>
                <w:sz w:val="24"/>
              </w:rPr>
              <w:t>违约责任</w:t>
            </w:r>
          </w:p>
        </w:tc>
        <w:tc>
          <w:tcPr>
            <w:tcW w:w="6379" w:type="dxa"/>
            <w:gridSpan w:val="4"/>
            <w:vAlign w:val="center"/>
          </w:tcPr>
          <w:p w14:paraId="16B87198">
            <w:pPr>
              <w:widowControl/>
              <w:jc w:val="left"/>
              <w:textAlignment w:val="center"/>
              <w:rPr>
                <w:rFonts w:ascii="仿宋_GB2312" w:hAnsi="宋体" w:eastAsia="仿宋_GB2312"/>
                <w:sz w:val="24"/>
              </w:rPr>
            </w:pPr>
            <w:r>
              <w:rPr>
                <w:rFonts w:hint="eastAsia" w:ascii="仿宋_GB2312" w:hAnsi="宋体" w:eastAsia="仿宋_GB2312"/>
                <w:sz w:val="24"/>
              </w:rPr>
              <w:t>1.</w:t>
            </w:r>
            <w:bookmarkStart w:id="0" w:name="OLE_LINK1"/>
            <w:bookmarkStart w:id="1" w:name="OLE_LINK2"/>
            <w:r>
              <w:rPr>
                <w:rFonts w:hint="eastAsia" w:ascii="仿宋_GB2312" w:hAnsi="宋体" w:eastAsia="仿宋_GB2312"/>
                <w:sz w:val="24"/>
              </w:rPr>
              <w:t>若乙方最终未按采购文件要求和响应文件承诺提供相应产品，甲方将不予验收并可以单方面终止合同、没收履约保证金，而且由乙方按合同总金额的30%承担违约责任，并承担甲方在实现其合同权利过程中可能产生的实际损失包括但不限于直接损失、预期利益损失、甲方向第三人支付的违约金、赔偿金及甲方为索赔支出的诉讼费、律师费、公证费、保全费、担保费、鉴定费、评估费等全部费用。</w:t>
            </w:r>
          </w:p>
          <w:bookmarkEnd w:id="0"/>
          <w:bookmarkEnd w:id="1"/>
          <w:p w14:paraId="3BF97495">
            <w:pPr>
              <w:widowControl/>
              <w:jc w:val="left"/>
              <w:textAlignment w:val="center"/>
              <w:rPr>
                <w:rFonts w:ascii="仿宋_GB2312" w:hAnsi="宋体" w:eastAsia="仿宋_GB2312"/>
                <w:sz w:val="24"/>
              </w:rPr>
            </w:pPr>
            <w:r>
              <w:rPr>
                <w:rFonts w:hint="eastAsia" w:ascii="仿宋_GB2312" w:hAnsi="宋体" w:eastAsia="仿宋_GB2312"/>
                <w:sz w:val="24"/>
              </w:rPr>
              <w:t>2.若乙方在合同履约过程中存在被判定有刑事违法犯罪行为（包括但不限于行贿受贿等）情形，甲方可以单方面终止合同、没收履约保证金并按本合同总金额的30%收取违约金。乙方需无条件配合甲方遵守执行此条款。</w:t>
            </w:r>
          </w:p>
          <w:p w14:paraId="7CB6CDAF">
            <w:pPr>
              <w:widowControl/>
              <w:jc w:val="left"/>
              <w:textAlignment w:val="center"/>
              <w:rPr>
                <w:rFonts w:ascii="仿宋_GB2312" w:hAnsi="宋体" w:eastAsia="仿宋_GB2312"/>
                <w:sz w:val="24"/>
              </w:rPr>
            </w:pPr>
            <w:r>
              <w:rPr>
                <w:rFonts w:hint="eastAsia" w:ascii="仿宋_GB2312" w:hAnsi="宋体" w:eastAsia="仿宋_GB2312"/>
                <w:sz w:val="24"/>
              </w:rPr>
              <w:t>3.若乙方未按本合同约定或甲方发货通知要求的期限交货、安装或完成本合同约定的其他工作的，每逾期一天，乙方应按本合同总价款的万分之五向甲方支付违约金，违约金上限为合同总价的30%；逾期15天，甲方有权单方解除本合同并要求支付合同总金额10%的违约金。若甲方未按本合同约定无故延期接收货物或支付货款的，每逾期一天，甲方应按本合同总价款的万分之五向乙方支付违约金，违约金上限为合同总价的30%；逾期15天，乙方有权单方解除本合同并要求支付合同总金额10%的违约金。</w:t>
            </w:r>
          </w:p>
          <w:p w14:paraId="10C2EF94">
            <w:pPr>
              <w:widowControl/>
              <w:jc w:val="left"/>
              <w:textAlignment w:val="center"/>
              <w:rPr>
                <w:rFonts w:ascii="仿宋_GB2312" w:hAnsi="宋体" w:eastAsia="仿宋_GB2312"/>
                <w:sz w:val="24"/>
              </w:rPr>
            </w:pPr>
            <w:r>
              <w:rPr>
                <w:rFonts w:hint="eastAsia" w:ascii="仿宋_GB2312" w:hAnsi="宋体" w:eastAsia="仿宋_GB2312"/>
                <w:sz w:val="24"/>
              </w:rPr>
              <w:t>4.经过甲方验收，乙方交付的产品数量、包装、规格、品牌、质量、随附单证等与合同约定不一致的，视为交付不合格，甲方有权采取下列任何一种措施追究乙方违约责任：</w:t>
            </w:r>
          </w:p>
          <w:p w14:paraId="567F4793">
            <w:pPr>
              <w:widowControl/>
              <w:jc w:val="left"/>
              <w:textAlignment w:val="center"/>
              <w:rPr>
                <w:rFonts w:ascii="仿宋_GB2312" w:hAnsi="宋体" w:eastAsia="仿宋_GB2312"/>
                <w:sz w:val="24"/>
              </w:rPr>
            </w:pPr>
            <w:r>
              <w:rPr>
                <w:rFonts w:hint="eastAsia" w:ascii="仿宋_GB2312" w:hAnsi="宋体" w:eastAsia="仿宋_GB2312"/>
                <w:sz w:val="24"/>
              </w:rPr>
              <w:t>（1）拒绝接受不合格产品，要求乙方在5日内无条件更换、补足或修理、重做，由此产生的费用由乙方承担，因此延误交货期的乙方承担相应的违约责任，逾期15日仍未更换、补足或更换、补足后仍不符合合同约定的，甲方有权选择单方解除本合同或部分解除本合同并要求乙方支付解除合同部分价款30%作为违约金；</w:t>
            </w:r>
          </w:p>
          <w:p w14:paraId="786E83A1">
            <w:pPr>
              <w:widowControl/>
              <w:jc w:val="left"/>
              <w:textAlignment w:val="center"/>
              <w:rPr>
                <w:rFonts w:ascii="仿宋_GB2312" w:hAnsi="宋体" w:eastAsia="仿宋_GB2312"/>
                <w:sz w:val="24"/>
              </w:rPr>
            </w:pPr>
            <w:r>
              <w:rPr>
                <w:rFonts w:hint="eastAsia" w:ascii="仿宋_GB2312" w:hAnsi="宋体" w:eastAsia="仿宋_GB2312"/>
                <w:sz w:val="24"/>
              </w:rPr>
              <w:t>（2）已经接收的产品要求乙方在5日内无条件退货并退还甲方已支付的全部价款并支付退货部分价款30%的违约金；</w:t>
            </w:r>
          </w:p>
          <w:p w14:paraId="6CD9886F">
            <w:pPr>
              <w:widowControl/>
              <w:jc w:val="left"/>
              <w:textAlignment w:val="center"/>
              <w:rPr>
                <w:rFonts w:ascii="仿宋_GB2312" w:hAnsi="宋体" w:eastAsia="仿宋_GB2312"/>
                <w:sz w:val="24"/>
              </w:rPr>
            </w:pPr>
            <w:r>
              <w:rPr>
                <w:rFonts w:hint="eastAsia" w:ascii="仿宋_GB2312" w:hAnsi="宋体" w:eastAsia="仿宋_GB2312"/>
                <w:sz w:val="24"/>
              </w:rPr>
              <w:t>（3）选择不退换货的，甲方有权根据情况以质论价减少价款并要求乙方支付本合同总金额的30%作为违约金。</w:t>
            </w:r>
          </w:p>
          <w:p w14:paraId="303AE439">
            <w:pPr>
              <w:widowControl/>
              <w:jc w:val="left"/>
              <w:textAlignment w:val="center"/>
              <w:rPr>
                <w:rFonts w:ascii="仿宋_GB2312" w:hAnsi="宋体" w:eastAsia="仿宋_GB2312"/>
                <w:sz w:val="24"/>
              </w:rPr>
            </w:pPr>
            <w:r>
              <w:rPr>
                <w:rFonts w:hint="eastAsia" w:ascii="仿宋_GB2312" w:hAnsi="宋体" w:eastAsia="仿宋_GB2312"/>
                <w:sz w:val="24"/>
              </w:rPr>
              <w:t>5.乙方对其交付产品的质量承担保证责任，因产品设计、生产、存储、运输、工艺、材料缺陷或安装、质保不当等原因发生质量故障的，无论产品的保修期是否经过，均由乙方承担责任，赔偿由此给甲方、第三人造成的全部损失。</w:t>
            </w:r>
          </w:p>
          <w:p w14:paraId="12C97FE4">
            <w:pPr>
              <w:widowControl/>
              <w:jc w:val="left"/>
              <w:textAlignment w:val="center"/>
              <w:rPr>
                <w:rFonts w:ascii="仿宋_GB2312" w:hAnsi="宋体" w:eastAsia="仿宋_GB2312"/>
                <w:sz w:val="24"/>
              </w:rPr>
            </w:pPr>
            <w:r>
              <w:rPr>
                <w:rFonts w:hint="eastAsia" w:ascii="仿宋_GB2312" w:hAnsi="宋体" w:eastAsia="仿宋_GB2312"/>
                <w:sz w:val="24"/>
              </w:rPr>
              <w:t>6.乙方应当保证有权销售本合同的所有产品，不会因此侵犯到第三人的所有权、知识产权等一切权利也未对产品设置任何负担，属于第三人拥有知识产权的已经取得第三人合法授权，甲方有权不受限制的使用。若因违反本款约定引起的第三方权利纠纷的由乙方负责解决，包括甲方使用该产品所需的授权费以及解决争议发生的一切费用（包括但不限于诉讼费、律师费、公证费、保全费、担保费、鉴定费、评估费等全部费用）均由乙方承担。如果不能取得使用许可需要另行购买产品的，所需费用由乙方承担，并赔偿甲方因此受到的损失。</w:t>
            </w:r>
          </w:p>
          <w:p w14:paraId="2084945D">
            <w:pPr>
              <w:widowControl/>
              <w:jc w:val="left"/>
              <w:textAlignment w:val="center"/>
              <w:rPr>
                <w:rFonts w:ascii="仿宋_GB2312" w:hAnsi="宋体" w:eastAsia="仿宋_GB2312"/>
                <w:sz w:val="24"/>
              </w:rPr>
            </w:pPr>
            <w:r>
              <w:rPr>
                <w:rFonts w:hint="eastAsia" w:ascii="仿宋_GB2312" w:hAnsi="宋体" w:eastAsia="仿宋_GB2312"/>
                <w:sz w:val="24"/>
              </w:rPr>
              <w:t>7.本合同签订及履行过程中，未经甲方书面同意，乙方不得将本合同的权利义务以任何方式转让给第三人，否则甲方有权单方解除本合同并要求乙方支付合同总金额30%的违约金。</w:t>
            </w:r>
          </w:p>
          <w:p w14:paraId="0E0089D8">
            <w:pPr>
              <w:widowControl/>
              <w:jc w:val="left"/>
              <w:textAlignment w:val="center"/>
              <w:rPr>
                <w:rFonts w:ascii="仿宋_GB2312" w:hAnsi="宋体" w:eastAsia="仿宋_GB2312"/>
                <w:sz w:val="24"/>
              </w:rPr>
            </w:pPr>
            <w:r>
              <w:rPr>
                <w:rFonts w:hint="eastAsia" w:ascii="仿宋_GB2312" w:hAnsi="宋体" w:eastAsia="仿宋_GB2312"/>
                <w:sz w:val="24"/>
              </w:rPr>
              <w:t>8.本合同签订后，乙方要求提前解除合同的，应向甲方支付本合同总金额30%的违约金，退还甲方已支付的全部费用并赔偿由此给甲方造成的全部损失。</w:t>
            </w:r>
          </w:p>
          <w:p w14:paraId="70F880B6">
            <w:pPr>
              <w:widowControl/>
              <w:jc w:val="left"/>
              <w:textAlignment w:val="center"/>
              <w:rPr>
                <w:rFonts w:ascii="仿宋_GB2312" w:hAnsi="宋体" w:eastAsia="仿宋_GB2312"/>
                <w:sz w:val="24"/>
              </w:rPr>
            </w:pPr>
            <w:r>
              <w:rPr>
                <w:rFonts w:hint="eastAsia" w:ascii="仿宋_GB2312" w:hAnsi="宋体" w:eastAsia="仿宋_GB2312"/>
                <w:sz w:val="24"/>
              </w:rPr>
              <w:t>9.若乙方违反保密义务，应向甲方支付本合同总金额30%的违约金，并赔偿甲方因此遭受的全部损失。</w:t>
            </w:r>
          </w:p>
          <w:p w14:paraId="7FCE3A35">
            <w:pPr>
              <w:widowControl/>
              <w:jc w:val="left"/>
              <w:textAlignment w:val="center"/>
              <w:rPr>
                <w:rFonts w:ascii="仿宋_GB2312" w:hAnsi="宋体" w:eastAsia="仿宋_GB2312"/>
                <w:sz w:val="24"/>
              </w:rPr>
            </w:pPr>
            <w:r>
              <w:rPr>
                <w:rFonts w:hint="eastAsia" w:ascii="仿宋_GB2312" w:hAnsi="宋体" w:eastAsia="仿宋_GB2312"/>
                <w:sz w:val="24"/>
              </w:rPr>
              <w:t>10.乙方应当支付给甲方的违约金、赔偿金，甲方有权从履约保证金（如有）及未支付的货款中扣除，违约金不足以赔偿给甲方造成损失的，甲方仍有权向乙方进行追偿。</w:t>
            </w:r>
          </w:p>
          <w:p w14:paraId="63CDF9EF">
            <w:pPr>
              <w:widowControl/>
              <w:jc w:val="left"/>
              <w:textAlignment w:val="center"/>
              <w:rPr>
                <w:rFonts w:ascii="仿宋_GB2312" w:hAnsi="宋体" w:eastAsia="仿宋_GB2312"/>
                <w:sz w:val="24"/>
              </w:rPr>
            </w:pPr>
            <w:r>
              <w:rPr>
                <w:rFonts w:hint="eastAsia" w:ascii="仿宋_GB2312" w:hAnsi="宋体" w:eastAsia="仿宋_GB2312"/>
                <w:sz w:val="24"/>
              </w:rPr>
              <w:t>11.按本合同约定甲方解除合同的，自甲方解除合同的书面通知送达乙方之日起合同解除，乙方应赔偿由此给甲方造成的全部损失。甲方不支付乙方任何费用。乙方应当退还甲方支付的所有费用（如有）和按合同约定应付的违约金及赔偿金等费用，并在合同解除后的5日内自费运回所交付的货物。</w:t>
            </w:r>
          </w:p>
          <w:p w14:paraId="3234E3A2">
            <w:pPr>
              <w:widowControl/>
              <w:jc w:val="left"/>
              <w:textAlignment w:val="center"/>
              <w:rPr>
                <w:rFonts w:ascii="仿宋_GB2312" w:hAnsi="宋体" w:eastAsia="仿宋_GB2312"/>
                <w:sz w:val="24"/>
              </w:rPr>
            </w:pPr>
            <w:r>
              <w:rPr>
                <w:rFonts w:hint="eastAsia" w:ascii="仿宋_GB2312" w:hAnsi="宋体" w:eastAsia="仿宋_GB2312"/>
                <w:sz w:val="24"/>
              </w:rPr>
              <w:t>12.乙方违反本合同约定或法律规定的，应当赔偿给甲方造成的全部损失，包括但不限于直接损失、预期利益损失、甲方向第三人支付的违约金、赔偿金及甲方为索赔支出的诉讼费、律师费、公证费、保全费、担保费、鉴定费、评估费等全部费</w:t>
            </w:r>
            <w:r>
              <w:rPr>
                <w:rFonts w:hint="eastAsia" w:ascii="宋体" w:hAnsi="宋体" w:cs="宋体"/>
                <w:color w:val="000000" w:themeColor="text1"/>
                <w:szCs w:val="21"/>
                <w14:textFill>
                  <w14:solidFill>
                    <w14:schemeClr w14:val="tx1"/>
                  </w14:solidFill>
                </w14:textFill>
              </w:rPr>
              <w:t>用。</w:t>
            </w:r>
          </w:p>
        </w:tc>
        <w:tc>
          <w:tcPr>
            <w:tcW w:w="992" w:type="dxa"/>
            <w:vAlign w:val="center"/>
          </w:tcPr>
          <w:p w14:paraId="3708950F">
            <w:pPr>
              <w:widowControl/>
              <w:jc w:val="center"/>
              <w:textAlignment w:val="center"/>
              <w:rPr>
                <w:rFonts w:ascii="仿宋_GB2312" w:hAnsi="宋体" w:eastAsia="仿宋_GB2312"/>
                <w:sz w:val="24"/>
              </w:rPr>
            </w:pPr>
          </w:p>
        </w:tc>
        <w:tc>
          <w:tcPr>
            <w:tcW w:w="748" w:type="dxa"/>
            <w:vAlign w:val="center"/>
          </w:tcPr>
          <w:p w14:paraId="3227ACD4">
            <w:pPr>
              <w:widowControl/>
              <w:jc w:val="center"/>
              <w:textAlignment w:val="center"/>
              <w:rPr>
                <w:rFonts w:ascii="仿宋_GB2312" w:hAnsi="宋体" w:eastAsia="仿宋_GB2312"/>
                <w:sz w:val="24"/>
              </w:rPr>
            </w:pPr>
          </w:p>
        </w:tc>
      </w:tr>
      <w:tr w14:paraId="1ABB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8"/>
            <w:vAlign w:val="center"/>
          </w:tcPr>
          <w:p w14:paraId="189EAF68">
            <w:pPr>
              <w:jc w:val="left"/>
              <w:rPr>
                <w:rFonts w:ascii="仿宋_GB2312" w:hAnsi="宋体" w:eastAsia="仿宋_GB2312"/>
                <w:sz w:val="24"/>
              </w:rPr>
            </w:pPr>
            <w:r>
              <w:rPr>
                <w:rFonts w:hint="eastAsia" w:ascii="仿宋_GB2312" w:hAnsi="宋体" w:eastAsia="仿宋_GB2312"/>
                <w:b/>
                <w:bCs/>
                <w:sz w:val="24"/>
              </w:rPr>
              <w:t>三、其他要求：</w:t>
            </w:r>
          </w:p>
        </w:tc>
      </w:tr>
      <w:tr w14:paraId="6762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362B488F">
            <w:pPr>
              <w:widowControl/>
              <w:jc w:val="center"/>
              <w:textAlignment w:val="center"/>
              <w:rPr>
                <w:rFonts w:ascii="仿宋_GB2312" w:hAnsi="宋体" w:eastAsia="仿宋_GB2312"/>
                <w:b/>
                <w:bCs/>
                <w:sz w:val="24"/>
              </w:rPr>
            </w:pPr>
            <w:r>
              <w:rPr>
                <w:rFonts w:hint="eastAsia" w:ascii="仿宋_GB2312" w:hAnsi="宋体" w:eastAsia="仿宋_GB2312"/>
                <w:b/>
                <w:bCs/>
                <w:sz w:val="24"/>
              </w:rPr>
              <w:t>要求名称</w:t>
            </w:r>
          </w:p>
        </w:tc>
        <w:tc>
          <w:tcPr>
            <w:tcW w:w="6379" w:type="dxa"/>
            <w:gridSpan w:val="4"/>
            <w:vAlign w:val="center"/>
          </w:tcPr>
          <w:p w14:paraId="358B757C">
            <w:pPr>
              <w:widowControl/>
              <w:jc w:val="center"/>
              <w:textAlignment w:val="center"/>
              <w:rPr>
                <w:rFonts w:ascii="仿宋_GB2312" w:hAnsi="宋体" w:eastAsia="仿宋_GB2312"/>
                <w:b/>
                <w:bCs/>
                <w:sz w:val="24"/>
              </w:rPr>
            </w:pPr>
            <w:r>
              <w:rPr>
                <w:rFonts w:hint="eastAsia" w:ascii="仿宋_GB2312" w:hAnsi="宋体" w:eastAsia="仿宋_GB2312"/>
                <w:b/>
                <w:bCs/>
                <w:sz w:val="24"/>
              </w:rPr>
              <w:t>要求内容</w:t>
            </w:r>
          </w:p>
        </w:tc>
        <w:tc>
          <w:tcPr>
            <w:tcW w:w="992" w:type="dxa"/>
            <w:vAlign w:val="center"/>
          </w:tcPr>
          <w:p w14:paraId="4226E03A">
            <w:pPr>
              <w:widowControl/>
              <w:jc w:val="center"/>
              <w:textAlignment w:val="center"/>
              <w:rPr>
                <w:rFonts w:ascii="仿宋_GB2312" w:hAnsi="宋体" w:eastAsia="仿宋_GB2312"/>
                <w:b/>
                <w:bCs/>
                <w:sz w:val="24"/>
              </w:rPr>
            </w:pPr>
            <w:r>
              <w:rPr>
                <w:rFonts w:hint="eastAsia" w:ascii="仿宋_GB2312" w:hAnsi="宋体" w:eastAsia="仿宋_GB2312"/>
                <w:b/>
                <w:bCs/>
                <w:sz w:val="24"/>
              </w:rPr>
              <w:t>是否   响应</w:t>
            </w:r>
          </w:p>
        </w:tc>
        <w:tc>
          <w:tcPr>
            <w:tcW w:w="748" w:type="dxa"/>
            <w:vAlign w:val="center"/>
          </w:tcPr>
          <w:p w14:paraId="6874E42A">
            <w:pPr>
              <w:jc w:val="center"/>
              <w:rPr>
                <w:rFonts w:ascii="仿宋_GB2312" w:hAnsi="宋体" w:eastAsia="仿宋_GB2312"/>
                <w:sz w:val="24"/>
              </w:rPr>
            </w:pPr>
            <w:r>
              <w:rPr>
                <w:rFonts w:hint="eastAsia" w:ascii="仿宋_GB2312" w:hAnsi="宋体" w:eastAsia="仿宋_GB2312"/>
                <w:b/>
                <w:bCs/>
                <w:sz w:val="24"/>
              </w:rPr>
              <w:t>备注</w:t>
            </w:r>
          </w:p>
        </w:tc>
      </w:tr>
      <w:tr w14:paraId="171F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gridSpan w:val="2"/>
            <w:vAlign w:val="center"/>
          </w:tcPr>
          <w:p w14:paraId="3724C8A8">
            <w:pPr>
              <w:pStyle w:val="3"/>
              <w:jc w:val="center"/>
              <w:rPr>
                <w:rFonts w:ascii="仿宋_GB2312" w:hAnsi="宋体" w:eastAsia="仿宋_GB2312" w:cs="Times New Roman"/>
                <w:sz w:val="24"/>
              </w:rPr>
            </w:pPr>
            <w:r>
              <w:rPr>
                <w:rFonts w:hint="eastAsia" w:ascii="仿宋_GB2312" w:hAnsi="宋体" w:eastAsia="仿宋_GB2312" w:cs="Times New Roman"/>
                <w:sz w:val="24"/>
              </w:rPr>
              <w:t>供应商响应附件要求</w:t>
            </w:r>
          </w:p>
        </w:tc>
        <w:tc>
          <w:tcPr>
            <w:tcW w:w="6379" w:type="dxa"/>
            <w:gridSpan w:val="4"/>
            <w:vAlign w:val="center"/>
          </w:tcPr>
          <w:p w14:paraId="3FA4B294">
            <w:pPr>
              <w:numPr>
                <w:ilvl w:val="0"/>
                <w:numId w:val="1"/>
              </w:numPr>
              <w:rPr>
                <w:rFonts w:ascii="仿宋_GB2312" w:hAnsi="宋体" w:eastAsia="仿宋_GB2312"/>
                <w:sz w:val="24"/>
              </w:rPr>
            </w:pPr>
            <w:r>
              <w:rPr>
                <w:rFonts w:hint="eastAsia" w:ascii="仿宋_GB2312" w:hAnsi="宋体" w:eastAsia="仿宋_GB2312"/>
                <w:sz w:val="24"/>
              </w:rPr>
              <w:t>供应商首次竞价时必须按照附件格式填写并上传《政采云反向竞价项目采购需求响应表》扫描件，否则视为响应无效。</w:t>
            </w:r>
          </w:p>
          <w:p w14:paraId="2CBB9774">
            <w:pPr>
              <w:numPr>
                <w:ilvl w:val="0"/>
                <w:numId w:val="1"/>
              </w:numPr>
              <w:rPr>
                <w:rFonts w:ascii="仿宋_GB2312" w:hAnsi="宋体" w:eastAsia="仿宋_GB2312"/>
                <w:sz w:val="24"/>
              </w:rPr>
            </w:pPr>
            <w:r>
              <w:rPr>
                <w:rFonts w:hint="eastAsia" w:ascii="仿宋_GB2312" w:hAnsi="宋体" w:eastAsia="仿宋_GB2312"/>
                <w:sz w:val="24"/>
              </w:rPr>
              <w:t>为保证项目售后服务及时性，中标供应商须在合同签订前提交以下任一证明：</w:t>
            </w:r>
          </w:p>
          <w:p w14:paraId="33AE0C1E">
            <w:pPr>
              <w:rPr>
                <w:rFonts w:ascii="仿宋_GB2312" w:hAnsi="宋体" w:eastAsia="仿宋_GB2312"/>
                <w:sz w:val="24"/>
              </w:rPr>
            </w:pPr>
            <w:r>
              <w:rPr>
                <w:rFonts w:hint="eastAsia" w:ascii="仿宋_GB2312" w:hAnsi="宋体" w:eastAsia="仿宋_GB2312"/>
                <w:sz w:val="24"/>
              </w:rPr>
              <w:t>（1）品牌厂家出具的覆盖本项目的全国性售后服务承诺函；</w:t>
            </w:r>
          </w:p>
          <w:p w14:paraId="37139F9C">
            <w:pPr>
              <w:rPr>
                <w:rFonts w:ascii="仿宋_GB2312" w:hAnsi="宋体" w:eastAsia="仿宋_GB2312"/>
                <w:sz w:val="24"/>
              </w:rPr>
            </w:pPr>
            <w:r>
              <w:rPr>
                <w:rFonts w:hint="eastAsia" w:ascii="仿宋_GB2312" w:hAnsi="宋体" w:eastAsia="仿宋_GB2312"/>
                <w:sz w:val="24"/>
              </w:rPr>
              <w:t>（2）中标供应商在广西境内设有固定服务网点（附房产证/租赁合同和负责本项目售后服务的骨干技术人员不少于6个月的社保记录）；</w:t>
            </w:r>
          </w:p>
          <w:p w14:paraId="2C639E6D">
            <w:pPr>
              <w:rPr>
                <w:rFonts w:ascii="仿宋_GB2312" w:hAnsi="宋体" w:eastAsia="仿宋_GB2312"/>
                <w:sz w:val="24"/>
              </w:rPr>
            </w:pPr>
            <w:r>
              <w:rPr>
                <w:rFonts w:hint="eastAsia" w:ascii="仿宋_GB2312" w:hAnsi="宋体" w:eastAsia="仿宋_GB2312"/>
                <w:sz w:val="24"/>
              </w:rPr>
              <w:t>（3）与广西本地服务商签订的技术支持协议（须提供官网查询到广西售后服务中心的公司名称及地址）。</w:t>
            </w:r>
          </w:p>
          <w:p w14:paraId="04C17A17">
            <w:pPr>
              <w:numPr>
                <w:ilvl w:val="0"/>
                <w:numId w:val="1"/>
              </w:numPr>
              <w:rPr>
                <w:rFonts w:ascii="仿宋_GB2312" w:hAnsi="宋体" w:eastAsia="仿宋_GB2312"/>
                <w:sz w:val="24"/>
              </w:rPr>
            </w:pPr>
            <w:r>
              <w:rPr>
                <w:rFonts w:hint="eastAsia" w:ascii="仿宋_GB2312" w:hAnsi="宋体" w:eastAsia="仿宋_GB2312"/>
                <w:sz w:val="24"/>
              </w:rPr>
              <w:t>投标供应商必须实质性能够满足产品参数要求；对不能满足参数要求虚假响应， 或者无法正常交货影响业主办公使用的，业主可作为废标处理，并按规定对投标公司予以处罚，和进行网上通报处理。</w:t>
            </w:r>
          </w:p>
          <w:p w14:paraId="781F0AB5">
            <w:pPr>
              <w:numPr>
                <w:ilvl w:val="0"/>
                <w:numId w:val="1"/>
              </w:numPr>
              <w:rPr>
                <w:rFonts w:ascii="仿宋_GB2312" w:hAnsi="宋体" w:eastAsia="仿宋_GB2312"/>
                <w:sz w:val="24"/>
              </w:rPr>
            </w:pPr>
            <w:r>
              <w:rPr>
                <w:rFonts w:hint="eastAsia" w:ascii="仿宋_GB2312" w:hAnsi="宋体" w:eastAsia="仿宋_GB2312"/>
                <w:sz w:val="24"/>
              </w:rPr>
              <w:t>供应商提交的《政采云反向竞价项目采购需求响应表》和《政采云反向竞价项目报价表》均需法定代表人或授权委托人签字并加盖单位公章，否则视为响应无效。</w:t>
            </w:r>
          </w:p>
          <w:p w14:paraId="4D870522">
            <w:pPr>
              <w:jc w:val="left"/>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.系统生成预成交供应商后，预成交供应商须在</w:t>
            </w:r>
            <w:r>
              <w:rPr>
                <w:rFonts w:ascii="仿宋_GB2312" w:hAnsi="宋体" w:eastAsia="仿宋_GB2312"/>
                <w:sz w:val="24"/>
              </w:rPr>
              <w:t>5</w:t>
            </w:r>
            <w:r>
              <w:rPr>
                <w:rFonts w:hint="eastAsia" w:ascii="仿宋_GB2312" w:hAnsi="宋体" w:eastAsia="仿宋_GB2312"/>
                <w:sz w:val="24"/>
              </w:rPr>
              <w:t>个</w:t>
            </w:r>
            <w:r>
              <w:rPr>
                <w:rFonts w:ascii="仿宋_GB2312" w:hAnsi="宋体" w:eastAsia="仿宋_GB2312"/>
                <w:sz w:val="24"/>
              </w:rPr>
              <w:t>工作</w:t>
            </w:r>
            <w:r>
              <w:rPr>
                <w:rFonts w:hint="eastAsia" w:ascii="仿宋_GB2312" w:hAnsi="宋体" w:eastAsia="仿宋_GB2312"/>
                <w:sz w:val="24"/>
              </w:rPr>
              <w:t>日内将</w:t>
            </w:r>
            <w:r>
              <w:rPr>
                <w:rFonts w:ascii="仿宋_GB2312" w:hAnsi="宋体" w:eastAsia="仿宋_GB2312"/>
                <w:sz w:val="24"/>
              </w:rPr>
              <w:t>上述售后服务保障承诺材料</w:t>
            </w:r>
            <w:r>
              <w:rPr>
                <w:rFonts w:hint="eastAsia" w:ascii="仿宋_GB2312" w:hAnsi="宋体" w:eastAsia="仿宋_GB2312"/>
                <w:sz w:val="24"/>
              </w:rPr>
              <w:t>及到采购人邮箱：</w:t>
            </w:r>
            <w:r>
              <w:rPr>
                <w:rFonts w:ascii="仿宋_GB2312" w:hAnsi="宋体" w:eastAsia="仿宋_GB2312"/>
                <w:sz w:val="24"/>
              </w:rPr>
              <w:t>gxwzywlzx@163.com</w:t>
            </w:r>
            <w:r>
              <w:rPr>
                <w:rFonts w:hint="eastAsia" w:ascii="仿宋_GB2312" w:hAnsi="宋体" w:eastAsia="仿宋_GB2312"/>
                <w:sz w:val="24"/>
              </w:rPr>
              <w:t>。如果不能按时按要求提供，则视为预成交供应商响应无效，采购人有权取消其成交资格。</w:t>
            </w:r>
          </w:p>
        </w:tc>
        <w:tc>
          <w:tcPr>
            <w:tcW w:w="992" w:type="dxa"/>
            <w:vAlign w:val="center"/>
          </w:tcPr>
          <w:p w14:paraId="4FDCBB19">
            <w:pPr>
              <w:jc w:val="center"/>
              <w:rPr>
                <w:rFonts w:ascii="仿宋_GB2312" w:hAnsi="宋体" w:eastAsia="仿宋_GB2312"/>
                <w:sz w:val="24"/>
              </w:rPr>
            </w:pPr>
          </w:p>
        </w:tc>
        <w:tc>
          <w:tcPr>
            <w:tcW w:w="748" w:type="dxa"/>
            <w:vAlign w:val="center"/>
          </w:tcPr>
          <w:p w14:paraId="62028E70">
            <w:pPr>
              <w:jc w:val="center"/>
              <w:rPr>
                <w:rFonts w:ascii="仿宋_GB2312" w:hAnsi="宋体" w:eastAsia="仿宋_GB2312"/>
                <w:sz w:val="24"/>
              </w:rPr>
            </w:pPr>
          </w:p>
        </w:tc>
      </w:tr>
    </w:tbl>
    <w:p w14:paraId="3FCBF5AF"/>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28274"/>
    <w:multiLevelType w:val="singleLevel"/>
    <w:tmpl w:val="0D2282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D167DE"/>
    <w:rsid w:val="000302EA"/>
    <w:rsid w:val="000520E1"/>
    <w:rsid w:val="000B5A9B"/>
    <w:rsid w:val="000C060A"/>
    <w:rsid w:val="000D6C9B"/>
    <w:rsid w:val="00124036"/>
    <w:rsid w:val="001A5877"/>
    <w:rsid w:val="001F4C93"/>
    <w:rsid w:val="002E48C5"/>
    <w:rsid w:val="00333737"/>
    <w:rsid w:val="00350868"/>
    <w:rsid w:val="003A6448"/>
    <w:rsid w:val="003C4908"/>
    <w:rsid w:val="00423B4E"/>
    <w:rsid w:val="005541C2"/>
    <w:rsid w:val="005D46EA"/>
    <w:rsid w:val="00603D78"/>
    <w:rsid w:val="006521CA"/>
    <w:rsid w:val="007070F0"/>
    <w:rsid w:val="00804D23"/>
    <w:rsid w:val="00856A11"/>
    <w:rsid w:val="008764C6"/>
    <w:rsid w:val="008C0CAC"/>
    <w:rsid w:val="0090331B"/>
    <w:rsid w:val="00924491"/>
    <w:rsid w:val="00A97FFB"/>
    <w:rsid w:val="00B60D82"/>
    <w:rsid w:val="00B676FE"/>
    <w:rsid w:val="00B81386"/>
    <w:rsid w:val="00B8291B"/>
    <w:rsid w:val="00B8346A"/>
    <w:rsid w:val="00C1520B"/>
    <w:rsid w:val="00CA120F"/>
    <w:rsid w:val="00ED4442"/>
    <w:rsid w:val="059029E6"/>
    <w:rsid w:val="44D1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8"/>
    <w:unhideWhenUsed/>
    <w:qFormat/>
    <w:uiPriority w:val="99"/>
    <w:pPr>
      <w:spacing w:after="120"/>
    </w:pPr>
    <w:rPr>
      <w:rFonts w:asciiTheme="minorHAnsi" w:hAnsiTheme="minorHAnsi" w:eastAsiaTheme="minorEastAsia" w:cstheme="minorBidi"/>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 字符"/>
    <w:basedOn w:val="7"/>
    <w:link w:val="3"/>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5331</Words>
  <Characters>5610</Characters>
  <Lines>41</Lines>
  <Paragraphs>11</Paragraphs>
  <TotalTime>1</TotalTime>
  <ScaleCrop>false</ScaleCrop>
  <LinksUpToDate>false</LinksUpToDate>
  <CharactersWithSpaces>5630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2025-07-29T05:23:00Z</dcterms:created>
  <dc:creator>钟国君</dc:creator>
  <cp:lastModifiedBy>WPS_1666428944</cp:lastModifiedBy>
  <dcterms:modified xsi:type="dcterms:W3CDTF">2025-07-29T07:24:40Z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A8225A991A24479EB5A889A46AAE4EE1_11</vt:lpwstr>
  </property>
  <property fmtid="{D5CDD505-2E9C-101B-9397-08002B2CF9AE}" pid="4" name="KSOTemplateDocerSaveRecord">
    <vt:lpwstr>eyJoZGlkIjoiMGM5ZjY1MTIxMzYyYzY0ZmY2NTMwZDlmNDc0NGM1OTgiLCJ1c2VySWQiOiIxNDMxNDE3MjE1In0=</vt:lpwstr>
  </property>
</Properties>
</file>