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74200C">
      <w:pPr>
        <w:pStyle w:val="18"/>
        <w:widowControl/>
        <w:numPr>
          <w:ilvl w:val="0"/>
          <w:numId w:val="0"/>
        </w:numPr>
        <w:spacing w:beforeAutospacing="0" w:afterAutospacing="0"/>
        <w:rPr>
          <w:rFonts w:hint="eastAsia" w:ascii="黑体" w:hAnsi="黑体" w:eastAsia="黑体" w:cs="黑体"/>
          <w:sz w:val="28"/>
          <w:szCs w:val="28"/>
        </w:rPr>
      </w:pPr>
      <w:r>
        <w:rPr>
          <w:rFonts w:hint="eastAsia" w:ascii="黑体" w:hAnsi="黑体" w:eastAsia="黑体" w:cs="黑体"/>
          <w:sz w:val="28"/>
          <w:szCs w:val="28"/>
        </w:rPr>
        <w:t>项目名称（分标二）：</w:t>
      </w:r>
    </w:p>
    <w:p w14:paraId="4EE2A5F9">
      <w:pPr>
        <w:pStyle w:val="18"/>
        <w:widowControl/>
        <w:numPr>
          <w:ilvl w:val="0"/>
          <w:numId w:val="0"/>
        </w:numPr>
        <w:spacing w:beforeAutospacing="0" w:afterAutospacing="0"/>
        <w:rPr>
          <w:rFonts w:hint="eastAsia" w:ascii="黑体" w:hAnsi="黑体" w:eastAsia="黑体" w:cs="黑体"/>
          <w:sz w:val="28"/>
          <w:szCs w:val="28"/>
        </w:rPr>
      </w:pPr>
      <w:r>
        <w:rPr>
          <w:rFonts w:hint="eastAsia" w:ascii="黑体" w:hAnsi="黑体" w:eastAsia="黑体" w:cs="黑体"/>
          <w:sz w:val="28"/>
          <w:szCs w:val="28"/>
        </w:rPr>
        <w:t>自治区卫生健康信息数据中心机房互联网线路汇聚和委宽带专线（线路汇聚二）</w:t>
      </w:r>
    </w:p>
    <w:p w14:paraId="7251E360">
      <w:pPr>
        <w:pStyle w:val="18"/>
        <w:widowControl/>
        <w:numPr>
          <w:ilvl w:val="-1"/>
          <w:numId w:val="0"/>
        </w:numPr>
        <w:spacing w:beforeAutospacing="0" w:afterAutospacing="0"/>
        <w:ind w:firstLine="640" w:firstLineChars="200"/>
        <w:rPr>
          <w:rStyle w:val="22"/>
          <w:rFonts w:ascii="楷体" w:hAnsi="楷体" w:eastAsia="楷体" w:cs="楷体"/>
          <w:b w:val="0"/>
          <w:bCs/>
          <w:sz w:val="32"/>
          <w:szCs w:val="32"/>
        </w:rPr>
      </w:pPr>
      <w:r>
        <w:rPr>
          <w:rStyle w:val="22"/>
          <w:rFonts w:hint="eastAsia" w:ascii="楷体" w:hAnsi="楷体" w:eastAsia="楷体" w:cs="楷体"/>
          <w:b w:val="0"/>
          <w:bCs/>
          <w:sz w:val="32"/>
          <w:szCs w:val="32"/>
        </w:rPr>
        <w:t>（一）采购需求</w:t>
      </w:r>
    </w:p>
    <w:p w14:paraId="5E8144F8">
      <w:pPr>
        <w:pStyle w:val="18"/>
        <w:widowControl/>
        <w:spacing w:beforeAutospacing="0" w:afterAutospacing="0"/>
        <w:rPr>
          <w:rStyle w:val="22"/>
        </w:rPr>
      </w:pPr>
    </w:p>
    <w:tbl>
      <w:tblPr>
        <w:tblStyle w:val="19"/>
        <w:tblW w:w="8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558"/>
        <w:gridCol w:w="3525"/>
        <w:gridCol w:w="1095"/>
        <w:gridCol w:w="1388"/>
        <w:gridCol w:w="1040"/>
      </w:tblGrid>
      <w:tr w14:paraId="0C386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1558" w:type="dxa"/>
            <w:shd w:val="clear" w:color="auto" w:fill="auto"/>
            <w:tcMar>
              <w:top w:w="75" w:type="dxa"/>
              <w:left w:w="150" w:type="dxa"/>
              <w:bottom w:w="75" w:type="dxa"/>
              <w:right w:w="150" w:type="dxa"/>
            </w:tcMar>
            <w:vAlign w:val="center"/>
          </w:tcPr>
          <w:p w14:paraId="5BCD63CF">
            <w:pPr>
              <w:widowControl/>
              <w:wordWrap w:val="0"/>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商品名称</w:t>
            </w:r>
          </w:p>
        </w:tc>
        <w:tc>
          <w:tcPr>
            <w:tcW w:w="3525" w:type="dxa"/>
            <w:shd w:val="clear" w:color="auto" w:fill="auto"/>
            <w:tcMar>
              <w:top w:w="75" w:type="dxa"/>
              <w:left w:w="150" w:type="dxa"/>
              <w:bottom w:w="75" w:type="dxa"/>
              <w:right w:w="150" w:type="dxa"/>
            </w:tcMar>
            <w:vAlign w:val="center"/>
          </w:tcPr>
          <w:p w14:paraId="1D1D88CF">
            <w:pPr>
              <w:widowControl/>
              <w:wordWrap w:val="0"/>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参数要求</w:t>
            </w:r>
          </w:p>
        </w:tc>
        <w:tc>
          <w:tcPr>
            <w:tcW w:w="1095" w:type="dxa"/>
            <w:shd w:val="clear" w:color="auto" w:fill="auto"/>
            <w:tcMar>
              <w:top w:w="75" w:type="dxa"/>
              <w:left w:w="150" w:type="dxa"/>
              <w:bottom w:w="75" w:type="dxa"/>
              <w:right w:w="150" w:type="dxa"/>
            </w:tcMar>
            <w:vAlign w:val="center"/>
          </w:tcPr>
          <w:p w14:paraId="53FC31B0">
            <w:pPr>
              <w:widowControl/>
              <w:wordWrap w:val="0"/>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购买数量</w:t>
            </w:r>
          </w:p>
        </w:tc>
        <w:tc>
          <w:tcPr>
            <w:tcW w:w="1388" w:type="dxa"/>
            <w:shd w:val="clear" w:color="auto" w:fill="auto"/>
            <w:tcMar>
              <w:top w:w="75" w:type="dxa"/>
              <w:left w:w="150" w:type="dxa"/>
              <w:bottom w:w="75" w:type="dxa"/>
              <w:right w:w="150" w:type="dxa"/>
            </w:tcMar>
            <w:vAlign w:val="center"/>
          </w:tcPr>
          <w:p w14:paraId="11DB8484">
            <w:pPr>
              <w:widowControl/>
              <w:wordWrap w:val="0"/>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控制金额(元)</w:t>
            </w:r>
          </w:p>
        </w:tc>
        <w:tc>
          <w:tcPr>
            <w:tcW w:w="1040" w:type="dxa"/>
            <w:shd w:val="clear" w:color="auto" w:fill="auto"/>
            <w:tcMar>
              <w:top w:w="75" w:type="dxa"/>
              <w:left w:w="150" w:type="dxa"/>
              <w:bottom w:w="75" w:type="dxa"/>
              <w:right w:w="150" w:type="dxa"/>
            </w:tcMar>
            <w:vAlign w:val="center"/>
          </w:tcPr>
          <w:p w14:paraId="15897CBA">
            <w:pPr>
              <w:widowControl/>
              <w:wordWrap w:val="0"/>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意向品牌</w:t>
            </w:r>
          </w:p>
        </w:tc>
      </w:tr>
      <w:tr w14:paraId="47EA8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99" w:hRule="atLeast"/>
          <w:jc w:val="center"/>
        </w:trPr>
        <w:tc>
          <w:tcPr>
            <w:tcW w:w="1558" w:type="dxa"/>
            <w:shd w:val="clear" w:color="auto" w:fill="auto"/>
            <w:tcMar>
              <w:top w:w="75" w:type="dxa"/>
              <w:left w:w="150" w:type="dxa"/>
              <w:bottom w:w="75" w:type="dxa"/>
              <w:right w:w="150" w:type="dxa"/>
            </w:tcMar>
            <w:vAlign w:val="center"/>
          </w:tcPr>
          <w:p w14:paraId="73CC343F">
            <w:pPr>
              <w:widowControl/>
              <w:wordWrap w:val="0"/>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互联网线路汇聚二</w:t>
            </w:r>
          </w:p>
        </w:tc>
        <w:tc>
          <w:tcPr>
            <w:tcW w:w="3525" w:type="dxa"/>
            <w:shd w:val="clear" w:color="auto" w:fill="auto"/>
            <w:tcMar>
              <w:top w:w="75" w:type="dxa"/>
              <w:left w:w="150" w:type="dxa"/>
              <w:bottom w:w="75" w:type="dxa"/>
              <w:right w:w="150" w:type="dxa"/>
            </w:tcMar>
            <w:vAlign w:val="center"/>
          </w:tcPr>
          <w:p w14:paraId="4910DA63">
            <w:pPr>
              <w:pStyle w:val="2"/>
              <w:numPr>
                <w:ilvl w:val="0"/>
                <w:numId w:val="0"/>
              </w:numPr>
              <w:spacing w:after="0"/>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lang w:val="en-US" w:eastAsia="zh-CN"/>
              </w:rPr>
              <w:t>1、</w:t>
            </w:r>
            <w:r>
              <w:rPr>
                <w:rFonts w:hint="eastAsia" w:ascii="仿宋_GB2312" w:hAnsi="仿宋_GB2312" w:eastAsia="仿宋_GB2312" w:cs="仿宋_GB2312"/>
                <w:color w:val="000000"/>
                <w:kern w:val="0"/>
                <w:sz w:val="24"/>
              </w:rPr>
              <w:t>1条1300M互联网专线，30个固定IPv4地址，免费使用IPv6地址，线路双路由保障服务，支持突发应急事件下的免费建设提供万兆带宽，包含链路链接的必要设备。设备提供双端口冗余，满足任一端口或两个端口同时使用互联网专线服务。</w:t>
            </w:r>
          </w:p>
          <w:p w14:paraId="7CB88C71">
            <w:pPr>
              <w:pStyle w:val="2"/>
              <w:numPr>
                <w:ilvl w:val="0"/>
                <w:numId w:val="0"/>
              </w:numPr>
              <w:spacing w:after="0"/>
              <w:ind w:leftChars="0"/>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lang w:val="en-US" w:eastAsia="zh-CN"/>
              </w:rPr>
              <w:t>2、</w:t>
            </w:r>
            <w:r>
              <w:rPr>
                <w:rFonts w:hint="eastAsia" w:ascii="仿宋_GB2312" w:hAnsi="仿宋_GB2312" w:eastAsia="仿宋_GB2312" w:cs="仿宋_GB2312"/>
                <w:color w:val="000000"/>
                <w:kern w:val="0"/>
                <w:sz w:val="24"/>
              </w:rPr>
              <w:t>服务期13个月。</w:t>
            </w:r>
          </w:p>
        </w:tc>
        <w:tc>
          <w:tcPr>
            <w:tcW w:w="1095" w:type="dxa"/>
            <w:shd w:val="clear" w:color="auto" w:fill="auto"/>
            <w:tcMar>
              <w:top w:w="75" w:type="dxa"/>
              <w:left w:w="150" w:type="dxa"/>
              <w:bottom w:w="75" w:type="dxa"/>
              <w:right w:w="150" w:type="dxa"/>
            </w:tcMar>
            <w:vAlign w:val="center"/>
          </w:tcPr>
          <w:p w14:paraId="26593C68">
            <w:pPr>
              <w:widowControl/>
              <w:wordWrap w:val="0"/>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1项</w:t>
            </w:r>
          </w:p>
        </w:tc>
        <w:tc>
          <w:tcPr>
            <w:tcW w:w="1388" w:type="dxa"/>
            <w:vMerge w:val="restart"/>
            <w:shd w:val="clear" w:color="auto" w:fill="auto"/>
            <w:tcMar>
              <w:top w:w="75" w:type="dxa"/>
              <w:left w:w="150" w:type="dxa"/>
              <w:bottom w:w="75" w:type="dxa"/>
              <w:right w:w="150" w:type="dxa"/>
            </w:tcMar>
            <w:vAlign w:val="center"/>
          </w:tcPr>
          <w:p w14:paraId="0CDBE4E9">
            <w:pPr>
              <w:widowControl/>
              <w:wordWrap w:val="0"/>
              <w:jc w:val="center"/>
              <w:rPr>
                <w:rFonts w:ascii="仿宋_GB2312" w:hAnsi="仿宋_GB2312" w:eastAsia="仿宋_GB2312" w:cs="仿宋_GB2312"/>
                <w:sz w:val="24"/>
              </w:rPr>
            </w:pPr>
            <w:r>
              <w:rPr>
                <w:rFonts w:hint="eastAsia" w:ascii="仿宋_GB2312" w:hAnsi="仿宋_GB2312" w:eastAsia="仿宋_GB2312" w:cs="仿宋_GB2312"/>
                <w:sz w:val="24"/>
              </w:rPr>
              <w:t>4755</w:t>
            </w:r>
            <w:r>
              <w:rPr>
                <w:rFonts w:hint="eastAsia" w:ascii="仿宋_GB2312" w:hAnsi="仿宋_GB2312" w:eastAsia="仿宋_GB2312" w:cs="仿宋_GB2312"/>
                <w:kern w:val="0"/>
                <w:sz w:val="24"/>
                <w:lang w:bidi="ar"/>
              </w:rPr>
              <w:t>00.00</w:t>
            </w:r>
          </w:p>
        </w:tc>
        <w:tc>
          <w:tcPr>
            <w:tcW w:w="1040" w:type="dxa"/>
            <w:shd w:val="clear" w:color="auto" w:fill="auto"/>
            <w:tcMar>
              <w:top w:w="75" w:type="dxa"/>
              <w:left w:w="150" w:type="dxa"/>
              <w:bottom w:w="75" w:type="dxa"/>
              <w:right w:w="150" w:type="dxa"/>
            </w:tcMar>
            <w:vAlign w:val="center"/>
          </w:tcPr>
          <w:p w14:paraId="00933C5C">
            <w:pPr>
              <w:widowControl/>
              <w:wordWrap w:val="0"/>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w:t>
            </w:r>
          </w:p>
        </w:tc>
      </w:tr>
      <w:tr w14:paraId="00C5E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1558" w:type="dxa"/>
            <w:shd w:val="clear" w:color="auto" w:fill="auto"/>
            <w:tcMar>
              <w:top w:w="75" w:type="dxa"/>
              <w:left w:w="150" w:type="dxa"/>
              <w:bottom w:w="75" w:type="dxa"/>
              <w:right w:w="150" w:type="dxa"/>
            </w:tcMar>
            <w:vAlign w:val="center"/>
          </w:tcPr>
          <w:p w14:paraId="55F13627">
            <w:pPr>
              <w:widowControl/>
              <w:wordWrap w:val="0"/>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点对点专线</w:t>
            </w:r>
          </w:p>
        </w:tc>
        <w:tc>
          <w:tcPr>
            <w:tcW w:w="3525" w:type="dxa"/>
            <w:shd w:val="clear" w:color="auto" w:fill="auto"/>
            <w:tcMar>
              <w:top w:w="75" w:type="dxa"/>
              <w:left w:w="150" w:type="dxa"/>
              <w:bottom w:w="75" w:type="dxa"/>
              <w:right w:w="150" w:type="dxa"/>
            </w:tcMar>
            <w:vAlign w:val="center"/>
          </w:tcPr>
          <w:p w14:paraId="0F543C0F">
            <w:pPr>
              <w:widowControl/>
              <w:numPr>
                <w:ilvl w:val="0"/>
                <w:numId w:val="0"/>
              </w:numPr>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val="en-US" w:eastAsia="zh-CN"/>
              </w:rPr>
              <w:t>1、</w:t>
            </w:r>
            <w:r>
              <w:rPr>
                <w:rFonts w:hint="eastAsia" w:ascii="仿宋_GB2312" w:hAnsi="仿宋_GB2312" w:eastAsia="仿宋_GB2312" w:cs="仿宋_GB2312"/>
                <w:kern w:val="0"/>
                <w:sz w:val="24"/>
              </w:rPr>
              <w:t>1条100M</w:t>
            </w:r>
            <w:r>
              <w:rPr>
                <w:rFonts w:hint="eastAsia" w:ascii="仿宋_GB2312" w:hAnsi="仿宋_GB2312" w:eastAsia="仿宋_GB2312" w:cs="仿宋_GB2312"/>
                <w:kern w:val="0"/>
                <w:sz w:val="24"/>
                <w:lang w:val="en-US" w:eastAsia="zh-CN"/>
              </w:rPr>
              <w:t>南宁市</w:t>
            </w:r>
            <w:r>
              <w:rPr>
                <w:rFonts w:hint="eastAsia" w:ascii="仿宋_GB2312" w:hAnsi="仿宋_GB2312" w:eastAsia="仿宋_GB2312" w:cs="仿宋_GB2312"/>
                <w:kern w:val="0"/>
                <w:sz w:val="24"/>
              </w:rPr>
              <w:t>内点对点MSTP专线；</w:t>
            </w:r>
          </w:p>
          <w:p w14:paraId="3DE4D721">
            <w:pPr>
              <w:widowControl/>
              <w:numPr>
                <w:ilvl w:val="0"/>
                <w:numId w:val="0"/>
              </w:numPr>
              <w:ind w:leftChars="0"/>
              <w:jc w:val="left"/>
              <w:rPr>
                <w:rFonts w:ascii="仿宋_GB2312" w:hAnsi="仿宋_GB2312" w:eastAsia="仿宋_GB2312" w:cs="仿宋_GB2312"/>
                <w:color w:val="000000"/>
                <w:kern w:val="0"/>
                <w:sz w:val="24"/>
              </w:rPr>
            </w:pPr>
            <w:r>
              <w:rPr>
                <w:rFonts w:hint="eastAsia" w:ascii="仿宋_GB2312" w:hAnsi="仿宋_GB2312" w:eastAsia="仿宋_GB2312" w:cs="仿宋_GB2312"/>
                <w:kern w:val="0"/>
                <w:sz w:val="24"/>
                <w:lang w:val="en-US" w:eastAsia="zh-CN"/>
              </w:rPr>
              <w:t>2、</w:t>
            </w:r>
            <w:r>
              <w:rPr>
                <w:rFonts w:hint="eastAsia" w:ascii="仿宋_GB2312" w:hAnsi="仿宋_GB2312" w:eastAsia="仿宋_GB2312" w:cs="仿宋_GB2312"/>
                <w:kern w:val="0"/>
                <w:sz w:val="24"/>
              </w:rPr>
              <w:t>服务期13个月。</w:t>
            </w:r>
          </w:p>
        </w:tc>
        <w:tc>
          <w:tcPr>
            <w:tcW w:w="1095" w:type="dxa"/>
            <w:shd w:val="clear" w:color="auto" w:fill="auto"/>
            <w:tcMar>
              <w:top w:w="75" w:type="dxa"/>
              <w:left w:w="150" w:type="dxa"/>
              <w:bottom w:w="75" w:type="dxa"/>
              <w:right w:w="150" w:type="dxa"/>
            </w:tcMar>
            <w:vAlign w:val="center"/>
          </w:tcPr>
          <w:p w14:paraId="636B53CF">
            <w:pPr>
              <w:widowControl/>
              <w:wordWrap w:val="0"/>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1项</w:t>
            </w:r>
          </w:p>
        </w:tc>
        <w:tc>
          <w:tcPr>
            <w:tcW w:w="1388" w:type="dxa"/>
            <w:vMerge w:val="continue"/>
            <w:shd w:val="clear" w:color="auto" w:fill="auto"/>
            <w:tcMar>
              <w:top w:w="75" w:type="dxa"/>
              <w:left w:w="150" w:type="dxa"/>
              <w:bottom w:w="75" w:type="dxa"/>
              <w:right w:w="150" w:type="dxa"/>
            </w:tcMar>
            <w:vAlign w:val="center"/>
          </w:tcPr>
          <w:p w14:paraId="020CF56B">
            <w:pPr>
              <w:widowControl/>
              <w:wordWrap w:val="0"/>
              <w:jc w:val="center"/>
              <w:rPr>
                <w:rFonts w:ascii="仿宋_GB2312" w:hAnsi="仿宋_GB2312" w:eastAsia="仿宋_GB2312" w:cs="仿宋_GB2312"/>
                <w:sz w:val="24"/>
              </w:rPr>
            </w:pPr>
          </w:p>
        </w:tc>
        <w:tc>
          <w:tcPr>
            <w:tcW w:w="1040" w:type="dxa"/>
            <w:shd w:val="clear" w:color="auto" w:fill="auto"/>
            <w:tcMar>
              <w:top w:w="75" w:type="dxa"/>
              <w:left w:w="150" w:type="dxa"/>
              <w:bottom w:w="75" w:type="dxa"/>
              <w:right w:w="150" w:type="dxa"/>
            </w:tcMar>
            <w:vAlign w:val="center"/>
          </w:tcPr>
          <w:p w14:paraId="25DBCCEE">
            <w:pPr>
              <w:widowControl/>
              <w:wordWrap w:val="0"/>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w:t>
            </w:r>
          </w:p>
        </w:tc>
      </w:tr>
      <w:tr w14:paraId="47FAE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1558" w:type="dxa"/>
            <w:shd w:val="clear" w:color="auto" w:fill="auto"/>
            <w:tcMar>
              <w:top w:w="75" w:type="dxa"/>
              <w:left w:w="150" w:type="dxa"/>
              <w:bottom w:w="75" w:type="dxa"/>
              <w:right w:w="150" w:type="dxa"/>
            </w:tcMar>
            <w:vAlign w:val="center"/>
          </w:tcPr>
          <w:p w14:paraId="42D2AD45">
            <w:pPr>
              <w:widowControl/>
              <w:wordWrap w:val="0"/>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短信套餐</w:t>
            </w:r>
          </w:p>
        </w:tc>
        <w:tc>
          <w:tcPr>
            <w:tcW w:w="3525" w:type="dxa"/>
            <w:shd w:val="clear" w:color="auto" w:fill="auto"/>
            <w:tcMar>
              <w:top w:w="75" w:type="dxa"/>
              <w:left w:w="150" w:type="dxa"/>
              <w:bottom w:w="75" w:type="dxa"/>
              <w:right w:w="150" w:type="dxa"/>
            </w:tcMar>
            <w:vAlign w:val="center"/>
          </w:tcPr>
          <w:p w14:paraId="1C2863C2">
            <w:pPr>
              <w:widowControl/>
              <w:jc w:val="left"/>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≥187万条短信套餐，可发送全国全网，无套餐有效时限限制。</w:t>
            </w:r>
          </w:p>
        </w:tc>
        <w:tc>
          <w:tcPr>
            <w:tcW w:w="1095" w:type="dxa"/>
            <w:shd w:val="clear" w:color="auto" w:fill="auto"/>
            <w:tcMar>
              <w:top w:w="75" w:type="dxa"/>
              <w:left w:w="150" w:type="dxa"/>
              <w:bottom w:w="75" w:type="dxa"/>
              <w:right w:w="150" w:type="dxa"/>
            </w:tcMar>
            <w:vAlign w:val="center"/>
          </w:tcPr>
          <w:p w14:paraId="54987FFB">
            <w:pPr>
              <w:widowControl/>
              <w:wordWrap w:val="0"/>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1项</w:t>
            </w:r>
          </w:p>
        </w:tc>
        <w:tc>
          <w:tcPr>
            <w:tcW w:w="1388" w:type="dxa"/>
            <w:vMerge w:val="continue"/>
            <w:shd w:val="clear" w:color="auto" w:fill="auto"/>
            <w:tcMar>
              <w:top w:w="75" w:type="dxa"/>
              <w:left w:w="150" w:type="dxa"/>
              <w:bottom w:w="75" w:type="dxa"/>
              <w:right w:w="150" w:type="dxa"/>
            </w:tcMar>
            <w:vAlign w:val="center"/>
          </w:tcPr>
          <w:p w14:paraId="2A7D4E0E">
            <w:pPr>
              <w:widowControl/>
              <w:wordWrap w:val="0"/>
              <w:jc w:val="center"/>
              <w:rPr>
                <w:rFonts w:ascii="仿宋_GB2312" w:hAnsi="仿宋_GB2312" w:eastAsia="仿宋_GB2312" w:cs="仿宋_GB2312"/>
                <w:sz w:val="24"/>
              </w:rPr>
            </w:pPr>
          </w:p>
        </w:tc>
        <w:tc>
          <w:tcPr>
            <w:tcW w:w="1040" w:type="dxa"/>
            <w:shd w:val="clear" w:color="auto" w:fill="auto"/>
            <w:tcMar>
              <w:top w:w="75" w:type="dxa"/>
              <w:left w:w="150" w:type="dxa"/>
              <w:bottom w:w="75" w:type="dxa"/>
              <w:right w:w="150" w:type="dxa"/>
            </w:tcMar>
            <w:vAlign w:val="center"/>
          </w:tcPr>
          <w:p w14:paraId="46D48512">
            <w:pPr>
              <w:widowControl/>
              <w:wordWrap w:val="0"/>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w:t>
            </w:r>
          </w:p>
        </w:tc>
      </w:tr>
      <w:tr w14:paraId="3EE70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1558" w:type="dxa"/>
            <w:shd w:val="clear" w:color="auto" w:fill="auto"/>
            <w:tcMar>
              <w:top w:w="75" w:type="dxa"/>
              <w:left w:w="150" w:type="dxa"/>
              <w:bottom w:w="75" w:type="dxa"/>
              <w:right w:w="150" w:type="dxa"/>
            </w:tcMar>
            <w:vAlign w:val="center"/>
          </w:tcPr>
          <w:p w14:paraId="3950B18A">
            <w:pPr>
              <w:widowControl/>
              <w:wordWrap w:val="0"/>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委宽带（新民区）互联网专线</w:t>
            </w:r>
          </w:p>
        </w:tc>
        <w:tc>
          <w:tcPr>
            <w:tcW w:w="3525" w:type="dxa"/>
            <w:shd w:val="clear" w:color="auto" w:fill="auto"/>
            <w:tcMar>
              <w:top w:w="75" w:type="dxa"/>
              <w:left w:w="150" w:type="dxa"/>
              <w:bottom w:w="75" w:type="dxa"/>
              <w:right w:w="150" w:type="dxa"/>
            </w:tcMar>
            <w:vAlign w:val="center"/>
          </w:tcPr>
          <w:p w14:paraId="09D69567">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1、1条300M互联网专线，12个固定IPv4地址；</w:t>
            </w:r>
          </w:p>
          <w:p w14:paraId="07FA0F3C">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2、提供一次免费专线迁移服务。</w:t>
            </w:r>
          </w:p>
          <w:p w14:paraId="005E9FA2">
            <w:pPr>
              <w:widowControl/>
              <w:jc w:val="left"/>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3、服务期12个月。</w:t>
            </w:r>
          </w:p>
        </w:tc>
        <w:tc>
          <w:tcPr>
            <w:tcW w:w="1095" w:type="dxa"/>
            <w:shd w:val="clear" w:color="auto" w:fill="auto"/>
            <w:tcMar>
              <w:top w:w="75" w:type="dxa"/>
              <w:left w:w="150" w:type="dxa"/>
              <w:bottom w:w="75" w:type="dxa"/>
              <w:right w:w="150" w:type="dxa"/>
            </w:tcMar>
            <w:vAlign w:val="center"/>
          </w:tcPr>
          <w:p w14:paraId="57DB1A73">
            <w:pPr>
              <w:widowControl/>
              <w:wordWrap w:val="0"/>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1项</w:t>
            </w:r>
          </w:p>
        </w:tc>
        <w:tc>
          <w:tcPr>
            <w:tcW w:w="1388" w:type="dxa"/>
            <w:vMerge w:val="continue"/>
            <w:shd w:val="clear" w:color="auto" w:fill="auto"/>
            <w:tcMar>
              <w:top w:w="75" w:type="dxa"/>
              <w:left w:w="150" w:type="dxa"/>
              <w:bottom w:w="75" w:type="dxa"/>
              <w:right w:w="150" w:type="dxa"/>
            </w:tcMar>
            <w:vAlign w:val="center"/>
          </w:tcPr>
          <w:p w14:paraId="5450C537">
            <w:pPr>
              <w:widowControl/>
              <w:wordWrap w:val="0"/>
              <w:jc w:val="center"/>
              <w:rPr>
                <w:rFonts w:ascii="仿宋_GB2312" w:hAnsi="仿宋_GB2312" w:eastAsia="仿宋_GB2312" w:cs="仿宋_GB2312"/>
                <w:sz w:val="24"/>
              </w:rPr>
            </w:pPr>
          </w:p>
        </w:tc>
        <w:tc>
          <w:tcPr>
            <w:tcW w:w="1040" w:type="dxa"/>
            <w:shd w:val="clear" w:color="auto" w:fill="auto"/>
            <w:tcMar>
              <w:top w:w="75" w:type="dxa"/>
              <w:left w:w="150" w:type="dxa"/>
              <w:bottom w:w="75" w:type="dxa"/>
              <w:right w:w="150" w:type="dxa"/>
            </w:tcMar>
            <w:vAlign w:val="center"/>
          </w:tcPr>
          <w:p w14:paraId="7EB37222">
            <w:pPr>
              <w:widowControl/>
              <w:wordWrap w:val="0"/>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w:t>
            </w:r>
          </w:p>
        </w:tc>
      </w:tr>
      <w:tr w14:paraId="0B30E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1558" w:type="dxa"/>
            <w:shd w:val="clear" w:color="auto" w:fill="auto"/>
            <w:tcMar>
              <w:top w:w="75" w:type="dxa"/>
              <w:left w:w="150" w:type="dxa"/>
              <w:bottom w:w="75" w:type="dxa"/>
              <w:right w:w="150" w:type="dxa"/>
            </w:tcMar>
            <w:vAlign w:val="center"/>
          </w:tcPr>
          <w:p w14:paraId="5C012857">
            <w:pPr>
              <w:widowControl/>
              <w:wordWrap w:val="0"/>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网络专线安全服务</w:t>
            </w:r>
          </w:p>
        </w:tc>
        <w:tc>
          <w:tcPr>
            <w:tcW w:w="3525" w:type="dxa"/>
            <w:shd w:val="clear" w:color="auto" w:fill="auto"/>
            <w:tcMar>
              <w:top w:w="75" w:type="dxa"/>
              <w:left w:w="150" w:type="dxa"/>
              <w:bottom w:w="75" w:type="dxa"/>
              <w:right w:w="150" w:type="dxa"/>
            </w:tcMar>
            <w:vAlign w:val="center"/>
          </w:tcPr>
          <w:p w14:paraId="3867D3F7">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1、专线配套提供抗DDOS攻击监控、流量清洗峰值不少于5Gbps、分析溯源安全服务，32个IPv4地址，1个/64及以上IPv6地址段DDoS攻击监测。</w:t>
            </w:r>
          </w:p>
          <w:p w14:paraId="3CD506CF">
            <w:pPr>
              <w:widowControl/>
              <w:jc w:val="left"/>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2、服务期12个月。</w:t>
            </w:r>
          </w:p>
        </w:tc>
        <w:tc>
          <w:tcPr>
            <w:tcW w:w="1095" w:type="dxa"/>
            <w:shd w:val="clear" w:color="auto" w:fill="auto"/>
            <w:tcMar>
              <w:top w:w="75" w:type="dxa"/>
              <w:left w:w="150" w:type="dxa"/>
              <w:bottom w:w="75" w:type="dxa"/>
              <w:right w:w="150" w:type="dxa"/>
            </w:tcMar>
            <w:vAlign w:val="center"/>
          </w:tcPr>
          <w:p w14:paraId="309E4384">
            <w:pPr>
              <w:widowControl/>
              <w:wordWrap w:val="0"/>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1项</w:t>
            </w:r>
          </w:p>
        </w:tc>
        <w:tc>
          <w:tcPr>
            <w:tcW w:w="1388" w:type="dxa"/>
            <w:vMerge w:val="continue"/>
            <w:shd w:val="clear" w:color="auto" w:fill="auto"/>
            <w:tcMar>
              <w:top w:w="75" w:type="dxa"/>
              <w:left w:w="150" w:type="dxa"/>
              <w:bottom w:w="75" w:type="dxa"/>
              <w:right w:w="150" w:type="dxa"/>
            </w:tcMar>
            <w:vAlign w:val="center"/>
          </w:tcPr>
          <w:p w14:paraId="72D2CB25">
            <w:pPr>
              <w:widowControl/>
              <w:wordWrap w:val="0"/>
              <w:jc w:val="center"/>
              <w:rPr>
                <w:rFonts w:ascii="仿宋_GB2312" w:hAnsi="仿宋_GB2312" w:eastAsia="仿宋_GB2312" w:cs="仿宋_GB2312"/>
                <w:sz w:val="24"/>
              </w:rPr>
            </w:pPr>
          </w:p>
        </w:tc>
        <w:tc>
          <w:tcPr>
            <w:tcW w:w="1040" w:type="dxa"/>
            <w:shd w:val="clear" w:color="auto" w:fill="auto"/>
            <w:tcMar>
              <w:top w:w="75" w:type="dxa"/>
              <w:left w:w="150" w:type="dxa"/>
              <w:bottom w:w="75" w:type="dxa"/>
              <w:right w:w="150" w:type="dxa"/>
            </w:tcMar>
            <w:vAlign w:val="center"/>
          </w:tcPr>
          <w:p w14:paraId="7D87F503">
            <w:pPr>
              <w:widowControl/>
              <w:wordWrap w:val="0"/>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w:t>
            </w:r>
          </w:p>
        </w:tc>
      </w:tr>
    </w:tbl>
    <w:p w14:paraId="457FD3EC">
      <w:pPr>
        <w:widowControl/>
        <w:jc w:val="left"/>
        <w:rPr>
          <w:rFonts w:hint="eastAsia" w:ascii="楷体" w:hAnsi="楷体" w:eastAsia="楷体" w:cs="楷体"/>
          <w:sz w:val="32"/>
          <w:szCs w:val="32"/>
        </w:rPr>
      </w:pPr>
      <w:r>
        <w:rPr>
          <w:rFonts w:ascii="宋体" w:hAnsi="宋体" w:eastAsia="宋体" w:cs="宋体"/>
          <w:kern w:val="0"/>
          <w:sz w:val="24"/>
          <w:lang w:bidi="ar"/>
        </w:rPr>
        <w:t> </w:t>
      </w:r>
      <w:r>
        <w:rPr>
          <w:rFonts w:hint="eastAsia" w:ascii="楷体" w:hAnsi="楷体" w:eastAsia="楷体" w:cs="楷体"/>
          <w:sz w:val="32"/>
          <w:szCs w:val="32"/>
        </w:rPr>
        <w:br w:type="textWrapping"/>
      </w:r>
    </w:p>
    <w:p w14:paraId="1EA5A226">
      <w:pPr>
        <w:widowControl/>
        <w:jc w:val="left"/>
        <w:rPr>
          <w:rFonts w:ascii="楷体" w:hAnsi="楷体" w:eastAsia="楷体" w:cs="楷体"/>
          <w:sz w:val="32"/>
          <w:szCs w:val="32"/>
        </w:rPr>
      </w:pPr>
      <w:r>
        <w:rPr>
          <w:rFonts w:hint="eastAsia" w:ascii="楷体" w:hAnsi="楷体" w:eastAsia="楷体" w:cs="楷体"/>
          <w:sz w:val="32"/>
          <w:szCs w:val="32"/>
        </w:rPr>
        <w:t>（二）</w:t>
      </w:r>
      <w:r>
        <w:rPr>
          <w:rStyle w:val="22"/>
          <w:rFonts w:hint="eastAsia" w:ascii="楷体" w:hAnsi="楷体" w:eastAsia="楷体" w:cs="楷体"/>
          <w:b w:val="0"/>
          <w:sz w:val="32"/>
          <w:szCs w:val="32"/>
        </w:rPr>
        <w:t>商务要求</w:t>
      </w:r>
    </w:p>
    <w:p w14:paraId="1E3E0DB7">
      <w:pPr>
        <w:pStyle w:val="18"/>
        <w:widowControl/>
        <w:spacing w:beforeAutospacing="0" w:afterAutospacing="0"/>
      </w:pPr>
      <w:r>
        <w:t> </w:t>
      </w:r>
    </w:p>
    <w:tbl>
      <w:tblPr>
        <w:tblStyle w:val="19"/>
        <w:tblW w:w="8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580"/>
        <w:gridCol w:w="7026"/>
      </w:tblGrid>
      <w:tr w14:paraId="326A4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1580" w:type="dxa"/>
            <w:shd w:val="clear" w:color="auto" w:fill="auto"/>
            <w:tcMar>
              <w:top w:w="75" w:type="dxa"/>
              <w:left w:w="150" w:type="dxa"/>
              <w:bottom w:w="75" w:type="dxa"/>
              <w:right w:w="150" w:type="dxa"/>
            </w:tcMar>
            <w:vAlign w:val="center"/>
          </w:tcPr>
          <w:p w14:paraId="77724554">
            <w:pPr>
              <w:widowControl/>
              <w:wordWrap w:val="0"/>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商务项目</w:t>
            </w:r>
          </w:p>
        </w:tc>
        <w:tc>
          <w:tcPr>
            <w:tcW w:w="7026" w:type="dxa"/>
            <w:shd w:val="clear" w:color="auto" w:fill="auto"/>
            <w:tcMar>
              <w:top w:w="75" w:type="dxa"/>
              <w:left w:w="150" w:type="dxa"/>
              <w:bottom w:w="75" w:type="dxa"/>
              <w:right w:w="150" w:type="dxa"/>
            </w:tcMar>
            <w:vAlign w:val="center"/>
          </w:tcPr>
          <w:p w14:paraId="15F53EFC">
            <w:pPr>
              <w:widowControl/>
              <w:wordWrap w:val="0"/>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商务要求</w:t>
            </w:r>
          </w:p>
        </w:tc>
      </w:tr>
      <w:tr w14:paraId="19D12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1580" w:type="dxa"/>
            <w:shd w:val="clear" w:color="auto" w:fill="auto"/>
            <w:tcMar>
              <w:top w:w="75" w:type="dxa"/>
              <w:left w:w="150" w:type="dxa"/>
              <w:bottom w:w="75" w:type="dxa"/>
              <w:right w:w="150" w:type="dxa"/>
            </w:tcMar>
            <w:vAlign w:val="center"/>
          </w:tcPr>
          <w:p w14:paraId="74D13741">
            <w:pPr>
              <w:widowControl/>
              <w:wordWrap w:val="0"/>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商务要求</w:t>
            </w:r>
          </w:p>
        </w:tc>
        <w:tc>
          <w:tcPr>
            <w:tcW w:w="7026" w:type="dxa"/>
            <w:shd w:val="clear" w:color="auto" w:fill="auto"/>
            <w:tcMar>
              <w:top w:w="75" w:type="dxa"/>
              <w:left w:w="150" w:type="dxa"/>
              <w:bottom w:w="75" w:type="dxa"/>
              <w:right w:w="150" w:type="dxa"/>
            </w:tcMar>
            <w:vAlign w:val="center"/>
          </w:tcPr>
          <w:p w14:paraId="13BAE564">
            <w:pPr>
              <w:rPr>
                <w:rFonts w:hint="eastAsia" w:ascii="仿宋_GB2312" w:hAnsi="仿宋_GB2312" w:eastAsia="仿宋_GB2312" w:cs="仿宋_GB2312"/>
                <w:sz w:val="24"/>
                <w:lang w:eastAsia="zh-CN"/>
              </w:rPr>
            </w:pPr>
            <w:r>
              <w:rPr>
                <w:rFonts w:hint="eastAsia" w:ascii="仿宋_GB2312" w:hAnsi="仿宋_GB2312" w:eastAsia="仿宋_GB2312" w:cs="仿宋_GB2312"/>
                <w:sz w:val="24"/>
              </w:rPr>
              <w:t>1、合同签订期：自成交通知书发出之日起</w:t>
            </w:r>
            <w:r>
              <w:rPr>
                <w:rFonts w:hint="eastAsia" w:ascii="仿宋_GB2312" w:hAnsi="仿宋_GB2312" w:eastAsia="仿宋_GB2312" w:cs="仿宋_GB2312"/>
                <w:sz w:val="24"/>
                <w:highlight w:val="none"/>
                <w:lang w:val="en-US" w:eastAsia="zh-CN"/>
              </w:rPr>
              <w:t>7</w:t>
            </w:r>
            <w:r>
              <w:rPr>
                <w:rFonts w:hint="eastAsia" w:ascii="仿宋_GB2312" w:hAnsi="仿宋_GB2312" w:eastAsia="仿宋_GB2312" w:cs="仿宋_GB2312"/>
                <w:sz w:val="24"/>
                <w:highlight w:val="none"/>
              </w:rPr>
              <w:t>个</w:t>
            </w:r>
            <w:r>
              <w:rPr>
                <w:rFonts w:hint="eastAsia" w:ascii="仿宋_GB2312" w:hAnsi="仿宋_GB2312" w:eastAsia="仿宋_GB2312" w:cs="仿宋_GB2312"/>
                <w:sz w:val="24"/>
              </w:rPr>
              <w:t>工作日内</w:t>
            </w:r>
            <w:r>
              <w:rPr>
                <w:rFonts w:hint="eastAsia" w:ascii="仿宋_GB2312" w:hAnsi="仿宋_GB2312" w:eastAsia="仿宋_GB2312" w:cs="仿宋_GB2312"/>
                <w:sz w:val="24"/>
                <w:lang w:eastAsia="zh-CN"/>
              </w:rPr>
              <w:t>。</w:t>
            </w:r>
          </w:p>
          <w:p w14:paraId="5A419F93">
            <w:pPr>
              <w:rPr>
                <w:rFonts w:hint="eastAsia" w:ascii="仿宋_GB2312" w:hAnsi="仿宋_GB2312" w:eastAsia="仿宋_GB2312" w:cs="仿宋_GB2312"/>
                <w:sz w:val="24"/>
                <w:lang w:eastAsia="zh-CN"/>
              </w:rPr>
            </w:pPr>
            <w:r>
              <w:rPr>
                <w:rFonts w:hint="eastAsia" w:ascii="仿宋_GB2312" w:hAnsi="仿宋_GB2312" w:eastAsia="仿宋_GB2312" w:cs="仿宋_GB2312"/>
                <w:sz w:val="24"/>
              </w:rPr>
              <w:t>2、提交服务成果时间：合同签订后，采购人发出交付通知起48小时内交付使用</w:t>
            </w:r>
            <w:r>
              <w:rPr>
                <w:rFonts w:hint="eastAsia" w:ascii="仿宋_GB2312" w:hAnsi="仿宋_GB2312" w:eastAsia="仿宋_GB2312" w:cs="仿宋_GB2312"/>
                <w:sz w:val="24"/>
                <w:lang w:eastAsia="zh-CN"/>
              </w:rPr>
              <w:t>。</w:t>
            </w:r>
          </w:p>
          <w:p w14:paraId="06BEE8E7">
            <w:pPr>
              <w:pStyle w:val="2"/>
              <w:spacing w:after="0"/>
              <w:rPr>
                <w:rFonts w:ascii="仿宋_GB2312" w:hAnsi="仿宋_GB2312" w:eastAsia="仿宋_GB2312" w:cs="仿宋_GB2312"/>
                <w:sz w:val="24"/>
              </w:rPr>
            </w:pPr>
            <w:r>
              <w:rPr>
                <w:rFonts w:hint="eastAsia" w:ascii="仿宋_GB2312" w:hAnsi="仿宋_GB2312" w:eastAsia="仿宋_GB2312" w:cs="仿宋_GB2312"/>
                <w:sz w:val="24"/>
              </w:rPr>
              <w:t>3、安排技术人员协助采购人完成对在用网络专线与新网络专线的无缝切换工作。</w:t>
            </w:r>
          </w:p>
          <w:p w14:paraId="41EBEB0D">
            <w:pPr>
              <w:rPr>
                <w:rFonts w:hint="eastAsia" w:ascii="仿宋_GB2312" w:hAnsi="仿宋_GB2312" w:eastAsia="仿宋_GB2312" w:cs="仿宋_GB2312"/>
                <w:sz w:val="24"/>
                <w:lang w:eastAsia="zh-CN"/>
              </w:rPr>
            </w:pPr>
            <w:r>
              <w:rPr>
                <w:rFonts w:hint="eastAsia" w:ascii="仿宋_GB2312" w:hAnsi="仿宋_GB2312" w:eastAsia="仿宋_GB2312" w:cs="仿宋_GB2312"/>
                <w:sz w:val="24"/>
              </w:rPr>
              <w:t>4、提交服务成果地点：南宁市内采购人指定地点</w:t>
            </w:r>
            <w:r>
              <w:rPr>
                <w:rFonts w:hint="eastAsia" w:ascii="仿宋_GB2312" w:hAnsi="仿宋_GB2312" w:eastAsia="仿宋_GB2312" w:cs="仿宋_GB2312"/>
                <w:sz w:val="24"/>
                <w:lang w:eastAsia="zh-CN"/>
              </w:rPr>
              <w:t>。</w:t>
            </w:r>
          </w:p>
          <w:p w14:paraId="2961B123">
            <w:pPr>
              <w:rPr>
                <w:rFonts w:hint="eastAsia" w:ascii="仿宋_GB2312" w:hAnsi="仿宋_GB2312" w:eastAsia="仿宋_GB2312" w:cs="仿宋_GB2312"/>
                <w:sz w:val="24"/>
                <w:lang w:eastAsia="zh-CN"/>
              </w:rPr>
            </w:pPr>
            <w:r>
              <w:rPr>
                <w:rFonts w:hint="eastAsia" w:ascii="仿宋_GB2312" w:hAnsi="仿宋_GB2312" w:eastAsia="仿宋_GB2312" w:cs="仿宋_GB2312"/>
                <w:sz w:val="24"/>
              </w:rPr>
              <w:t>5、服务期：按采购需求要求</w:t>
            </w:r>
            <w:r>
              <w:rPr>
                <w:rFonts w:hint="eastAsia" w:ascii="仿宋_GB2312" w:hAnsi="仿宋_GB2312" w:eastAsia="仿宋_GB2312" w:cs="仿宋_GB2312"/>
                <w:sz w:val="24"/>
                <w:lang w:eastAsia="zh-CN"/>
              </w:rPr>
              <w:t>。</w:t>
            </w:r>
          </w:p>
          <w:p w14:paraId="272D5D7E">
            <w:pPr>
              <w:pStyle w:val="2"/>
              <w:spacing w:after="0"/>
              <w:jc w:val="left"/>
              <w:rPr>
                <w:rFonts w:ascii="仿宋_GB2312" w:hAnsi="仿宋_GB2312" w:eastAsia="仿宋_GB2312" w:cs="仿宋_GB2312"/>
                <w:sz w:val="24"/>
              </w:rPr>
            </w:pPr>
            <w:r>
              <w:rPr>
                <w:rFonts w:hint="eastAsia" w:ascii="仿宋_GB2312" w:hAnsi="仿宋_GB2312" w:eastAsia="仿宋_GB2312" w:cs="仿宋_GB2312"/>
                <w:sz w:val="24"/>
              </w:rPr>
              <w:t>6、本项目不接受联合体投标。</w:t>
            </w:r>
          </w:p>
          <w:p w14:paraId="20B647FC">
            <w:pPr>
              <w:pStyle w:val="2"/>
              <w:spacing w:after="0"/>
              <w:jc w:val="left"/>
              <w:rPr>
                <w:rFonts w:ascii="仿宋_GB2312" w:hAnsi="仿宋_GB2312" w:eastAsia="仿宋_GB2312" w:cs="仿宋_GB2312"/>
                <w:sz w:val="24"/>
              </w:rPr>
            </w:pPr>
            <w:r>
              <w:rPr>
                <w:rFonts w:hint="eastAsia" w:ascii="仿宋_GB2312" w:hAnsi="仿宋_GB2312" w:eastAsia="仿宋_GB2312" w:cs="仿宋_GB2312"/>
                <w:sz w:val="24"/>
              </w:rPr>
              <w:t>7、报价要求：投标人应对本项目的所有内容范围的服务进行总承包报价；采购人不再支付任何费用。</w:t>
            </w:r>
          </w:p>
          <w:p w14:paraId="232A6C24">
            <w:pPr>
              <w:rPr>
                <w:rFonts w:hint="eastAsia" w:ascii="仿宋_GB2312" w:hAnsi="仿宋_GB2312" w:eastAsia="仿宋_GB2312" w:cs="仿宋_GB2312"/>
                <w:sz w:val="24"/>
                <w:lang w:eastAsia="zh-CN"/>
              </w:rPr>
            </w:pPr>
            <w:r>
              <w:rPr>
                <w:rFonts w:hint="eastAsia" w:ascii="仿宋_GB2312" w:hAnsi="仿宋_GB2312" w:eastAsia="仿宋_GB2312" w:cs="仿宋_GB2312"/>
                <w:sz w:val="24"/>
              </w:rPr>
              <w:t>8、故障响应：中标供应商需安排专门技术人员提供7×24小时热线电话服务，并提供多个故障申告途径及绿色通道，做到全方位响应，并指定专人负责上门受理调试日常维护及平时协助甲方维护检测等工作；提供故障处理进度跟踪服务，提供7×24小时的售后服务响应。故障申报30分钟内响应，1小时到达现场，8小时恢复业务（自然灾害等不可抗拒原因除外）</w:t>
            </w:r>
            <w:r>
              <w:rPr>
                <w:rFonts w:hint="eastAsia" w:ascii="仿宋_GB2312" w:hAnsi="仿宋_GB2312" w:eastAsia="仿宋_GB2312" w:cs="仿宋_GB2312"/>
                <w:sz w:val="24"/>
                <w:lang w:eastAsia="zh-CN"/>
              </w:rPr>
              <w:t>。</w:t>
            </w:r>
          </w:p>
          <w:p w14:paraId="78025924">
            <w:pPr>
              <w:rPr>
                <w:rFonts w:hint="eastAsia" w:ascii="仿宋_GB2312" w:hAnsi="仿宋_GB2312" w:eastAsia="仿宋_GB2312" w:cs="仿宋_GB2312"/>
                <w:sz w:val="24"/>
                <w:lang w:eastAsia="zh-CN"/>
              </w:rPr>
            </w:pPr>
            <w:r>
              <w:rPr>
                <w:rFonts w:hint="eastAsia" w:ascii="仿宋_GB2312" w:hAnsi="仿宋_GB2312" w:eastAsia="仿宋_GB2312" w:cs="仿宋_GB2312"/>
                <w:sz w:val="24"/>
              </w:rPr>
              <w:t>9、本项目为服务成果整体交付应用项目，按服务总价包干，为交钥匙工程，采购人不对项目达到成果水平报的服务、货物、施工等一切内容追加支付费用，而由中标供应商在合同价内全部提供或解决</w:t>
            </w:r>
            <w:r>
              <w:rPr>
                <w:rFonts w:hint="eastAsia" w:ascii="仿宋_GB2312" w:hAnsi="仿宋_GB2312" w:eastAsia="仿宋_GB2312" w:cs="仿宋_GB2312"/>
                <w:sz w:val="24"/>
                <w:lang w:eastAsia="zh-CN"/>
              </w:rPr>
              <w:t>。</w:t>
            </w:r>
          </w:p>
          <w:p w14:paraId="68FD418A">
            <w:pPr>
              <w:pStyle w:val="2"/>
              <w:spacing w:after="0"/>
              <w:rPr>
                <w:rFonts w:ascii="仿宋_GB2312" w:hAnsi="仿宋_GB2312" w:eastAsia="仿宋_GB2312" w:cs="仿宋_GB2312"/>
                <w:sz w:val="24"/>
              </w:rPr>
            </w:pPr>
            <w:r>
              <w:rPr>
                <w:rFonts w:hint="eastAsia" w:ascii="仿宋_GB2312" w:hAnsi="仿宋_GB2312" w:eastAsia="仿宋_GB2312" w:cs="仿宋_GB2312"/>
                <w:sz w:val="24"/>
              </w:rPr>
              <w:t>10、当用户网络需要扩展或升级时，负责免费提供相应解决方案等技术支持。</w:t>
            </w:r>
          </w:p>
          <w:p w14:paraId="71C5A007">
            <w:pPr>
              <w:pStyle w:val="2"/>
              <w:spacing w:after="0"/>
              <w:rPr>
                <w:rFonts w:ascii="仿宋_GB2312" w:hAnsi="仿宋_GB2312" w:eastAsia="仿宋_GB2312" w:cs="仿宋_GB2312"/>
                <w:sz w:val="24"/>
              </w:rPr>
            </w:pPr>
            <w:r>
              <w:rPr>
                <w:rFonts w:hint="eastAsia" w:ascii="仿宋_GB2312" w:hAnsi="仿宋_GB2312" w:eastAsia="仿宋_GB2312" w:cs="仿宋_GB2312"/>
                <w:sz w:val="24"/>
              </w:rPr>
              <w:t>11、投标人在投标时，必须提供包括但不限于满足项目要求并可行的应急响应方案、技术保障方案（包括不少于</w:t>
            </w:r>
            <w:r>
              <w:rPr>
                <w:rFonts w:ascii="仿宋_GB2312" w:hAnsi="仿宋_GB2312" w:eastAsia="仿宋_GB2312" w:cs="仿宋_GB2312"/>
                <w:sz w:val="24"/>
              </w:rPr>
              <w:t>3</w:t>
            </w:r>
            <w:r>
              <w:rPr>
                <w:rFonts w:hint="eastAsia" w:ascii="仿宋_GB2312" w:hAnsi="仿宋_GB2312" w:eastAsia="仿宋_GB2312" w:cs="仿宋_GB2312"/>
                <w:sz w:val="24"/>
              </w:rPr>
              <w:t>人的技术保障团队名单、团队成员技术水平情况、投标截止之日半年内投标人</w:t>
            </w:r>
            <w:r>
              <w:rPr>
                <w:rFonts w:hint="eastAsia" w:ascii="仿宋_GB2312" w:hAnsi="仿宋_GB2312" w:eastAsia="仿宋_GB2312" w:cs="仿宋_GB2312"/>
                <w:color w:val="000000"/>
                <w:sz w:val="24"/>
              </w:rPr>
              <w:t>1个月社会保险参保缴费证明，参保名单须包含拟投入本项目实施人员并做出标记）、专线无缝切换保障方案、网络扩容解决方案。</w:t>
            </w:r>
          </w:p>
          <w:p w14:paraId="2C21787F">
            <w:pPr>
              <w:rPr>
                <w:rFonts w:ascii="仿宋_GB2312" w:hAnsi="仿宋_GB2312" w:eastAsia="仿宋_GB2312" w:cs="仿宋_GB2312"/>
                <w:sz w:val="24"/>
              </w:rPr>
            </w:pPr>
            <w:r>
              <w:rPr>
                <w:rFonts w:hint="eastAsia" w:ascii="仿宋_GB2312" w:hAnsi="仿宋_GB2312" w:eastAsia="仿宋_GB2312" w:cs="仿宋_GB2312"/>
                <w:sz w:val="24"/>
              </w:rPr>
              <w:t>12、付款方式：本项目无预付款，中标供应商按要求开通网络线路后，双方在验收清单上签字盖章确认后，并开具合同款对应的增值税发票给采购人，采购人在15个工作日内支付100%合同款。</w:t>
            </w:r>
          </w:p>
          <w:p w14:paraId="0008987B">
            <w:pPr>
              <w:pStyle w:val="2"/>
              <w:spacing w:after="0"/>
              <w:rPr>
                <w:rFonts w:ascii="仿宋_GB2312" w:hAnsi="仿宋_GB2312" w:eastAsia="仿宋_GB2312" w:cs="仿宋_GB2312"/>
                <w:sz w:val="24"/>
              </w:rPr>
            </w:pPr>
            <w:r>
              <w:rPr>
                <w:rFonts w:hint="eastAsia" w:ascii="仿宋_GB2312" w:hAnsi="仿宋_GB2312" w:eastAsia="仿宋_GB2312" w:cs="仿宋_GB2312"/>
                <w:sz w:val="24"/>
              </w:rPr>
              <w:t>13、本项目是冗余汇聚线路服务，为实现灾备和流量分流效果，因此全民健康信息平台专线租赁（线路汇聚一） 的中标供应商不能再中标线路汇聚二分标，如同时中标，则线路汇聚二中标方由推荐的中标候选人</w:t>
            </w:r>
            <w:bookmarkStart w:id="0" w:name="_GoBack"/>
            <w:bookmarkEnd w:id="0"/>
            <w:r>
              <w:rPr>
                <w:rFonts w:hint="eastAsia" w:ascii="仿宋_GB2312" w:hAnsi="仿宋_GB2312" w:eastAsia="仿宋_GB2312" w:cs="仿宋_GB2312"/>
                <w:sz w:val="24"/>
              </w:rPr>
              <w:t>第二名递补。</w:t>
            </w:r>
          </w:p>
          <w:p w14:paraId="68BC9CDD">
            <w:pPr>
              <w:pStyle w:val="18"/>
              <w:widowControl/>
              <w:spacing w:beforeAutospacing="0" w:afterAutospacing="0"/>
              <w:rPr>
                <w:rFonts w:ascii="仿宋_GB2312" w:hAnsi="仿宋_GB2312" w:eastAsia="仿宋_GB2312" w:cs="仿宋_GB2312"/>
              </w:rPr>
            </w:pPr>
            <w:r>
              <w:rPr>
                <w:rFonts w:hint="eastAsia" w:ascii="仿宋_GB2312" w:hAnsi="仿宋_GB2312" w:eastAsia="仿宋_GB2312" w:cs="仿宋_GB2312"/>
              </w:rPr>
              <w:t>1</w:t>
            </w:r>
            <w:r>
              <w:rPr>
                <w:rFonts w:hint="eastAsia" w:ascii="仿宋_GB2312" w:hAnsi="仿宋_GB2312" w:eastAsia="仿宋_GB2312" w:cs="仿宋_GB2312"/>
                <w:lang w:val="en-US" w:eastAsia="zh-CN"/>
              </w:rPr>
              <w:t>4</w:t>
            </w:r>
            <w:r>
              <w:rPr>
                <w:rFonts w:hint="eastAsia" w:ascii="仿宋_GB2312" w:hAnsi="仿宋_GB2312" w:eastAsia="仿宋_GB2312" w:cs="仿宋_GB2312"/>
              </w:rPr>
              <w:t>、</w:t>
            </w:r>
            <w:r>
              <w:rPr>
                <w:rStyle w:val="23"/>
                <w:rFonts w:hint="eastAsia" w:ascii="仿宋_GB2312" w:hAnsi="仿宋_GB2312" w:eastAsia="仿宋_GB2312" w:cs="仿宋_GB2312"/>
              </w:rPr>
              <w:t>响应附件要求：营业执照</w:t>
            </w:r>
            <w:r>
              <w:rPr>
                <w:rFonts w:hint="eastAsia" w:ascii="仿宋_GB2312" w:hAnsi="仿宋_GB2312" w:eastAsia="仿宋_GB2312" w:cs="仿宋_GB2312"/>
              </w:rPr>
              <w:t>、应急响应方案、技术保障方案、专线无缝切换保障方案、网络扩容解决方案。</w:t>
            </w:r>
          </w:p>
          <w:p w14:paraId="451142B8">
            <w:pPr>
              <w:widowControl/>
              <w:spacing w:line="240" w:lineRule="exact"/>
              <w:rPr>
                <w:rFonts w:ascii="仿宋_GB2312" w:hAnsi="仿宋_GB2312" w:eastAsia="仿宋_GB2312" w:cs="仿宋_GB2312"/>
                <w:sz w:val="24"/>
              </w:rPr>
            </w:pPr>
          </w:p>
        </w:tc>
      </w:tr>
    </w:tbl>
    <w:p w14:paraId="54AC9CB1">
      <w:pPr>
        <w:pStyle w:val="2"/>
        <w:numPr>
          <w:ilvl w:val="255"/>
          <w:numId w:val="0"/>
        </w:numPr>
        <w:spacing w:line="20" w:lineRule="exact"/>
        <w:jc w:val="left"/>
        <w:rPr>
          <w:rFonts w:ascii="黑体" w:hAnsi="黑体" w:eastAsia="黑体" w:cs="黑体"/>
          <w:sz w:val="32"/>
          <w:szCs w:val="32"/>
        </w:rPr>
      </w:pPr>
    </w:p>
    <w:sectPr>
      <w:footerReference r:id="rId3" w:type="default"/>
      <w:pgSz w:w="11906" w:h="16838"/>
      <w:pgMar w:top="1701" w:right="1418" w:bottom="1417" w:left="1418"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Perpetua">
    <w:panose1 w:val="02020502060401020303"/>
    <w:charset w:val="00"/>
    <w:family w:val="roman"/>
    <w:pitch w:val="default"/>
    <w:sig w:usb0="00000003" w:usb1="00000000" w:usb2="00000000" w:usb3="00000000" w:csb0="2000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AD1892">
    <w:pPr>
      <w:pStyle w:val="1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EB7FAA">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1EB7FAA">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3F9B870"/>
    <w:multiLevelType w:val="multilevel"/>
    <w:tmpl w:val="73F9B870"/>
    <w:lvl w:ilvl="0" w:tentative="0">
      <w:start w:val="1"/>
      <w:numFmt w:val="decimal"/>
      <w:pStyle w:val="3"/>
      <w:lvlText w:val="第%1章"/>
      <w:lvlJc w:val="left"/>
      <w:pPr>
        <w:ind w:left="1271" w:hanging="420"/>
      </w:pPr>
      <w:rPr>
        <w:rFonts w:hint="eastAsia" w:ascii="Times New Roman" w:hAnsi="Times New Roman" w:eastAsia="宋体" w:cs="Times New Roman"/>
        <w:b/>
        <w:i w:val="0"/>
        <w:color w:val="000000"/>
        <w:sz w:val="44"/>
        <w:szCs w:val="44"/>
        <w:lang w:val="en-US"/>
      </w:rPr>
    </w:lvl>
    <w:lvl w:ilvl="1" w:tentative="0">
      <w:start w:val="1"/>
      <w:numFmt w:val="decimal"/>
      <w:isLgl/>
      <w:lvlText w:val="%1.%2"/>
      <w:lvlJc w:val="left"/>
      <w:pPr>
        <w:tabs>
          <w:tab w:val="left" w:pos="680"/>
        </w:tabs>
        <w:ind w:left="680" w:hanging="680"/>
      </w:pPr>
      <w:rPr>
        <w:rFonts w:hint="eastAsia" w:ascii="黑体" w:eastAsia="黑体"/>
        <w:b/>
        <w:i w:val="0"/>
        <w:sz w:val="32"/>
        <w:szCs w:val="32"/>
      </w:rPr>
    </w:lvl>
    <w:lvl w:ilvl="2" w:tentative="0">
      <w:start w:val="1"/>
      <w:numFmt w:val="decimal"/>
      <w:pStyle w:val="5"/>
      <w:isLgl/>
      <w:lvlText w:val="%1.%2.%3"/>
      <w:lvlJc w:val="left"/>
      <w:pPr>
        <w:tabs>
          <w:tab w:val="left" w:pos="1146"/>
        </w:tabs>
        <w:ind w:left="1146" w:hanging="720"/>
      </w:pPr>
      <w:rPr>
        <w:rFonts w:hint="eastAsia" w:ascii="黑体" w:hAnsi="Times New Roman" w:eastAsia="黑体" w:cs="Times New Roman"/>
        <w:b/>
        <w:i w:val="0"/>
        <w:sz w:val="30"/>
        <w:szCs w:val="30"/>
      </w:rPr>
    </w:lvl>
    <w:lvl w:ilvl="3" w:tentative="0">
      <w:start w:val="1"/>
      <w:numFmt w:val="decimal"/>
      <w:pStyle w:val="6"/>
      <w:isLgl/>
      <w:lvlText w:val="%1.%2.%3.%4"/>
      <w:lvlJc w:val="left"/>
      <w:pPr>
        <w:tabs>
          <w:tab w:val="left" w:pos="1116"/>
        </w:tabs>
        <w:ind w:left="1116" w:hanging="1116"/>
      </w:pPr>
      <w:rPr>
        <w:rFonts w:hint="eastAsia" w:ascii="黑体" w:hAnsi="Times New Roman" w:eastAsia="黑体" w:cs="Times New Roman"/>
        <w:b/>
        <w:i w:val="0"/>
        <w:color w:val="auto"/>
        <w:sz w:val="28"/>
        <w:szCs w:val="28"/>
        <w:u w:val="none"/>
        <w:lang w:val="en-US"/>
      </w:rPr>
    </w:lvl>
    <w:lvl w:ilvl="4" w:tentative="0">
      <w:start w:val="1"/>
      <w:numFmt w:val="decimal"/>
      <w:pStyle w:val="7"/>
      <w:isLgl/>
      <w:lvlText w:val="%1.%2.%3.%4.%5"/>
      <w:lvlJc w:val="left"/>
      <w:pPr>
        <w:tabs>
          <w:tab w:val="left" w:pos="720"/>
        </w:tabs>
        <w:ind w:left="720" w:hanging="720"/>
      </w:pPr>
      <w:rPr>
        <w:rFonts w:hint="eastAsia" w:ascii="黑体" w:eastAsia="黑体"/>
        <w:b/>
        <w:i w:val="0"/>
        <w:sz w:val="24"/>
        <w:szCs w:val="24"/>
      </w:rPr>
    </w:lvl>
    <w:lvl w:ilvl="5" w:tentative="0">
      <w:start w:val="1"/>
      <w:numFmt w:val="decimal"/>
      <w:pStyle w:val="8"/>
      <w:isLgl/>
      <w:lvlText w:val="%1.%2.%3.%4.%5.%6"/>
      <w:lvlJc w:val="left"/>
      <w:pPr>
        <w:tabs>
          <w:tab w:val="left" w:pos="864"/>
        </w:tabs>
        <w:ind w:left="864" w:hanging="864"/>
      </w:pPr>
      <w:rPr>
        <w:rFonts w:hint="eastAsia" w:ascii="黑体" w:eastAsia="黑体"/>
        <w:b/>
        <w:i w:val="0"/>
        <w:sz w:val="24"/>
        <w:szCs w:val="24"/>
      </w:rPr>
    </w:lvl>
    <w:lvl w:ilvl="6" w:tentative="0">
      <w:start w:val="1"/>
      <w:numFmt w:val="decimal"/>
      <w:pStyle w:val="9"/>
      <w:isLgl/>
      <w:lvlText w:val="%1.%2.%3.%4.%5.%6.%7"/>
      <w:lvlJc w:val="left"/>
      <w:pPr>
        <w:tabs>
          <w:tab w:val="left" w:pos="1008"/>
        </w:tabs>
        <w:ind w:left="1008" w:hanging="1008"/>
      </w:pPr>
      <w:rPr>
        <w:rFonts w:hint="eastAsia" w:ascii="黑体" w:eastAsia="黑体"/>
        <w:b/>
        <w:i w:val="0"/>
        <w:sz w:val="24"/>
        <w:szCs w:val="24"/>
      </w:rPr>
    </w:lvl>
    <w:lvl w:ilvl="7" w:tentative="0">
      <w:start w:val="1"/>
      <w:numFmt w:val="decimal"/>
      <w:pStyle w:val="10"/>
      <w:isLgl/>
      <w:lvlText w:val="%1.%2.%3.%4.%5.%6.%7.%8"/>
      <w:lvlJc w:val="left"/>
      <w:pPr>
        <w:tabs>
          <w:tab w:val="left" w:pos="1152"/>
        </w:tabs>
        <w:ind w:left="1152" w:hanging="1152"/>
      </w:pPr>
      <w:rPr>
        <w:rFonts w:hint="eastAsia" w:ascii="黑体" w:eastAsia="黑体"/>
        <w:b/>
        <w:i w:val="0"/>
        <w:sz w:val="24"/>
        <w:szCs w:val="24"/>
      </w:rPr>
    </w:lvl>
    <w:lvl w:ilvl="8" w:tentative="0">
      <w:start w:val="1"/>
      <w:numFmt w:val="decimal"/>
      <w:pStyle w:val="11"/>
      <w:isLgl/>
      <w:lvlText w:val="%1.%2.%3.%4.%5.%6.%7.%8.%9"/>
      <w:lvlJc w:val="left"/>
      <w:pPr>
        <w:tabs>
          <w:tab w:val="left" w:pos="1296"/>
        </w:tabs>
        <w:ind w:left="1296" w:hanging="1296"/>
      </w:pPr>
      <w:rPr>
        <w:rFonts w:hint="eastAsia" w:eastAsia="黑体"/>
        <w:b/>
        <w:i w:val="0"/>
        <w:sz w:val="24"/>
        <w:szCs w:val="24"/>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JlNzdjZTcwZjAwNTU4ZTM5NjlhYTUzN2Q3OTQxZDYifQ=="/>
  </w:docVars>
  <w:rsids>
    <w:rsidRoot w:val="00E51130"/>
    <w:rsid w:val="00096FF3"/>
    <w:rsid w:val="00154744"/>
    <w:rsid w:val="00173B48"/>
    <w:rsid w:val="00232A3C"/>
    <w:rsid w:val="00270AC0"/>
    <w:rsid w:val="002A3E23"/>
    <w:rsid w:val="0039575A"/>
    <w:rsid w:val="003B4530"/>
    <w:rsid w:val="003D5B4C"/>
    <w:rsid w:val="004513D6"/>
    <w:rsid w:val="0046148A"/>
    <w:rsid w:val="00475453"/>
    <w:rsid w:val="00485833"/>
    <w:rsid w:val="004873E8"/>
    <w:rsid w:val="0050263D"/>
    <w:rsid w:val="005A1DAF"/>
    <w:rsid w:val="005A6D8D"/>
    <w:rsid w:val="00603F74"/>
    <w:rsid w:val="00672836"/>
    <w:rsid w:val="00672ECD"/>
    <w:rsid w:val="006A030F"/>
    <w:rsid w:val="006C0FB0"/>
    <w:rsid w:val="006E3167"/>
    <w:rsid w:val="00734C94"/>
    <w:rsid w:val="00744C5B"/>
    <w:rsid w:val="00756154"/>
    <w:rsid w:val="00796E39"/>
    <w:rsid w:val="00832BD7"/>
    <w:rsid w:val="0084000C"/>
    <w:rsid w:val="00927FC1"/>
    <w:rsid w:val="0093791D"/>
    <w:rsid w:val="009B2BFE"/>
    <w:rsid w:val="00A144E9"/>
    <w:rsid w:val="00A34626"/>
    <w:rsid w:val="00AC376A"/>
    <w:rsid w:val="00B075AB"/>
    <w:rsid w:val="00B12201"/>
    <w:rsid w:val="00B27093"/>
    <w:rsid w:val="00B7019A"/>
    <w:rsid w:val="00BE4F71"/>
    <w:rsid w:val="00BF1BA9"/>
    <w:rsid w:val="00C11B49"/>
    <w:rsid w:val="00C81563"/>
    <w:rsid w:val="00C85F91"/>
    <w:rsid w:val="00C90AED"/>
    <w:rsid w:val="00C97384"/>
    <w:rsid w:val="00CD0AF3"/>
    <w:rsid w:val="00DC63FB"/>
    <w:rsid w:val="00E14070"/>
    <w:rsid w:val="00E51130"/>
    <w:rsid w:val="00E94F6F"/>
    <w:rsid w:val="00ED4BAC"/>
    <w:rsid w:val="00F51E68"/>
    <w:rsid w:val="00F62D4D"/>
    <w:rsid w:val="00F8248E"/>
    <w:rsid w:val="00F9552F"/>
    <w:rsid w:val="00FC7E0F"/>
    <w:rsid w:val="00FF5A41"/>
    <w:rsid w:val="01675739"/>
    <w:rsid w:val="02DA0576"/>
    <w:rsid w:val="04671060"/>
    <w:rsid w:val="070A6F1E"/>
    <w:rsid w:val="07612C2A"/>
    <w:rsid w:val="08772FA2"/>
    <w:rsid w:val="0A00497C"/>
    <w:rsid w:val="0F3A06FF"/>
    <w:rsid w:val="11F119A5"/>
    <w:rsid w:val="13A13673"/>
    <w:rsid w:val="153D4AE5"/>
    <w:rsid w:val="15C056C9"/>
    <w:rsid w:val="18CE2162"/>
    <w:rsid w:val="1C38548F"/>
    <w:rsid w:val="1D0B7468"/>
    <w:rsid w:val="1FB3760B"/>
    <w:rsid w:val="1FE81D9C"/>
    <w:rsid w:val="22ED01B5"/>
    <w:rsid w:val="23072B93"/>
    <w:rsid w:val="23456B8E"/>
    <w:rsid w:val="27302DF4"/>
    <w:rsid w:val="27CA78EF"/>
    <w:rsid w:val="2B700B1C"/>
    <w:rsid w:val="2C8965FC"/>
    <w:rsid w:val="2CE37ABA"/>
    <w:rsid w:val="303B6C1F"/>
    <w:rsid w:val="35DA3013"/>
    <w:rsid w:val="3B6053A1"/>
    <w:rsid w:val="3D142315"/>
    <w:rsid w:val="3D250372"/>
    <w:rsid w:val="3D5A0824"/>
    <w:rsid w:val="3E52360A"/>
    <w:rsid w:val="400F22C9"/>
    <w:rsid w:val="419162E9"/>
    <w:rsid w:val="423A456F"/>
    <w:rsid w:val="457C7E32"/>
    <w:rsid w:val="462900E5"/>
    <w:rsid w:val="46300B3D"/>
    <w:rsid w:val="489163CC"/>
    <w:rsid w:val="48C62DA7"/>
    <w:rsid w:val="4EB1136E"/>
    <w:rsid w:val="4F081A42"/>
    <w:rsid w:val="4FDA1AF8"/>
    <w:rsid w:val="50DE036E"/>
    <w:rsid w:val="5119144D"/>
    <w:rsid w:val="524A1CBC"/>
    <w:rsid w:val="5358022F"/>
    <w:rsid w:val="5596446C"/>
    <w:rsid w:val="560A5808"/>
    <w:rsid w:val="560B124B"/>
    <w:rsid w:val="564F40C7"/>
    <w:rsid w:val="57022AA7"/>
    <w:rsid w:val="58C223CA"/>
    <w:rsid w:val="595978D3"/>
    <w:rsid w:val="5CC430E4"/>
    <w:rsid w:val="5CC57E2D"/>
    <w:rsid w:val="5CF90C22"/>
    <w:rsid w:val="615638A6"/>
    <w:rsid w:val="62CD19F2"/>
    <w:rsid w:val="63A53001"/>
    <w:rsid w:val="65325FCB"/>
    <w:rsid w:val="68183DB4"/>
    <w:rsid w:val="694C0619"/>
    <w:rsid w:val="69AC5ABA"/>
    <w:rsid w:val="6A7C0F87"/>
    <w:rsid w:val="6D377A1A"/>
    <w:rsid w:val="6D995632"/>
    <w:rsid w:val="70904415"/>
    <w:rsid w:val="71332A07"/>
    <w:rsid w:val="71643D30"/>
    <w:rsid w:val="7258197D"/>
    <w:rsid w:val="73006DA4"/>
    <w:rsid w:val="736D4706"/>
    <w:rsid w:val="73924A5F"/>
    <w:rsid w:val="741E6C60"/>
    <w:rsid w:val="753E56BE"/>
    <w:rsid w:val="759C7A97"/>
    <w:rsid w:val="76C37247"/>
    <w:rsid w:val="77B533CE"/>
    <w:rsid w:val="7A7A4D1A"/>
    <w:rsid w:val="7C0A2923"/>
    <w:rsid w:val="7C435DBA"/>
    <w:rsid w:val="7C8F243F"/>
    <w:rsid w:val="7D847ACA"/>
    <w:rsid w:val="7E855D71"/>
    <w:rsid w:val="7EAE77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qFormat="1" w:unhideWhenUsed="0" w:uiPriority="0" w:semiHidden="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iPriority="99"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qFormat="1" w:unhideWhenUsed="0" w:uiPriority="0" w:semiHidden="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24"/>
    <w:qFormat/>
    <w:uiPriority w:val="0"/>
    <w:pPr>
      <w:keepNext/>
      <w:keepLines/>
      <w:numPr>
        <w:ilvl w:val="0"/>
        <w:numId w:val="1"/>
      </w:numPr>
      <w:spacing w:before="340" w:after="330" w:line="360" w:lineRule="auto"/>
      <w:outlineLvl w:val="0"/>
    </w:pPr>
    <w:rPr>
      <w:rFonts w:ascii="宋体" w:hAnsi="宋体" w:eastAsia="新宋体" w:cs="宋体"/>
      <w:b/>
      <w:bCs/>
      <w:kern w:val="44"/>
      <w:sz w:val="44"/>
      <w:szCs w:val="44"/>
    </w:rPr>
  </w:style>
  <w:style w:type="paragraph" w:styleId="4">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paragraph" w:styleId="5">
    <w:name w:val="heading 3"/>
    <w:basedOn w:val="1"/>
    <w:next w:val="1"/>
    <w:semiHidden/>
    <w:unhideWhenUsed/>
    <w:qFormat/>
    <w:uiPriority w:val="0"/>
    <w:pPr>
      <w:keepNext/>
      <w:keepLines/>
      <w:numPr>
        <w:ilvl w:val="2"/>
        <w:numId w:val="1"/>
      </w:numPr>
      <w:spacing w:before="260" w:after="260" w:line="413" w:lineRule="auto"/>
      <w:outlineLvl w:val="2"/>
    </w:pPr>
    <w:rPr>
      <w:b/>
      <w:sz w:val="32"/>
    </w:rPr>
  </w:style>
  <w:style w:type="paragraph" w:styleId="6">
    <w:name w:val="heading 4"/>
    <w:basedOn w:val="1"/>
    <w:next w:val="1"/>
    <w:semiHidden/>
    <w:unhideWhenUsed/>
    <w:qFormat/>
    <w:uiPriority w:val="0"/>
    <w:pPr>
      <w:keepNext/>
      <w:keepLines/>
      <w:numPr>
        <w:ilvl w:val="3"/>
        <w:numId w:val="1"/>
      </w:numPr>
      <w:spacing w:before="280" w:after="290" w:line="372" w:lineRule="auto"/>
      <w:outlineLvl w:val="3"/>
    </w:pPr>
    <w:rPr>
      <w:rFonts w:ascii="Arial" w:hAnsi="Arial" w:eastAsia="黑体"/>
      <w:b/>
      <w:sz w:val="28"/>
    </w:rPr>
  </w:style>
  <w:style w:type="paragraph" w:styleId="7">
    <w:name w:val="heading 5"/>
    <w:basedOn w:val="1"/>
    <w:next w:val="1"/>
    <w:semiHidden/>
    <w:unhideWhenUsed/>
    <w:qFormat/>
    <w:uiPriority w:val="0"/>
    <w:pPr>
      <w:keepNext/>
      <w:keepLines/>
      <w:numPr>
        <w:ilvl w:val="4"/>
        <w:numId w:val="1"/>
      </w:numPr>
      <w:spacing w:before="280" w:after="290" w:line="372" w:lineRule="auto"/>
      <w:outlineLvl w:val="4"/>
    </w:pPr>
    <w:rPr>
      <w:b/>
      <w:sz w:val="28"/>
    </w:rPr>
  </w:style>
  <w:style w:type="paragraph" w:styleId="8">
    <w:name w:val="heading 6"/>
    <w:basedOn w:val="1"/>
    <w:next w:val="1"/>
    <w:semiHidden/>
    <w:unhideWhenUsed/>
    <w:qFormat/>
    <w:uiPriority w:val="0"/>
    <w:pPr>
      <w:keepNext/>
      <w:keepLines/>
      <w:numPr>
        <w:ilvl w:val="5"/>
        <w:numId w:val="1"/>
      </w:numPr>
      <w:spacing w:before="240" w:after="64" w:line="317" w:lineRule="auto"/>
      <w:outlineLvl w:val="5"/>
    </w:pPr>
    <w:rPr>
      <w:rFonts w:ascii="Arial" w:hAnsi="Arial" w:eastAsia="黑体"/>
      <w:b/>
      <w:sz w:val="24"/>
    </w:rPr>
  </w:style>
  <w:style w:type="paragraph" w:styleId="9">
    <w:name w:val="heading 7"/>
    <w:basedOn w:val="1"/>
    <w:next w:val="1"/>
    <w:semiHidden/>
    <w:unhideWhenUsed/>
    <w:qFormat/>
    <w:uiPriority w:val="0"/>
    <w:pPr>
      <w:keepNext/>
      <w:keepLines/>
      <w:numPr>
        <w:ilvl w:val="6"/>
        <w:numId w:val="1"/>
      </w:numPr>
      <w:spacing w:before="240" w:after="64" w:line="317" w:lineRule="auto"/>
      <w:outlineLvl w:val="6"/>
    </w:pPr>
    <w:rPr>
      <w:b/>
      <w:sz w:val="24"/>
    </w:rPr>
  </w:style>
  <w:style w:type="paragraph" w:styleId="10">
    <w:name w:val="heading 8"/>
    <w:basedOn w:val="1"/>
    <w:next w:val="1"/>
    <w:semiHidden/>
    <w:unhideWhenUsed/>
    <w:qFormat/>
    <w:uiPriority w:val="0"/>
    <w:pPr>
      <w:keepNext/>
      <w:keepLines/>
      <w:numPr>
        <w:ilvl w:val="7"/>
        <w:numId w:val="1"/>
      </w:numPr>
      <w:spacing w:before="240" w:after="64" w:line="317" w:lineRule="auto"/>
      <w:outlineLvl w:val="7"/>
    </w:pPr>
    <w:rPr>
      <w:rFonts w:ascii="Arial" w:hAnsi="Arial" w:eastAsia="黑体"/>
      <w:sz w:val="24"/>
    </w:rPr>
  </w:style>
  <w:style w:type="paragraph" w:styleId="11">
    <w:name w:val="heading 9"/>
    <w:basedOn w:val="1"/>
    <w:next w:val="1"/>
    <w:semiHidden/>
    <w:unhideWhenUsed/>
    <w:qFormat/>
    <w:uiPriority w:val="0"/>
    <w:pPr>
      <w:keepNext/>
      <w:keepLines/>
      <w:numPr>
        <w:ilvl w:val="8"/>
        <w:numId w:val="1"/>
      </w:numPr>
      <w:spacing w:before="240" w:after="64" w:line="317" w:lineRule="auto"/>
      <w:outlineLvl w:val="8"/>
    </w:pPr>
    <w:rPr>
      <w:rFonts w:ascii="Arial" w:hAnsi="Arial" w:eastAsia="黑体"/>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12">
    <w:name w:val="index 8"/>
    <w:basedOn w:val="1"/>
    <w:next w:val="1"/>
    <w:qFormat/>
    <w:uiPriority w:val="0"/>
    <w:pPr>
      <w:ind w:left="2940"/>
    </w:pPr>
  </w:style>
  <w:style w:type="paragraph" w:styleId="13">
    <w:name w:val="annotation text"/>
    <w:basedOn w:val="1"/>
    <w:unhideWhenUsed/>
    <w:qFormat/>
    <w:uiPriority w:val="0"/>
    <w:pPr>
      <w:jc w:val="left"/>
    </w:pPr>
  </w:style>
  <w:style w:type="paragraph" w:styleId="14">
    <w:name w:val="Plain Text"/>
    <w:basedOn w:val="1"/>
    <w:next w:val="1"/>
    <w:unhideWhenUsed/>
    <w:qFormat/>
    <w:uiPriority w:val="99"/>
    <w:rPr>
      <w:rFonts w:ascii="宋体" w:hAnsi="Courier New"/>
      <w:szCs w:val="20"/>
    </w:rPr>
  </w:style>
  <w:style w:type="paragraph" w:styleId="15">
    <w:name w:val="Balloon Text"/>
    <w:basedOn w:val="1"/>
    <w:link w:val="25"/>
    <w:qFormat/>
    <w:uiPriority w:val="0"/>
    <w:rPr>
      <w:sz w:val="18"/>
      <w:szCs w:val="18"/>
    </w:rPr>
  </w:style>
  <w:style w:type="paragraph" w:styleId="16">
    <w:name w:val="footer"/>
    <w:basedOn w:val="1"/>
    <w:next w:val="1"/>
    <w:qFormat/>
    <w:uiPriority w:val="0"/>
    <w:pPr>
      <w:tabs>
        <w:tab w:val="center" w:pos="4153"/>
        <w:tab w:val="right" w:pos="8306"/>
      </w:tabs>
      <w:snapToGrid w:val="0"/>
      <w:jc w:val="left"/>
    </w:pPr>
    <w:rPr>
      <w:sz w:val="18"/>
    </w:rPr>
  </w:style>
  <w:style w:type="paragraph" w:styleId="1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8">
    <w:name w:val="Normal (Web)"/>
    <w:basedOn w:val="1"/>
    <w:qFormat/>
    <w:uiPriority w:val="0"/>
    <w:pPr>
      <w:spacing w:beforeAutospacing="1" w:afterAutospacing="1"/>
      <w:jc w:val="left"/>
    </w:pPr>
    <w:rPr>
      <w:rFonts w:cs="Times New Roman"/>
      <w:kern w:val="0"/>
      <w:sz w:val="24"/>
    </w:rPr>
  </w:style>
  <w:style w:type="table" w:styleId="20">
    <w:name w:val="Table Grid"/>
    <w:basedOn w:val="1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0"/>
    <w:rPr>
      <w:b/>
    </w:rPr>
  </w:style>
  <w:style w:type="character" w:styleId="23">
    <w:name w:val="HTML Sample"/>
    <w:basedOn w:val="21"/>
    <w:qFormat/>
    <w:uiPriority w:val="0"/>
    <w:rPr>
      <w:rFonts w:ascii="Courier New" w:hAnsi="Courier New"/>
    </w:rPr>
  </w:style>
  <w:style w:type="character" w:customStyle="1" w:styleId="24">
    <w:name w:val="标题 1 字符"/>
    <w:basedOn w:val="21"/>
    <w:link w:val="3"/>
    <w:qFormat/>
    <w:uiPriority w:val="0"/>
    <w:rPr>
      <w:rFonts w:ascii="宋体" w:hAnsi="宋体" w:eastAsia="新宋体" w:cs="宋体"/>
      <w:b/>
      <w:bCs/>
      <w:kern w:val="44"/>
      <w:sz w:val="44"/>
      <w:szCs w:val="44"/>
    </w:rPr>
  </w:style>
  <w:style w:type="character" w:customStyle="1" w:styleId="25">
    <w:name w:val="批注框文本 字符"/>
    <w:basedOn w:val="21"/>
    <w:link w:val="15"/>
    <w:qFormat/>
    <w:uiPriority w:val="0"/>
    <w:rPr>
      <w:rFonts w:asciiTheme="minorHAnsi" w:hAnsiTheme="minorHAnsi" w:eastAsiaTheme="minorEastAsia" w:cstheme="minorBidi"/>
      <w:kern w:val="2"/>
      <w:sz w:val="18"/>
      <w:szCs w:val="18"/>
    </w:rPr>
  </w:style>
  <w:style w:type="paragraph" w:customStyle="1" w:styleId="26">
    <w:name w:val="Default"/>
    <w:next w:val="1"/>
    <w:qFormat/>
    <w:uiPriority w:val="0"/>
    <w:pPr>
      <w:widowControl w:val="0"/>
      <w:autoSpaceDE w:val="0"/>
      <w:autoSpaceDN w:val="0"/>
      <w:adjustRightInd w:val="0"/>
    </w:pPr>
    <w:rPr>
      <w:rFonts w:ascii="宋体" w:hAnsi="Perpetua" w:eastAsia="宋体" w:cs="宋体"/>
      <w:color w:val="000000"/>
      <w:sz w:val="24"/>
      <w:szCs w:val="24"/>
      <w:lang w:val="en-US" w:eastAsia="zh-CN" w:bidi="ar-SA"/>
    </w:rPr>
  </w:style>
  <w:style w:type="paragraph" w:styleId="27">
    <w:name w:val="List Paragraph"/>
    <w:basedOn w:val="1"/>
    <w:qFormat/>
    <w:uiPriority w:val="34"/>
    <w:pPr>
      <w:ind w:firstLine="420" w:firstLineChars="200"/>
    </w:pPr>
  </w:style>
  <w:style w:type="paragraph" w:customStyle="1" w:styleId="28">
    <w:name w:val="正文g"/>
    <w:qFormat/>
    <w:uiPriority w:val="0"/>
    <w:pPr>
      <w:jc w:val="both"/>
    </w:pPr>
    <w:rPr>
      <w:rFonts w:ascii="仿宋_GB2312" w:hAnsi="宋体" w:eastAsia="仿宋_GB2312"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1271</Words>
  <Characters>1341</Characters>
  <Lines>33</Lines>
  <Paragraphs>9</Paragraphs>
  <TotalTime>1</TotalTime>
  <ScaleCrop>false</ScaleCrop>
  <LinksUpToDate>false</LinksUpToDate>
  <CharactersWithSpaces>1344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2024-05-29T02:34:00Z</dcterms:created>
  <dc:creator>Administrator</dc:creator>
  <cp:lastModifiedBy>丽丽</cp:lastModifiedBy>
  <cp:lastPrinted>2023-03-07T10:13:00Z</cp:lastPrinted>
  <dcterms:modified xsi:type="dcterms:W3CDTF">2025-04-10T09:04:06Z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76DDCDFEC04C43A6BCAF32C5F6441E0C_13</vt:lpwstr>
  </property>
  <property fmtid="{D5CDD505-2E9C-101B-9397-08002B2CF9AE}" pid="4" name="KSOTemplateDocerSaveRecord">
    <vt:lpwstr>eyJoZGlkIjoiNmY3MDBhZDQ2ZDI1Y2ZjZDgzMmE3MTNlYjIwOWQ4MzkiLCJ1c2VySWQiOiI4MTIwMzkyMzYifQ==</vt:lpwstr>
  </property>
</Properties>
</file>