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3F108">
      <w:pPr>
        <w:pStyle w:val="18"/>
        <w:widowControl/>
        <w:spacing w:beforeAutospacing="0" w:afterAutospacing="0" w:line="480" w:lineRule="exact"/>
        <w:rPr>
          <w:rStyle w:val="22"/>
        </w:rPr>
      </w:pPr>
      <w:bookmarkStart w:id="0" w:name="_GoBack"/>
      <w:r>
        <w:rPr>
          <w:rFonts w:hint="eastAsia" w:ascii="黑体" w:hAnsi="黑体" w:eastAsia="黑体" w:cs="黑体"/>
          <w:sz w:val="28"/>
          <w:szCs w:val="28"/>
        </w:rPr>
        <w:t>一、项目名称（分标一）：全民健康信息平台专线租赁（线路汇聚一） </w:t>
      </w:r>
    </w:p>
    <w:bookmarkEnd w:id="0"/>
    <w:p w14:paraId="79F7D8C6">
      <w:pPr>
        <w:pStyle w:val="18"/>
        <w:widowControl/>
        <w:spacing w:beforeAutospacing="0" w:afterAutospacing="0"/>
        <w:rPr>
          <w:rStyle w:val="22"/>
          <w:rFonts w:ascii="楷体" w:hAnsi="楷体" w:eastAsia="楷体" w:cs="楷体"/>
          <w:b w:val="0"/>
          <w:bCs/>
          <w:sz w:val="32"/>
          <w:szCs w:val="32"/>
        </w:rPr>
      </w:pPr>
      <w:r>
        <w:rPr>
          <w:rStyle w:val="22"/>
          <w:rFonts w:hint="eastAsia" w:ascii="楷体" w:hAnsi="楷体" w:eastAsia="楷体" w:cs="楷体"/>
          <w:b w:val="0"/>
          <w:bCs/>
          <w:sz w:val="32"/>
          <w:szCs w:val="32"/>
        </w:rPr>
        <w:t>（一）采购需求</w:t>
      </w:r>
    </w:p>
    <w:p w14:paraId="10E6B81B">
      <w:pPr>
        <w:pStyle w:val="18"/>
        <w:widowControl/>
        <w:spacing w:beforeAutospacing="0" w:afterAutospacing="0"/>
        <w:rPr>
          <w:rStyle w:val="22"/>
        </w:rPr>
      </w:pPr>
    </w:p>
    <w:tbl>
      <w:tblPr>
        <w:tblStyle w:val="19"/>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48"/>
        <w:gridCol w:w="3369"/>
        <w:gridCol w:w="1371"/>
        <w:gridCol w:w="1478"/>
        <w:gridCol w:w="1040"/>
      </w:tblGrid>
      <w:tr w14:paraId="36B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8" w:type="dxa"/>
            <w:shd w:val="clear" w:color="auto" w:fill="auto"/>
            <w:tcMar>
              <w:top w:w="75" w:type="dxa"/>
              <w:left w:w="150" w:type="dxa"/>
              <w:bottom w:w="75" w:type="dxa"/>
              <w:right w:w="150" w:type="dxa"/>
            </w:tcMar>
            <w:vAlign w:val="center"/>
          </w:tcPr>
          <w:p w14:paraId="3BE0BD65">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商品名称</w:t>
            </w:r>
          </w:p>
        </w:tc>
        <w:tc>
          <w:tcPr>
            <w:tcW w:w="3369" w:type="dxa"/>
            <w:shd w:val="clear" w:color="auto" w:fill="auto"/>
            <w:tcMar>
              <w:top w:w="75" w:type="dxa"/>
              <w:left w:w="150" w:type="dxa"/>
              <w:bottom w:w="75" w:type="dxa"/>
              <w:right w:w="150" w:type="dxa"/>
            </w:tcMar>
            <w:vAlign w:val="center"/>
          </w:tcPr>
          <w:p w14:paraId="70ACBCA4">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参数要求</w:t>
            </w:r>
          </w:p>
        </w:tc>
        <w:tc>
          <w:tcPr>
            <w:tcW w:w="1371" w:type="dxa"/>
            <w:shd w:val="clear" w:color="auto" w:fill="auto"/>
            <w:tcMar>
              <w:top w:w="75" w:type="dxa"/>
              <w:left w:w="150" w:type="dxa"/>
              <w:bottom w:w="75" w:type="dxa"/>
              <w:right w:w="150" w:type="dxa"/>
            </w:tcMar>
            <w:vAlign w:val="center"/>
          </w:tcPr>
          <w:p w14:paraId="444559EA">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购买数量</w:t>
            </w:r>
          </w:p>
        </w:tc>
        <w:tc>
          <w:tcPr>
            <w:tcW w:w="1478" w:type="dxa"/>
            <w:shd w:val="clear" w:color="auto" w:fill="auto"/>
            <w:tcMar>
              <w:top w:w="75" w:type="dxa"/>
              <w:left w:w="150" w:type="dxa"/>
              <w:bottom w:w="75" w:type="dxa"/>
              <w:right w:w="150" w:type="dxa"/>
            </w:tcMar>
            <w:vAlign w:val="center"/>
          </w:tcPr>
          <w:p w14:paraId="132B0022">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控制金额(元)</w:t>
            </w:r>
          </w:p>
        </w:tc>
        <w:tc>
          <w:tcPr>
            <w:tcW w:w="1040" w:type="dxa"/>
            <w:shd w:val="clear" w:color="auto" w:fill="auto"/>
            <w:tcMar>
              <w:top w:w="75" w:type="dxa"/>
              <w:left w:w="150" w:type="dxa"/>
              <w:bottom w:w="75" w:type="dxa"/>
              <w:right w:w="150" w:type="dxa"/>
            </w:tcMar>
            <w:vAlign w:val="center"/>
          </w:tcPr>
          <w:p w14:paraId="12C4027B">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意向品牌</w:t>
            </w:r>
          </w:p>
        </w:tc>
      </w:tr>
      <w:tr w14:paraId="3531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48" w:type="dxa"/>
            <w:shd w:val="clear" w:color="auto" w:fill="auto"/>
            <w:tcMar>
              <w:top w:w="75" w:type="dxa"/>
              <w:left w:w="150" w:type="dxa"/>
              <w:bottom w:w="75" w:type="dxa"/>
              <w:right w:w="150" w:type="dxa"/>
            </w:tcMar>
            <w:vAlign w:val="center"/>
          </w:tcPr>
          <w:p w14:paraId="28658514">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互联网线路汇聚一</w:t>
            </w:r>
          </w:p>
        </w:tc>
        <w:tc>
          <w:tcPr>
            <w:tcW w:w="3369" w:type="dxa"/>
            <w:shd w:val="clear" w:color="auto" w:fill="auto"/>
            <w:tcMar>
              <w:top w:w="75" w:type="dxa"/>
              <w:left w:w="150" w:type="dxa"/>
              <w:bottom w:w="75" w:type="dxa"/>
              <w:right w:w="150" w:type="dxa"/>
            </w:tcMar>
            <w:vAlign w:val="center"/>
          </w:tcPr>
          <w:p w14:paraId="25FE6F37">
            <w:pPr>
              <w:pStyle w:val="2"/>
              <w:numPr>
                <w:ilvl w:val="-1"/>
                <w:numId w:val="0"/>
              </w:num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1.3000M互联网专线，50个IPv4地址，免费使用IPv6地址；</w:t>
            </w:r>
          </w:p>
          <w:p w14:paraId="630C9636">
            <w:pPr>
              <w:pStyle w:val="2"/>
              <w:numPr>
                <w:ilvl w:val="-1"/>
                <w:numId w:val="0"/>
              </w:num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2.线路双路由保障服务，支持突发应急事件下的免费建设提供万兆带宽，包含链路链接的必要设备。设备提供双端口冗余，满足任一端口或两个端口同时使用互联网专线服务。</w:t>
            </w:r>
          </w:p>
          <w:p w14:paraId="6298C9DE">
            <w:pPr>
              <w:pStyle w:val="2"/>
              <w:numPr>
                <w:ilvl w:val="-1"/>
                <w:numId w:val="0"/>
              </w:num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3.专线配套提供抗DDOS攻击监控、流量清洗峰值不少于3Gbps、分析溯源安全服务。</w:t>
            </w:r>
          </w:p>
          <w:p w14:paraId="3A6C363C">
            <w:pPr>
              <w:pStyle w:val="2"/>
              <w:numPr>
                <w:ilvl w:val="-1"/>
                <w:numId w:val="0"/>
              </w:numPr>
            </w:pPr>
            <w:r>
              <w:rPr>
                <w:rFonts w:hint="eastAsia" w:ascii="仿宋_GB2312" w:hAnsi="仿宋_GB2312" w:eastAsia="仿宋_GB2312" w:cs="仿宋_GB2312"/>
                <w:kern w:val="2"/>
                <w:sz w:val="24"/>
                <w:szCs w:val="24"/>
                <w:lang w:val="en-US" w:eastAsia="zh-CN" w:bidi="ar-SA"/>
              </w:rPr>
              <w:t>4.服务期12个月。</w:t>
            </w:r>
          </w:p>
        </w:tc>
        <w:tc>
          <w:tcPr>
            <w:tcW w:w="1371" w:type="dxa"/>
            <w:shd w:val="clear" w:color="auto" w:fill="auto"/>
            <w:tcMar>
              <w:top w:w="75" w:type="dxa"/>
              <w:left w:w="150" w:type="dxa"/>
              <w:bottom w:w="75" w:type="dxa"/>
              <w:right w:w="150" w:type="dxa"/>
            </w:tcMar>
            <w:vAlign w:val="center"/>
          </w:tcPr>
          <w:p w14:paraId="6033CD7E">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1项</w:t>
            </w:r>
          </w:p>
        </w:tc>
        <w:tc>
          <w:tcPr>
            <w:tcW w:w="1478" w:type="dxa"/>
            <w:shd w:val="clear" w:color="auto" w:fill="auto"/>
            <w:tcMar>
              <w:top w:w="75" w:type="dxa"/>
              <w:left w:w="150" w:type="dxa"/>
              <w:bottom w:w="75" w:type="dxa"/>
              <w:right w:w="150" w:type="dxa"/>
            </w:tcMar>
            <w:vAlign w:val="center"/>
          </w:tcPr>
          <w:p w14:paraId="70C718F2">
            <w:pPr>
              <w:widowControl/>
              <w:wordWrap w:val="0"/>
              <w:jc w:val="center"/>
              <w:rPr>
                <w:rFonts w:ascii="仿宋_GB2312" w:hAnsi="仿宋_GB2312" w:eastAsia="仿宋_GB2312" w:cs="仿宋_GB2312"/>
                <w:sz w:val="24"/>
              </w:rPr>
            </w:pPr>
            <w:r>
              <w:rPr>
                <w:rFonts w:hint="eastAsia" w:ascii="仿宋_GB2312" w:hAnsi="仿宋_GB2312" w:eastAsia="仿宋_GB2312" w:cs="仿宋_GB2312"/>
                <w:sz w:val="24"/>
              </w:rPr>
              <w:t>51</w:t>
            </w:r>
            <w:r>
              <w:rPr>
                <w:rFonts w:hint="eastAsia" w:ascii="仿宋_GB2312" w:hAnsi="仿宋_GB2312" w:eastAsia="仿宋_GB2312" w:cs="仿宋_GB2312"/>
                <w:kern w:val="0"/>
                <w:sz w:val="24"/>
                <w:lang w:bidi="ar"/>
              </w:rPr>
              <w:t>0000.00</w:t>
            </w:r>
          </w:p>
        </w:tc>
        <w:tc>
          <w:tcPr>
            <w:tcW w:w="1040" w:type="dxa"/>
            <w:shd w:val="clear" w:color="auto" w:fill="auto"/>
            <w:tcMar>
              <w:top w:w="75" w:type="dxa"/>
              <w:left w:w="150" w:type="dxa"/>
              <w:bottom w:w="75" w:type="dxa"/>
              <w:right w:w="150" w:type="dxa"/>
            </w:tcMar>
            <w:vAlign w:val="center"/>
          </w:tcPr>
          <w:p w14:paraId="3CE493FB">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w:t>
            </w:r>
          </w:p>
        </w:tc>
      </w:tr>
    </w:tbl>
    <w:p w14:paraId="5DB4BFEE">
      <w:pPr>
        <w:pStyle w:val="18"/>
        <w:widowControl/>
        <w:spacing w:beforeAutospacing="0" w:afterAutospacing="0"/>
        <w:rPr>
          <w:rStyle w:val="22"/>
        </w:rPr>
      </w:pPr>
    </w:p>
    <w:p w14:paraId="3933FCF5">
      <w:pPr>
        <w:pStyle w:val="18"/>
        <w:widowControl/>
        <w:numPr>
          <w:ilvl w:val="0"/>
          <w:numId w:val="2"/>
        </w:numPr>
        <w:spacing w:beforeAutospacing="0" w:afterAutospacing="0"/>
        <w:rPr>
          <w:rStyle w:val="22"/>
          <w:rFonts w:ascii="楷体" w:hAnsi="楷体" w:eastAsia="楷体" w:cs="楷体"/>
          <w:b w:val="0"/>
          <w:sz w:val="32"/>
          <w:szCs w:val="32"/>
        </w:rPr>
      </w:pPr>
      <w:r>
        <w:rPr>
          <w:rStyle w:val="22"/>
          <w:rFonts w:hint="eastAsia" w:ascii="楷体" w:hAnsi="楷体" w:eastAsia="楷体" w:cs="楷体"/>
          <w:b w:val="0"/>
          <w:sz w:val="32"/>
          <w:szCs w:val="32"/>
        </w:rPr>
        <w:t>商务要求</w:t>
      </w:r>
    </w:p>
    <w:p w14:paraId="165559F0">
      <w:pPr>
        <w:pStyle w:val="18"/>
        <w:widowControl/>
        <w:spacing w:beforeAutospacing="0" w:afterAutospacing="0"/>
        <w:rPr>
          <w:rStyle w:val="22"/>
          <w:rFonts w:ascii="黑体" w:hAnsi="黑体" w:eastAsia="黑体" w:cs="黑体"/>
          <w:b w:val="0"/>
        </w:rPr>
      </w:pPr>
    </w:p>
    <w:tbl>
      <w:tblPr>
        <w:tblStyle w:val="19"/>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80"/>
        <w:gridCol w:w="7026"/>
      </w:tblGrid>
      <w:tr w14:paraId="44F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580" w:type="dxa"/>
            <w:shd w:val="clear" w:color="auto" w:fill="auto"/>
            <w:tcMar>
              <w:top w:w="75" w:type="dxa"/>
              <w:left w:w="150" w:type="dxa"/>
              <w:bottom w:w="75" w:type="dxa"/>
              <w:right w:w="150" w:type="dxa"/>
            </w:tcMar>
            <w:vAlign w:val="center"/>
          </w:tcPr>
          <w:p w14:paraId="5B0B81D9">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商务项目</w:t>
            </w:r>
          </w:p>
        </w:tc>
        <w:tc>
          <w:tcPr>
            <w:tcW w:w="7026" w:type="dxa"/>
            <w:shd w:val="clear" w:color="auto" w:fill="auto"/>
            <w:tcMar>
              <w:top w:w="75" w:type="dxa"/>
              <w:left w:w="150" w:type="dxa"/>
              <w:bottom w:w="75" w:type="dxa"/>
              <w:right w:w="150" w:type="dxa"/>
            </w:tcMar>
            <w:vAlign w:val="center"/>
          </w:tcPr>
          <w:p w14:paraId="005875AF">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商务要求</w:t>
            </w:r>
          </w:p>
        </w:tc>
      </w:tr>
      <w:tr w14:paraId="127F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580" w:type="dxa"/>
            <w:shd w:val="clear" w:color="auto" w:fill="auto"/>
            <w:tcMar>
              <w:top w:w="75" w:type="dxa"/>
              <w:left w:w="150" w:type="dxa"/>
              <w:bottom w:w="75" w:type="dxa"/>
              <w:right w:w="150" w:type="dxa"/>
            </w:tcMar>
            <w:vAlign w:val="center"/>
          </w:tcPr>
          <w:p w14:paraId="5C5B4F15">
            <w:pPr>
              <w:widowControl/>
              <w:wordWrap w:val="0"/>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商务要求</w:t>
            </w:r>
          </w:p>
        </w:tc>
        <w:tc>
          <w:tcPr>
            <w:tcW w:w="7026" w:type="dxa"/>
            <w:shd w:val="clear" w:color="auto" w:fill="auto"/>
            <w:tcMar>
              <w:top w:w="75" w:type="dxa"/>
              <w:left w:w="150" w:type="dxa"/>
              <w:bottom w:w="75" w:type="dxa"/>
              <w:right w:w="150" w:type="dxa"/>
            </w:tcMar>
            <w:vAlign w:val="center"/>
          </w:tcPr>
          <w:p w14:paraId="1AE78254">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1.合同签订期：自成交通知书发出之日起</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rPr>
              <w:t>个工作日内</w:t>
            </w:r>
            <w:r>
              <w:rPr>
                <w:rFonts w:hint="eastAsia" w:ascii="仿宋_GB2312" w:hAnsi="仿宋_GB2312" w:eastAsia="仿宋_GB2312" w:cs="仿宋_GB2312"/>
                <w:sz w:val="24"/>
                <w:lang w:eastAsia="zh-CN"/>
              </w:rPr>
              <w:t>。</w:t>
            </w:r>
          </w:p>
          <w:p w14:paraId="697BE5E1">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2.提交服务成果时间：合同签订后，采购人发出交付通知起48小时内交付使用</w:t>
            </w:r>
            <w:r>
              <w:rPr>
                <w:rFonts w:hint="eastAsia" w:ascii="仿宋_GB2312" w:hAnsi="仿宋_GB2312" w:eastAsia="仿宋_GB2312" w:cs="仿宋_GB2312"/>
                <w:sz w:val="24"/>
                <w:lang w:eastAsia="zh-CN"/>
              </w:rPr>
              <w:t>。</w:t>
            </w:r>
          </w:p>
          <w:p w14:paraId="148217BD">
            <w:pPr>
              <w:pStyle w:val="2"/>
              <w:spacing w:after="0"/>
              <w:rPr>
                <w:rFonts w:ascii="仿宋_GB2312" w:hAnsi="仿宋_GB2312" w:eastAsia="仿宋_GB2312" w:cs="仿宋_GB2312"/>
                <w:sz w:val="24"/>
              </w:rPr>
            </w:pPr>
            <w:r>
              <w:rPr>
                <w:rFonts w:hint="eastAsia" w:ascii="仿宋_GB2312" w:hAnsi="仿宋_GB2312" w:eastAsia="仿宋_GB2312" w:cs="仿宋_GB2312"/>
                <w:sz w:val="24"/>
              </w:rPr>
              <w:t>3.安排技术人员协助采购人完成对在用网络专线与新网络专线的无缝切换工作。</w:t>
            </w:r>
          </w:p>
          <w:p w14:paraId="69E6BC55">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4.提交服务成果地点：</w:t>
            </w:r>
            <w:r>
              <w:rPr>
                <w:rFonts w:hint="eastAsia" w:ascii="仿宋_GB2312" w:hAnsi="仿宋_GB2312" w:eastAsia="仿宋_GB2312" w:cs="仿宋_GB2312"/>
                <w:color w:val="000000"/>
                <w:kern w:val="0"/>
                <w:sz w:val="24"/>
              </w:rPr>
              <w:t>南宁市内采购人指定地点</w:t>
            </w:r>
            <w:r>
              <w:rPr>
                <w:rFonts w:hint="eastAsia" w:ascii="仿宋_GB2312" w:hAnsi="仿宋_GB2312" w:eastAsia="仿宋_GB2312" w:cs="仿宋_GB2312"/>
                <w:color w:val="000000"/>
                <w:kern w:val="0"/>
                <w:sz w:val="24"/>
                <w:lang w:eastAsia="zh-CN"/>
              </w:rPr>
              <w:t>。</w:t>
            </w:r>
          </w:p>
          <w:p w14:paraId="02E9B3F8">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服务期：12个月</w:t>
            </w:r>
            <w:r>
              <w:rPr>
                <w:rFonts w:hint="eastAsia" w:ascii="仿宋_GB2312" w:hAnsi="仿宋_GB2312" w:eastAsia="仿宋_GB2312" w:cs="仿宋_GB2312"/>
                <w:sz w:val="24"/>
                <w:lang w:eastAsia="zh-CN"/>
              </w:rPr>
              <w:t>。</w:t>
            </w:r>
          </w:p>
          <w:p w14:paraId="3C1C12F4">
            <w:pPr>
              <w:pStyle w:val="2"/>
              <w:spacing w:after="0"/>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本项目不接受联合体投标。</w:t>
            </w:r>
          </w:p>
          <w:p w14:paraId="3757381A">
            <w:pPr>
              <w:pStyle w:val="2"/>
              <w:spacing w:after="0"/>
              <w:jc w:val="left"/>
              <w:rPr>
                <w:rFonts w:ascii="仿宋_GB2312" w:hAnsi="仿宋_GB2312" w:eastAsia="仿宋_GB2312" w:cs="仿宋_GB2312"/>
                <w:sz w:val="24"/>
              </w:rPr>
            </w:pPr>
            <w:r>
              <w:rPr>
                <w:rFonts w:hint="eastAsia" w:ascii="仿宋_GB2312" w:hAnsi="仿宋_GB2312" w:eastAsia="仿宋_GB2312" w:cs="仿宋_GB2312"/>
                <w:sz w:val="24"/>
              </w:rPr>
              <w:t>7</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报价要求：投标人应对本项目的所有内容范围的服务进行总承包报价；采购人不再支付任何费用。</w:t>
            </w:r>
          </w:p>
          <w:p w14:paraId="15240CBD">
            <w:pPr>
              <w:rPr>
                <w:rFonts w:hint="eastAsia" w:ascii="仿宋_GB2312" w:hAnsi="仿宋_GB2312" w:eastAsia="仿宋_GB2312" w:cs="仿宋_GB2312"/>
                <w:sz w:val="24"/>
                <w:lang w:eastAsia="zh-CN"/>
              </w:rPr>
            </w:pPr>
            <w:r>
              <w:rPr>
                <w:rFonts w:hint="eastAsia" w:ascii="仿宋_GB2312" w:hAnsi="仿宋_GB2312" w:eastAsia="仿宋_GB2312" w:cs="仿宋_GB2312"/>
                <w:sz w:val="24"/>
              </w:rPr>
              <w:t>8</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故障响应：中标供应商需安排专门技术人员提供7×24小时热线电话服务，并提供多个故障申告途径及绿色通道，做到全方位响应，并指定专人负责上门受理调试日常维护及平时协助甲方维护检测等工作；提供故障处理进度跟踪服务，提供7×24小时的售后服务响应。故障申报30分钟内响应，1小时到达现场，8小时恢复业务（自然灾害等不可抗拒原因除外）</w:t>
            </w:r>
            <w:r>
              <w:rPr>
                <w:rFonts w:hint="eastAsia" w:ascii="仿宋_GB2312" w:hAnsi="仿宋_GB2312" w:eastAsia="仿宋_GB2312" w:cs="仿宋_GB2312"/>
                <w:sz w:val="24"/>
                <w:lang w:eastAsia="zh-CN"/>
              </w:rPr>
              <w:t>。</w:t>
            </w:r>
          </w:p>
          <w:p w14:paraId="5BCEB5C7">
            <w:pPr>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9</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color w:val="000000"/>
                <w:sz w:val="24"/>
              </w:rPr>
              <w:t>本项目为服务成果整体交付应用项目，按服务总价包干，为交钥匙工程，采购人不对项目达到成果水平报的服务、货物、施工等一切内容追加支付费用，而由</w:t>
            </w:r>
            <w:r>
              <w:rPr>
                <w:rFonts w:hint="eastAsia" w:ascii="仿宋_GB2312" w:hAnsi="仿宋_GB2312" w:eastAsia="仿宋_GB2312" w:cs="仿宋_GB2312"/>
                <w:sz w:val="24"/>
              </w:rPr>
              <w:t>中标供应商</w:t>
            </w:r>
            <w:r>
              <w:rPr>
                <w:rFonts w:hint="eastAsia" w:ascii="仿宋_GB2312" w:hAnsi="仿宋_GB2312" w:eastAsia="仿宋_GB2312" w:cs="仿宋_GB2312"/>
                <w:color w:val="000000"/>
                <w:sz w:val="24"/>
              </w:rPr>
              <w:t>在合同价内全部提供或解决</w:t>
            </w:r>
            <w:r>
              <w:rPr>
                <w:rFonts w:hint="eastAsia" w:ascii="仿宋_GB2312" w:hAnsi="仿宋_GB2312" w:eastAsia="仿宋_GB2312" w:cs="仿宋_GB2312"/>
                <w:color w:val="000000"/>
                <w:sz w:val="24"/>
                <w:lang w:eastAsia="zh-CN"/>
              </w:rPr>
              <w:t>。</w:t>
            </w:r>
          </w:p>
          <w:p w14:paraId="79B210A5">
            <w:pPr>
              <w:pStyle w:val="2"/>
              <w:spacing w:after="0"/>
              <w:rPr>
                <w:rFonts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当用户网络需要扩展或升级时，负责免费提供相应解决方案等技术支持。</w:t>
            </w:r>
          </w:p>
          <w:p w14:paraId="590CA5D9">
            <w:pPr>
              <w:pStyle w:val="2"/>
              <w:spacing w:after="0"/>
              <w:rPr>
                <w:rFonts w:ascii="仿宋_GB2312" w:hAnsi="仿宋_GB2312" w:eastAsia="仿宋_GB2312" w:cs="仿宋_GB2312"/>
                <w:sz w:val="24"/>
              </w:rPr>
            </w:pPr>
            <w:r>
              <w:rPr>
                <w:rFonts w:hint="eastAsia" w:ascii="仿宋_GB2312" w:hAnsi="仿宋_GB2312" w:eastAsia="仿宋_GB2312" w:cs="仿宋_GB2312"/>
                <w:sz w:val="24"/>
              </w:rPr>
              <w:t>11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投标人在投标时，必须提供包括但不限于满足项目要求并可行的应急响应方案、技术保障方案（包括不少于</w:t>
            </w:r>
            <w:r>
              <w:rPr>
                <w:rFonts w:ascii="仿宋_GB2312" w:hAnsi="仿宋_GB2312" w:eastAsia="仿宋_GB2312" w:cs="仿宋_GB2312"/>
                <w:sz w:val="24"/>
              </w:rPr>
              <w:t>3</w:t>
            </w:r>
            <w:r>
              <w:rPr>
                <w:rFonts w:hint="eastAsia" w:ascii="仿宋_GB2312" w:hAnsi="仿宋_GB2312" w:eastAsia="仿宋_GB2312" w:cs="仿宋_GB2312"/>
                <w:sz w:val="24"/>
              </w:rPr>
              <w:t>人的技术保障团队名单、团队成员技术水平情况、投标截止之日半年内投标人</w:t>
            </w:r>
            <w:r>
              <w:rPr>
                <w:rFonts w:hint="eastAsia" w:ascii="仿宋_GB2312" w:hAnsi="仿宋_GB2312" w:eastAsia="仿宋_GB2312" w:cs="仿宋_GB2312"/>
                <w:color w:val="000000"/>
                <w:sz w:val="24"/>
              </w:rPr>
              <w:t>1个月社会保险参保缴费证明，参保名单须包含拟投入本项目实施人员并做出标记）、专线无缝切换保障方案、网络扩容解决方案。</w:t>
            </w:r>
          </w:p>
          <w:p w14:paraId="5E226214">
            <w:pPr>
              <w:rPr>
                <w:rFonts w:ascii="仿宋_GB2312" w:hAnsi="仿宋_GB2312" w:eastAsia="仿宋_GB2312" w:cs="仿宋_GB2312"/>
                <w:sz w:val="24"/>
              </w:rPr>
            </w:pPr>
            <w:r>
              <w:rPr>
                <w:rFonts w:hint="eastAsia" w:ascii="仿宋_GB2312" w:hAnsi="仿宋_GB2312" w:eastAsia="仿宋_GB2312" w:cs="仿宋_GB2312"/>
                <w:sz w:val="24"/>
              </w:rPr>
              <w:t>12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付款方式：本项目无预付款，中标供应商按要求开通网络线路后，双方在验收清单上签字盖章确认后，并开具合同款对应的增值税发票给采购人，采购人在15个工作日内支付100%合同款。</w:t>
            </w:r>
          </w:p>
          <w:p w14:paraId="268AEA40">
            <w:pPr>
              <w:rPr>
                <w:rFonts w:ascii="仿宋_GB2312" w:hAnsi="仿宋_GB2312" w:eastAsia="仿宋_GB2312" w:cs="仿宋_GB2312"/>
              </w:rPr>
            </w:pPr>
            <w:r>
              <w:rPr>
                <w:rFonts w:hint="eastAsia" w:ascii="仿宋_GB2312" w:hAnsi="仿宋_GB2312" w:eastAsia="仿宋_GB2312" w:cs="仿宋_GB2312"/>
                <w:sz w:val="24"/>
              </w:rPr>
              <w:t>13</w:t>
            </w:r>
            <w:r>
              <w:rPr>
                <w:rFonts w:hint="eastAsia" w:ascii="仿宋_GB2312" w:hAnsi="仿宋_GB2312" w:eastAsia="仿宋_GB2312" w:cs="仿宋_GB2312"/>
                <w:sz w:val="24"/>
                <w:lang w:val="en-US" w:eastAsia="zh-CN"/>
              </w:rPr>
              <w:t>.</w:t>
            </w:r>
            <w:r>
              <w:rPr>
                <w:rStyle w:val="23"/>
                <w:rFonts w:hint="eastAsia" w:ascii="仿宋_GB2312" w:hAnsi="仿宋_GB2312" w:eastAsia="仿宋_GB2312" w:cs="仿宋_GB2312"/>
                <w:sz w:val="24"/>
              </w:rPr>
              <w:t>响应附件要求：营业执照</w:t>
            </w:r>
            <w:r>
              <w:rPr>
                <w:rFonts w:ascii="Calibri" w:hAnsi="Calibri" w:eastAsia="仿宋_GB2312" w:cs="Calibri"/>
                <w:sz w:val="24"/>
              </w:rPr>
              <w:t> </w:t>
            </w:r>
            <w:r>
              <w:rPr>
                <w:rFonts w:hint="eastAsia" w:ascii="仿宋_GB2312" w:hAnsi="仿宋_GB2312" w:eastAsia="仿宋_GB2312" w:cs="仿宋_GB2312"/>
                <w:sz w:val="24"/>
              </w:rPr>
              <w:t>、应急响应方案、技术保障方案、专线无缝切换保障方案、网络扩容解决方案。</w:t>
            </w:r>
          </w:p>
        </w:tc>
      </w:tr>
    </w:tbl>
    <w:p w14:paraId="4BB08DD1">
      <w:pPr>
        <w:pStyle w:val="18"/>
        <w:widowControl/>
        <w:spacing w:beforeAutospacing="0" w:afterAutospacing="0"/>
        <w:rPr>
          <w:rStyle w:val="22"/>
        </w:rPr>
      </w:pPr>
    </w:p>
    <w:p w14:paraId="233C9CBC">
      <w:pPr>
        <w:pStyle w:val="18"/>
        <w:widowControl/>
        <w:spacing w:beforeAutospacing="0" w:afterAutospacing="0"/>
        <w:rPr>
          <w:rStyle w:val="22"/>
        </w:rPr>
      </w:pPr>
    </w:p>
    <w:p w14:paraId="2C61564B">
      <w:pPr>
        <w:pStyle w:val="18"/>
        <w:widowControl/>
        <w:spacing w:beforeAutospacing="0" w:afterAutospacing="0"/>
        <w:rPr>
          <w:rStyle w:val="22"/>
        </w:rPr>
      </w:pPr>
    </w:p>
    <w:p w14:paraId="5B635AEA">
      <w:pPr>
        <w:pStyle w:val="18"/>
        <w:widowControl/>
        <w:spacing w:beforeAutospacing="0" w:afterAutospacing="0"/>
        <w:rPr>
          <w:rStyle w:val="22"/>
        </w:rPr>
      </w:pPr>
    </w:p>
    <w:p w14:paraId="6A91BB63">
      <w:pPr>
        <w:pStyle w:val="18"/>
        <w:widowControl/>
        <w:spacing w:beforeAutospacing="0" w:afterAutospacing="0"/>
        <w:rPr>
          <w:rStyle w:val="22"/>
        </w:rPr>
      </w:pPr>
    </w:p>
    <w:p w14:paraId="54AC9CB1">
      <w:pPr>
        <w:pStyle w:val="18"/>
        <w:widowControl/>
        <w:spacing w:beforeAutospacing="0" w:afterAutospacing="0"/>
        <w:rPr>
          <w:rFonts w:ascii="黑体" w:hAnsi="黑体" w:eastAsia="黑体" w:cs="黑体"/>
          <w:sz w:val="32"/>
          <w:szCs w:val="32"/>
        </w:rPr>
      </w:pPr>
    </w:p>
    <w:sectPr>
      <w:footerReference r:id="rId3" w:type="default"/>
      <w:pgSz w:w="11906" w:h="16838"/>
      <w:pgMar w:top="1701" w:right="1418" w:bottom="141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Perpetua">
    <w:panose1 w:val="02020502060401020303"/>
    <w:charset w:val="00"/>
    <w:family w:val="roman"/>
    <w:pitch w:val="default"/>
    <w:sig w:usb0="00000003"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189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B7FA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EB7FA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C748E"/>
    <w:multiLevelType w:val="singleLevel"/>
    <w:tmpl w:val="AACC748E"/>
    <w:lvl w:ilvl="0" w:tentative="0">
      <w:start w:val="2"/>
      <w:numFmt w:val="chineseCounting"/>
      <w:suff w:val="nothing"/>
      <w:lvlText w:val="（%1）"/>
      <w:lvlJc w:val="left"/>
      <w:rPr>
        <w:rFonts w:hint="eastAsia"/>
      </w:rPr>
    </w:lvl>
  </w:abstractNum>
  <w:abstractNum w:abstractNumId="1">
    <w:nsid w:val="73F9B870"/>
    <w:multiLevelType w:val="multilevel"/>
    <w:tmpl w:val="73F9B870"/>
    <w:lvl w:ilvl="0" w:tentative="0">
      <w:start w:val="1"/>
      <w:numFmt w:val="decimal"/>
      <w:pStyle w:val="3"/>
      <w:lvlText w:val="第%1章"/>
      <w:lvlJc w:val="left"/>
      <w:pPr>
        <w:ind w:left="1271" w:hanging="420"/>
      </w:pPr>
      <w:rPr>
        <w:rFonts w:hint="eastAsia" w:ascii="Times New Roman" w:hAnsi="Times New Roman" w:eastAsia="宋体" w:cs="Times New Roman"/>
        <w:b/>
        <w:i w:val="0"/>
        <w:color w:val="000000"/>
        <w:sz w:val="44"/>
        <w:szCs w:val="44"/>
        <w:lang w:val="en-US"/>
      </w:rPr>
    </w:lvl>
    <w:lvl w:ilvl="1" w:tentative="0">
      <w:start w:val="1"/>
      <w:numFmt w:val="decimal"/>
      <w:isLgl/>
      <w:lvlText w:val="%1.%2"/>
      <w:lvlJc w:val="left"/>
      <w:pPr>
        <w:tabs>
          <w:tab w:val="left" w:pos="680"/>
        </w:tabs>
        <w:ind w:left="680" w:hanging="680"/>
      </w:pPr>
      <w:rPr>
        <w:rFonts w:hint="eastAsia" w:ascii="黑体" w:eastAsia="黑体"/>
        <w:b/>
        <w:i w:val="0"/>
        <w:sz w:val="32"/>
        <w:szCs w:val="32"/>
      </w:rPr>
    </w:lvl>
    <w:lvl w:ilvl="2" w:tentative="0">
      <w:start w:val="1"/>
      <w:numFmt w:val="decimal"/>
      <w:pStyle w:val="5"/>
      <w:isLgl/>
      <w:lvlText w:val="%1.%2.%3"/>
      <w:lvlJc w:val="left"/>
      <w:pPr>
        <w:tabs>
          <w:tab w:val="left" w:pos="1146"/>
        </w:tabs>
        <w:ind w:left="1146" w:hanging="720"/>
      </w:pPr>
      <w:rPr>
        <w:rFonts w:hint="eastAsia" w:ascii="黑体" w:hAnsi="Times New Roman" w:eastAsia="黑体" w:cs="Times New Roman"/>
        <w:b/>
        <w:i w:val="0"/>
        <w:sz w:val="30"/>
        <w:szCs w:val="30"/>
      </w:rPr>
    </w:lvl>
    <w:lvl w:ilvl="3" w:tentative="0">
      <w:start w:val="1"/>
      <w:numFmt w:val="decimal"/>
      <w:pStyle w:val="6"/>
      <w:isLgl/>
      <w:lvlText w:val="%1.%2.%3.%4"/>
      <w:lvlJc w:val="left"/>
      <w:pPr>
        <w:tabs>
          <w:tab w:val="left" w:pos="1116"/>
        </w:tabs>
        <w:ind w:left="1116" w:hanging="1116"/>
      </w:pPr>
      <w:rPr>
        <w:rFonts w:hint="eastAsia" w:ascii="黑体" w:hAnsi="Times New Roman" w:eastAsia="黑体" w:cs="Times New Roman"/>
        <w:b/>
        <w:i w:val="0"/>
        <w:color w:val="auto"/>
        <w:sz w:val="28"/>
        <w:szCs w:val="28"/>
        <w:u w:val="none"/>
        <w:lang w:val="en-US"/>
      </w:rPr>
    </w:lvl>
    <w:lvl w:ilvl="4" w:tentative="0">
      <w:start w:val="1"/>
      <w:numFmt w:val="decimal"/>
      <w:pStyle w:val="7"/>
      <w:isLgl/>
      <w:lvlText w:val="%1.%2.%3.%4.%5"/>
      <w:lvlJc w:val="left"/>
      <w:pPr>
        <w:tabs>
          <w:tab w:val="left" w:pos="720"/>
        </w:tabs>
        <w:ind w:left="720" w:hanging="720"/>
      </w:pPr>
      <w:rPr>
        <w:rFonts w:hint="eastAsia" w:ascii="黑体" w:eastAsia="黑体"/>
        <w:b/>
        <w:i w:val="0"/>
        <w:sz w:val="24"/>
        <w:szCs w:val="24"/>
      </w:rPr>
    </w:lvl>
    <w:lvl w:ilvl="5" w:tentative="0">
      <w:start w:val="1"/>
      <w:numFmt w:val="decimal"/>
      <w:pStyle w:val="8"/>
      <w:isLgl/>
      <w:lvlText w:val="%1.%2.%3.%4.%5.%6"/>
      <w:lvlJc w:val="left"/>
      <w:pPr>
        <w:tabs>
          <w:tab w:val="left" w:pos="864"/>
        </w:tabs>
        <w:ind w:left="864" w:hanging="864"/>
      </w:pPr>
      <w:rPr>
        <w:rFonts w:hint="eastAsia" w:ascii="黑体" w:eastAsia="黑体"/>
        <w:b/>
        <w:i w:val="0"/>
        <w:sz w:val="24"/>
        <w:szCs w:val="24"/>
      </w:rPr>
    </w:lvl>
    <w:lvl w:ilvl="6" w:tentative="0">
      <w:start w:val="1"/>
      <w:numFmt w:val="decimal"/>
      <w:pStyle w:val="9"/>
      <w:isLgl/>
      <w:lvlText w:val="%1.%2.%3.%4.%5.%6.%7"/>
      <w:lvlJc w:val="left"/>
      <w:pPr>
        <w:tabs>
          <w:tab w:val="left" w:pos="1008"/>
        </w:tabs>
        <w:ind w:left="1008" w:hanging="1008"/>
      </w:pPr>
      <w:rPr>
        <w:rFonts w:hint="eastAsia" w:ascii="黑体" w:eastAsia="黑体"/>
        <w:b/>
        <w:i w:val="0"/>
        <w:sz w:val="24"/>
        <w:szCs w:val="24"/>
      </w:rPr>
    </w:lvl>
    <w:lvl w:ilvl="7" w:tentative="0">
      <w:start w:val="1"/>
      <w:numFmt w:val="decimal"/>
      <w:pStyle w:val="10"/>
      <w:isLgl/>
      <w:lvlText w:val="%1.%2.%3.%4.%5.%6.%7.%8"/>
      <w:lvlJc w:val="left"/>
      <w:pPr>
        <w:tabs>
          <w:tab w:val="left" w:pos="1152"/>
        </w:tabs>
        <w:ind w:left="1152" w:hanging="1152"/>
      </w:pPr>
      <w:rPr>
        <w:rFonts w:hint="eastAsia" w:ascii="黑体" w:eastAsia="黑体"/>
        <w:b/>
        <w:i w:val="0"/>
        <w:sz w:val="24"/>
        <w:szCs w:val="24"/>
      </w:rPr>
    </w:lvl>
    <w:lvl w:ilvl="8" w:tentative="0">
      <w:start w:val="1"/>
      <w:numFmt w:val="decimal"/>
      <w:pStyle w:val="11"/>
      <w:isLgl/>
      <w:lvlText w:val="%1.%2.%3.%4.%5.%6.%7.%8.%9"/>
      <w:lvlJc w:val="left"/>
      <w:pPr>
        <w:tabs>
          <w:tab w:val="left" w:pos="1296"/>
        </w:tabs>
        <w:ind w:left="1296" w:hanging="1296"/>
      </w:pPr>
      <w:rPr>
        <w:rFonts w:hint="eastAsia" w:eastAsia="黑体"/>
        <w:b/>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zdjZTcwZjAwNTU4ZTM5NjlhYTUzN2Q3OTQxZDYifQ=="/>
  </w:docVars>
  <w:rsids>
    <w:rsidRoot w:val="00E51130"/>
    <w:rsid w:val="00096FF3"/>
    <w:rsid w:val="00154744"/>
    <w:rsid w:val="00173B48"/>
    <w:rsid w:val="00232A3C"/>
    <w:rsid w:val="00270AC0"/>
    <w:rsid w:val="002A3E23"/>
    <w:rsid w:val="0039575A"/>
    <w:rsid w:val="003B4530"/>
    <w:rsid w:val="003D5B4C"/>
    <w:rsid w:val="004513D6"/>
    <w:rsid w:val="0046148A"/>
    <w:rsid w:val="00475453"/>
    <w:rsid w:val="00485833"/>
    <w:rsid w:val="004873E8"/>
    <w:rsid w:val="0050263D"/>
    <w:rsid w:val="005A1DAF"/>
    <w:rsid w:val="005A6D8D"/>
    <w:rsid w:val="00603F74"/>
    <w:rsid w:val="00672836"/>
    <w:rsid w:val="00672ECD"/>
    <w:rsid w:val="006A030F"/>
    <w:rsid w:val="006C0FB0"/>
    <w:rsid w:val="006E3167"/>
    <w:rsid w:val="00734C94"/>
    <w:rsid w:val="00744C5B"/>
    <w:rsid w:val="00756154"/>
    <w:rsid w:val="00796E39"/>
    <w:rsid w:val="00832BD7"/>
    <w:rsid w:val="0084000C"/>
    <w:rsid w:val="00927FC1"/>
    <w:rsid w:val="0093791D"/>
    <w:rsid w:val="009B2BFE"/>
    <w:rsid w:val="00A144E9"/>
    <w:rsid w:val="00A34626"/>
    <w:rsid w:val="00AC376A"/>
    <w:rsid w:val="00B075AB"/>
    <w:rsid w:val="00B12201"/>
    <w:rsid w:val="00B27093"/>
    <w:rsid w:val="00B7019A"/>
    <w:rsid w:val="00BE4F71"/>
    <w:rsid w:val="00BF1BA9"/>
    <w:rsid w:val="00C11B49"/>
    <w:rsid w:val="00C81563"/>
    <w:rsid w:val="00C85F91"/>
    <w:rsid w:val="00C90AED"/>
    <w:rsid w:val="00C97384"/>
    <w:rsid w:val="00CD0AF3"/>
    <w:rsid w:val="00DC63FB"/>
    <w:rsid w:val="00E14070"/>
    <w:rsid w:val="00E51130"/>
    <w:rsid w:val="00E94F6F"/>
    <w:rsid w:val="00ED4BAC"/>
    <w:rsid w:val="00F51E68"/>
    <w:rsid w:val="00F62D4D"/>
    <w:rsid w:val="00F8248E"/>
    <w:rsid w:val="00F9552F"/>
    <w:rsid w:val="00FC7E0F"/>
    <w:rsid w:val="00FF5A41"/>
    <w:rsid w:val="01675739"/>
    <w:rsid w:val="02DA0576"/>
    <w:rsid w:val="04671060"/>
    <w:rsid w:val="07612C2A"/>
    <w:rsid w:val="08772FA2"/>
    <w:rsid w:val="0A00497C"/>
    <w:rsid w:val="0F3A06FF"/>
    <w:rsid w:val="11F119A5"/>
    <w:rsid w:val="13A13673"/>
    <w:rsid w:val="153D4AE5"/>
    <w:rsid w:val="15C056C9"/>
    <w:rsid w:val="18CE2162"/>
    <w:rsid w:val="1C38548F"/>
    <w:rsid w:val="1D0B7468"/>
    <w:rsid w:val="1FB3760B"/>
    <w:rsid w:val="1FE81D9C"/>
    <w:rsid w:val="22ED01B5"/>
    <w:rsid w:val="23072B93"/>
    <w:rsid w:val="23456B8E"/>
    <w:rsid w:val="27302DF4"/>
    <w:rsid w:val="2B700B1C"/>
    <w:rsid w:val="2C8965FC"/>
    <w:rsid w:val="2CE37ABA"/>
    <w:rsid w:val="303B6C1F"/>
    <w:rsid w:val="35DA3013"/>
    <w:rsid w:val="3B6053A1"/>
    <w:rsid w:val="3D142315"/>
    <w:rsid w:val="3D250372"/>
    <w:rsid w:val="3D5A0824"/>
    <w:rsid w:val="3E52360A"/>
    <w:rsid w:val="400F22C9"/>
    <w:rsid w:val="419162E9"/>
    <w:rsid w:val="423A456F"/>
    <w:rsid w:val="457C7E32"/>
    <w:rsid w:val="462900E5"/>
    <w:rsid w:val="46300B3D"/>
    <w:rsid w:val="489163CC"/>
    <w:rsid w:val="48C62DA7"/>
    <w:rsid w:val="4EB1136E"/>
    <w:rsid w:val="4F081A42"/>
    <w:rsid w:val="4FDA1AF8"/>
    <w:rsid w:val="5119144D"/>
    <w:rsid w:val="524A1CBC"/>
    <w:rsid w:val="5358022F"/>
    <w:rsid w:val="5596446C"/>
    <w:rsid w:val="560A5808"/>
    <w:rsid w:val="560B124B"/>
    <w:rsid w:val="564F40C7"/>
    <w:rsid w:val="57022AA7"/>
    <w:rsid w:val="58C223CA"/>
    <w:rsid w:val="595978D3"/>
    <w:rsid w:val="5CC430E4"/>
    <w:rsid w:val="5CC57E2D"/>
    <w:rsid w:val="5CF90C22"/>
    <w:rsid w:val="615638A6"/>
    <w:rsid w:val="62CD19F2"/>
    <w:rsid w:val="63A53001"/>
    <w:rsid w:val="65325FCB"/>
    <w:rsid w:val="68183DB4"/>
    <w:rsid w:val="694C0619"/>
    <w:rsid w:val="69AC5ABA"/>
    <w:rsid w:val="6A7C0F87"/>
    <w:rsid w:val="6D377A1A"/>
    <w:rsid w:val="6D995632"/>
    <w:rsid w:val="70904415"/>
    <w:rsid w:val="71332A07"/>
    <w:rsid w:val="71643D30"/>
    <w:rsid w:val="7258197D"/>
    <w:rsid w:val="73006DA4"/>
    <w:rsid w:val="736D4706"/>
    <w:rsid w:val="73924A5F"/>
    <w:rsid w:val="741E6C60"/>
    <w:rsid w:val="753E56BE"/>
    <w:rsid w:val="759C7A97"/>
    <w:rsid w:val="762C355C"/>
    <w:rsid w:val="76C37247"/>
    <w:rsid w:val="77B533CE"/>
    <w:rsid w:val="7A7A4D1A"/>
    <w:rsid w:val="7C0A2923"/>
    <w:rsid w:val="7C435DBA"/>
    <w:rsid w:val="7C8F243F"/>
    <w:rsid w:val="7D847ACA"/>
    <w:rsid w:val="7E855D71"/>
    <w:rsid w:val="7EAE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numPr>
        <w:ilvl w:val="0"/>
        <w:numId w:val="1"/>
      </w:numPr>
      <w:spacing w:before="340" w:after="330" w:line="360" w:lineRule="auto"/>
      <w:outlineLvl w:val="0"/>
    </w:pPr>
    <w:rPr>
      <w:rFonts w:ascii="宋体" w:hAnsi="宋体" w:eastAsia="新宋体" w:cs="宋体"/>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12">
    <w:name w:val="index 8"/>
    <w:basedOn w:val="1"/>
    <w:next w:val="1"/>
    <w:qFormat/>
    <w:uiPriority w:val="0"/>
    <w:pPr>
      <w:ind w:left="2940"/>
    </w:pPr>
  </w:style>
  <w:style w:type="paragraph" w:styleId="13">
    <w:name w:val="annotation text"/>
    <w:basedOn w:val="1"/>
    <w:unhideWhenUsed/>
    <w:qFormat/>
    <w:uiPriority w:val="0"/>
    <w:pPr>
      <w:jc w:val="left"/>
    </w:pPr>
  </w:style>
  <w:style w:type="paragraph" w:styleId="14">
    <w:name w:val="Plain Text"/>
    <w:basedOn w:val="1"/>
    <w:next w:val="1"/>
    <w:unhideWhenUsed/>
    <w:qFormat/>
    <w:uiPriority w:val="99"/>
    <w:rPr>
      <w:rFonts w:ascii="宋体" w:hAnsi="Courier New"/>
      <w:szCs w:val="20"/>
    </w:rPr>
  </w:style>
  <w:style w:type="paragraph" w:styleId="15">
    <w:name w:val="Balloon Text"/>
    <w:basedOn w:val="1"/>
    <w:link w:val="25"/>
    <w:qFormat/>
    <w:uiPriority w:val="0"/>
    <w:rPr>
      <w:sz w:val="18"/>
      <w:szCs w:val="18"/>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0"/>
    <w:pPr>
      <w:spacing w:beforeAutospacing="1" w:afterAutospacing="1"/>
      <w:jc w:val="left"/>
    </w:pPr>
    <w:rPr>
      <w:rFonts w:cs="Times New Roman"/>
      <w:kern w:val="0"/>
      <w:sz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TML Sample"/>
    <w:basedOn w:val="21"/>
    <w:qFormat/>
    <w:uiPriority w:val="0"/>
    <w:rPr>
      <w:rFonts w:ascii="Courier New" w:hAnsi="Courier New"/>
    </w:rPr>
  </w:style>
  <w:style w:type="character" w:customStyle="1" w:styleId="24">
    <w:name w:val="标题 1 字符"/>
    <w:basedOn w:val="21"/>
    <w:link w:val="3"/>
    <w:qFormat/>
    <w:uiPriority w:val="0"/>
    <w:rPr>
      <w:rFonts w:ascii="宋体" w:hAnsi="宋体" w:eastAsia="新宋体" w:cs="宋体"/>
      <w:b/>
      <w:bCs/>
      <w:kern w:val="44"/>
      <w:sz w:val="44"/>
      <w:szCs w:val="44"/>
    </w:rPr>
  </w:style>
  <w:style w:type="character" w:customStyle="1" w:styleId="25">
    <w:name w:val="批注框文本 字符"/>
    <w:basedOn w:val="21"/>
    <w:link w:val="15"/>
    <w:qFormat/>
    <w:uiPriority w:val="0"/>
    <w:rPr>
      <w:rFonts w:asciiTheme="minorHAnsi" w:hAnsiTheme="minorHAnsi" w:eastAsiaTheme="minorEastAsia" w:cstheme="minorBidi"/>
      <w:kern w:val="2"/>
      <w:sz w:val="18"/>
      <w:szCs w:val="18"/>
    </w:rPr>
  </w:style>
  <w:style w:type="paragraph" w:customStyle="1" w:styleId="26">
    <w:name w:val="Default"/>
    <w:next w:val="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正文g"/>
    <w:qFormat/>
    <w:uiPriority w:val="0"/>
    <w:pPr>
      <w:jc w:val="both"/>
    </w:pPr>
    <w:rPr>
      <w:rFonts w:ascii="仿宋_GB2312" w:hAnsi="宋体"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1352</Words>
  <Characters>1444</Characters>
  <Lines>33</Lines>
  <Paragraphs>9</Paragraphs>
  <TotalTime>24</TotalTime>
  <ScaleCrop>false</ScaleCrop>
  <LinksUpToDate>false</LinksUpToDate>
  <CharactersWithSpaces>1447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2024-05-29T02:34:00Z</dcterms:created>
  <dc:creator>Administrator</dc:creator>
  <cp:lastModifiedBy>丽丽</cp:lastModifiedBy>
  <cp:lastPrinted>2023-03-07T10:13:00Z</cp:lastPrinted>
  <dcterms:modified xsi:type="dcterms:W3CDTF">2025-04-10T08:42:53Z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6422E4E7454F4B1FB24CE242DE318038_13</vt:lpwstr>
  </property>
  <property fmtid="{D5CDD505-2E9C-101B-9397-08002B2CF9AE}" pid="4" name="KSOTemplateDocerSaveRecord">
    <vt:lpwstr>eyJoZGlkIjoiNmY3MDBhZDQ2ZDI1Y2ZjZDgzMmE3MTNlYjIwOWQ4MzkiLCJ1c2VySWQiOiI4MTIwMzkyMzYifQ==</vt:lpwstr>
  </property>
</Properties>
</file>