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56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25"/>
        <w:gridCol w:w="1337"/>
        <w:gridCol w:w="1513"/>
        <w:gridCol w:w="7675"/>
        <w:gridCol w:w="737"/>
        <w:gridCol w:w="775"/>
      </w:tblGrid>
      <w:tr w14:paraId="0AF5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567" w:type="dxa"/>
            <w:gridSpan w:val="7"/>
            <w:shd w:val="clear" w:color="auto" w:fill="auto"/>
            <w:noWrap/>
            <w:vAlign w:val="center"/>
          </w:tcPr>
          <w:p w14:paraId="445EA61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30"/>
                <w:szCs w:val="30"/>
              </w:rPr>
              <w:t>柳州监狱办案中心LED显示屏采购需求及商务要求</w:t>
            </w:r>
          </w:p>
        </w:tc>
      </w:tr>
      <w:tr w14:paraId="71DC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05" w:type="dxa"/>
            <w:shd w:val="clear" w:color="auto" w:fill="auto"/>
            <w:noWrap/>
            <w:vAlign w:val="center"/>
          </w:tcPr>
          <w:p w14:paraId="721146BB">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序号</w:t>
            </w:r>
          </w:p>
        </w:tc>
        <w:tc>
          <w:tcPr>
            <w:tcW w:w="1425" w:type="dxa"/>
            <w:shd w:val="clear" w:color="auto" w:fill="auto"/>
            <w:noWrap/>
            <w:vAlign w:val="center"/>
          </w:tcPr>
          <w:p w14:paraId="31A0535A">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产品名称</w:t>
            </w:r>
          </w:p>
        </w:tc>
        <w:tc>
          <w:tcPr>
            <w:tcW w:w="1337" w:type="dxa"/>
            <w:shd w:val="clear" w:color="auto" w:fill="auto"/>
            <w:noWrap/>
            <w:vAlign w:val="center"/>
          </w:tcPr>
          <w:p w14:paraId="2F072D5D">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品牌型号</w:t>
            </w:r>
          </w:p>
        </w:tc>
        <w:tc>
          <w:tcPr>
            <w:tcW w:w="1513" w:type="dxa"/>
            <w:shd w:val="clear" w:color="auto" w:fill="auto"/>
            <w:noWrap/>
            <w:vAlign w:val="center"/>
          </w:tcPr>
          <w:p w14:paraId="66DA5F9B">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产品分项</w:t>
            </w:r>
          </w:p>
        </w:tc>
        <w:tc>
          <w:tcPr>
            <w:tcW w:w="7675" w:type="dxa"/>
            <w:shd w:val="clear" w:color="auto" w:fill="auto"/>
            <w:noWrap/>
            <w:vAlign w:val="center"/>
          </w:tcPr>
          <w:p w14:paraId="2A6A3072">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技术参数或配置规格</w:t>
            </w:r>
          </w:p>
        </w:tc>
        <w:tc>
          <w:tcPr>
            <w:tcW w:w="737" w:type="dxa"/>
            <w:shd w:val="clear" w:color="auto" w:fill="auto"/>
            <w:noWrap/>
            <w:vAlign w:val="center"/>
          </w:tcPr>
          <w:p w14:paraId="054AA6DF">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数量</w:t>
            </w:r>
          </w:p>
        </w:tc>
        <w:tc>
          <w:tcPr>
            <w:tcW w:w="775" w:type="dxa"/>
            <w:shd w:val="clear" w:color="auto" w:fill="auto"/>
            <w:noWrap/>
            <w:vAlign w:val="center"/>
          </w:tcPr>
          <w:p w14:paraId="42B44193">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单位</w:t>
            </w:r>
          </w:p>
        </w:tc>
      </w:tr>
      <w:tr w14:paraId="3446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105" w:type="dxa"/>
            <w:vMerge w:val="restart"/>
            <w:shd w:val="clear" w:color="auto" w:fill="auto"/>
            <w:noWrap/>
            <w:vAlign w:val="center"/>
          </w:tcPr>
          <w:p w14:paraId="76D45E2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425" w:type="dxa"/>
            <w:vMerge w:val="restart"/>
            <w:shd w:val="clear" w:color="auto" w:fill="auto"/>
            <w:vAlign w:val="center"/>
          </w:tcPr>
          <w:p w14:paraId="4C2C858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LED显示屏</w:t>
            </w:r>
          </w:p>
        </w:tc>
        <w:tc>
          <w:tcPr>
            <w:tcW w:w="1337" w:type="dxa"/>
            <w:vMerge w:val="restart"/>
            <w:shd w:val="clear" w:color="auto" w:fill="auto"/>
            <w:vAlign w:val="center"/>
          </w:tcPr>
          <w:p w14:paraId="630AC4E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青松QF2715</w:t>
            </w:r>
          </w:p>
        </w:tc>
        <w:tc>
          <w:tcPr>
            <w:tcW w:w="1513" w:type="dxa"/>
            <w:shd w:val="clear" w:color="auto" w:fill="auto"/>
            <w:vAlign w:val="center"/>
          </w:tcPr>
          <w:p w14:paraId="2F31F69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LED箱体</w:t>
            </w:r>
          </w:p>
        </w:tc>
        <w:tc>
          <w:tcPr>
            <w:tcW w:w="7675" w:type="dxa"/>
            <w:shd w:val="clear" w:color="auto" w:fill="auto"/>
            <w:vAlign w:val="center"/>
          </w:tcPr>
          <w:p w14:paraId="2ACCE82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产品规格：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1、屏体面积(㎡)：4.2*2.3625=9.9225㎡（16:9）</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2、屏体分辨率：2688*1512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3、含备品2个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4、7*7=49个箱体（每个箱体4张板），箱体厚度31MM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产品参数：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1、▲点间距≤1.57mm；（提供国家认可的第三方检测机构出具的专业检测报告复印件，原件交货时备查）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2、显示符合广电级显示效果，高色域重合度，色域重合度≥99%；色域覆盖率：≥99.3%(DCI-P3)；≥120%YIQ(NTSC)；≥170%YUV(PAL)；</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3、对比度≥10000:1</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4、▲箱体为压铸铝合金材质，全金属自然散热结构，无风扇，无孔，防尘、静音设计；（提供国家认可的第三方检测机构出具的专业检测报告复印件，原件交货时备查）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5、▲根据现场实际安装需求，采用轻薄箱体，要求箱体厚度≤31mm，单箱体重量≤4.5kg;(±0.1kg)；（提供国家认可的第三方检测机构出具的专业检测报告复印件，原件交货时备查）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6、支持4K超高清显示，支持过流，过压，过温，短路等保护，支持HDR2.0高清显示；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7、▲依据SJ/T11281-2017第4.2.2测试，垂直≥178度，水平≥178度；（提供国家认可的第三方检测机构出具的专业检测报告复印件，原件交货时备查）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8、亮度均匀性≧99%，平整度≦0.05mm，拼缝≦0.05mm；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电源、接收卡、转接板三合一，即箱体内接收卡、电源、转接板3个模块的线路及元器件都集成在同一块PCB板上（接收卡和电源非插拔、焊接或螺丝固定于PCB板上），接收卡控制方案（FPGA）为国产芯片，功能包含但不限于交/直流电源、接收卡，配合不同点间距灯板即可正常工作;（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采用前全维护、前安装设计，灯板与三合一板采用硬连方式（两块板卡连接无需排线、电源线），灯板支持热插拔，所有元器件皆可从正面拆装、维护，有效节约安装空间（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11、▲支持低亮高灰效果，100%亮度时，16bit灰度，60%亮度时，14bit灰度，40%亮度时，14bit灰度，20%亮度时，14bit灰度；（提供国家认可的第三方检测机构出具的专业检测报告复印件，原件交货时备查）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12、平均无故障运行时间≧100000小时，连续12个月使用不经维修坏点率不高于5PPM。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13、采用多层PCB设计，一体化驱动控制，采用抗消隐设计，无“毛毛虫”“鬼影”跟随现象，无隐亮，全黑场信号下无灯管发光，显示画面无失真、变形、撕裂级不同步现象，画面流程无几何失真和非线性失真；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14、▲浮动式接插件：模组和驱动板之间、驱动板与箱体转接板之间采用浮动式接插件，箱内全部实现硬连接；屏体精度控制；（提供国家认可的第三方检测机构出具的专业检测报告复印件，原件交货时备查）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显示箱体通过GB/T17359-2023测试标准面板表面镀Pt20S后放入电子显微镜对样品进行放大观察并用X射线能谱分析仪检测微量元素组成：Au97%,O1.75%,C0.35%；依据GB/T2423.16-2022标准，显示屏在正常环境下，进行长霉试验，用50倍显示镜下观察不长霉，达到防霉0级特性；（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16、采用多层PCB设计，一体化驱动控制，采用抗消隐设计，无“毛毛虫”“鬼影”跟随现象，无隐亮，全黑场信号下无灯管发光，显示画面无失真、变形、撕裂级不同步现象，画面流程无几何失真和非线性失真；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17、根据使用时间，自动执行除湿功能，延长使用时间</w:t>
            </w:r>
          </w:p>
        </w:tc>
        <w:tc>
          <w:tcPr>
            <w:tcW w:w="737" w:type="dxa"/>
            <w:vMerge w:val="restart"/>
            <w:shd w:val="clear" w:color="auto" w:fill="auto"/>
            <w:vAlign w:val="center"/>
          </w:tcPr>
          <w:p w14:paraId="11F3D57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75" w:type="dxa"/>
            <w:vMerge w:val="restart"/>
            <w:shd w:val="clear" w:color="auto" w:fill="auto"/>
            <w:vAlign w:val="center"/>
          </w:tcPr>
          <w:p w14:paraId="5251559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r w14:paraId="0756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105" w:type="dxa"/>
            <w:vMerge w:val="continue"/>
            <w:vAlign w:val="center"/>
          </w:tcPr>
          <w:p w14:paraId="0B2396D9">
            <w:pPr>
              <w:widowControl/>
              <w:jc w:val="left"/>
              <w:rPr>
                <w:rFonts w:hint="eastAsia" w:ascii="宋体" w:hAnsi="宋体" w:eastAsia="宋体" w:cs="宋体"/>
                <w:color w:val="000000"/>
                <w:kern w:val="0"/>
                <w:sz w:val="22"/>
              </w:rPr>
            </w:pPr>
          </w:p>
        </w:tc>
        <w:tc>
          <w:tcPr>
            <w:tcW w:w="1425" w:type="dxa"/>
            <w:vMerge w:val="continue"/>
            <w:vAlign w:val="center"/>
          </w:tcPr>
          <w:p w14:paraId="6F5EC956">
            <w:pPr>
              <w:widowControl/>
              <w:jc w:val="left"/>
              <w:rPr>
                <w:rFonts w:hint="eastAsia" w:ascii="宋体" w:hAnsi="宋体" w:eastAsia="宋体" w:cs="宋体"/>
                <w:color w:val="000000"/>
                <w:kern w:val="0"/>
                <w:sz w:val="20"/>
                <w:szCs w:val="20"/>
              </w:rPr>
            </w:pPr>
          </w:p>
        </w:tc>
        <w:tc>
          <w:tcPr>
            <w:tcW w:w="1337" w:type="dxa"/>
            <w:vMerge w:val="continue"/>
            <w:vAlign w:val="center"/>
          </w:tcPr>
          <w:p w14:paraId="225EE586">
            <w:pPr>
              <w:widowControl/>
              <w:jc w:val="left"/>
              <w:rPr>
                <w:rFonts w:hint="eastAsia" w:ascii="宋体" w:hAnsi="宋体" w:eastAsia="宋体" w:cs="宋体"/>
                <w:color w:val="000000"/>
                <w:kern w:val="0"/>
                <w:sz w:val="20"/>
                <w:szCs w:val="20"/>
              </w:rPr>
            </w:pPr>
          </w:p>
        </w:tc>
        <w:tc>
          <w:tcPr>
            <w:tcW w:w="1513" w:type="dxa"/>
            <w:shd w:val="clear" w:color="auto" w:fill="auto"/>
            <w:vAlign w:val="center"/>
          </w:tcPr>
          <w:p w14:paraId="2D98142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LED发送盒</w:t>
            </w:r>
          </w:p>
        </w:tc>
        <w:tc>
          <w:tcPr>
            <w:tcW w:w="7675" w:type="dxa"/>
            <w:shd w:val="clear" w:color="auto" w:fill="auto"/>
            <w:vAlign w:val="center"/>
          </w:tcPr>
          <w:p w14:paraId="3E4916A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1、▲CPU: 2 x Cortex-A72 + 4 x Cortex-A53, 2.0GHz， 内存容量 ：4GB，存储容量：32GB；（提供国家认可的第三方检测机构出具的专业检测报告复印件，原件交货时备查）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2、支持 MPEG1、MPEG2、MPEG4、H.264、WMV、MKV、TS、flv 主流视频格式，支持 JPG、JPEG、BMP、PNG、GIF 图片格式；（提供国家认可的第三方检测机构出具的专业检测报告复印件，原件交货时备查）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3、▲支持 16 路输出网口，最大带载面积 830 万像素点，最宽可达 7680 像素，最高可达 4320 像素；（提供国家认可的第三方检测机构出具的专业检测报告复印件，原件交货时备查）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4、内部设置 RS232 和 RS485 接口，支持远程集控功能；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5、安卓卡和发送卡二合一高度集成设计；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6、内置视频处理器，无需额外配置视频处理器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7、▲内置电源管理，无需额外配置配电柜，最大额定功 率：7.7KW 220V/3.85KW 110V；（提供国家认可的第三方检测机构出具的专业检测报告复印件，原件交货时备查，验收时对此设计进行查验）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8、▲内置可控硅智能调节模块，替代继电器完成可控整流作用，在交流电路中实现开关及调压作用；（提供国家认可的第三方检测机构出具的专业检测报告复印件，原件交货时备查）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9、支持 H.265 4K高清视频硬解码播放，支持1080P的视频硬解码；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10、▲USB3.0 接口*1，USB2.0*1，HDMI-IN*1，3.5 音频输出口*1，Type-C 接口*1，红外接口*1，光感 接口*1，RS232 接口*1，亮度调节接口*2，菜单调出接口*1，待机/唤醒按键*1；（提供国家认可的第三方检测机构出具的专业检测报告复印件，原件交货时备查，验收时对接口数进行查验）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11、支持 HDMI输入模式及全屏自适应播放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12、全通道支持 4K 60HZ 信号输入输出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支持实体遥控器（红外、蓝牙）两种控制方式，实现对屏幕的亮度、色温、对比度、信号源切换、开关机、功能选择、分屏控制等操作；（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14、支持电脑通过无线投屏，把屏幕传到 LED 显示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15、▲屏且不影响电脑上网功能(Windows,MacOS)  ；支持手机/平板投屏(Android/iOS)， 传输平均延迟≤130ms，可通过连接局域网或 连接 WIFI 热点投屏；（提供国家认可的第三方检测机构出具的专业检测报告复印件，原件交货时备查）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16、▲最多支持同时 8 个用户终端同时连接设备，对设备进行控制；（提供国家认可的第三方检测机构出具的专业检测报告复印件，原件交货时备查）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17、无需外置视频处理器即可支持全屏、两分屏、三分屏、四分屏自由切换；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18、支持 Wi-Fi 双频 2.4G/5G；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19、支持通过安卓移动端，快速打开指定应用；支持通过安卓移动端实现发送盒的鼠标操作功能；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20、▲支持 OSD 菜单功能，实现遥控器、移动端（Windows、 MacOS、Android、IOS）对其操控时的状态显示；（提供国家认可的第三方检测机构出具的专业检测报告复印件，原件交货时备查）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21、▲满足中国国推 RoHS 环保要求以及欧盟 RoHS指令要求；（提供国家认可的第三方检测机构出具的专业检测报告复印件，原件交货时备查）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22、为了兼容不同品牌的灯珠，据有把单灯 LED 灯珠红、绿、蓝颜色交换的功能；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23、▲可通过遥控器或鼠标可对视频进行暂时、播放、 播放比例（自动、4：3、16：9）、播放模式（循 环播放、顺序播放、单曲播放）、播放字幕（内 嵌字幕、外挂字幕）、添加字幕等操作；（提供国家认可的第三方检测机构出具的专业检测报告复印件，原件交货时备查）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支持手机端控制软件可实现功能：局域网终端搜索、连接、登录、密码修改、忘记密码、终端删除、终端修改；屏体配置、多屏拼接、接收卡配置、终端升级；屏体连线、接收卡配置文件下发；（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支持云端控制软件可实现功能：播放器的重命名、删除、创建、获取位置、修改位置、获取状态、升级、媒体清理、紧急插播、撤回、定点投放及状态显示；重启、电源控制、屏幕状态、亮度、音量、视频源切换；新建、编辑、添加工作组、复制、删除、预览；（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26、设备通电后，通过机器上的实体键或遥控器一键待机、开机操作；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27、支持实体遥控器（红外、蓝牙）两种控制方式，实现对屏幕的亮度、色温、对比度、信号源切换、开关机、功能选择、分屏控制等操作；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28、支持双 wifi（AP 和 station 互相切换，使用同一个芯片）；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29、▲支持 Android 9.0 操作系统软件、安卓终端应用软件；（提供国家认可的第三方检测机构出具的专业检测报告复印件，原件交货时备查）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30、支持 1 路 USB3.0 接口，支持 U 盘节目导入播放；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31、▲为保证系统兼容性，此控制器与LED显示屏为同一品牌；（提供国家认可的第三方检测机构出具的专业检测报告复印件并加盖公章，原件备查）</w:t>
            </w:r>
          </w:p>
        </w:tc>
        <w:tc>
          <w:tcPr>
            <w:tcW w:w="737" w:type="dxa"/>
            <w:vMerge w:val="continue"/>
            <w:vAlign w:val="center"/>
          </w:tcPr>
          <w:p w14:paraId="14F69DEC">
            <w:pPr>
              <w:widowControl/>
              <w:jc w:val="left"/>
              <w:rPr>
                <w:rFonts w:hint="eastAsia" w:ascii="宋体" w:hAnsi="宋体" w:eastAsia="宋体" w:cs="宋体"/>
                <w:color w:val="000000"/>
                <w:kern w:val="0"/>
                <w:sz w:val="20"/>
                <w:szCs w:val="20"/>
              </w:rPr>
            </w:pPr>
          </w:p>
        </w:tc>
        <w:tc>
          <w:tcPr>
            <w:tcW w:w="775" w:type="dxa"/>
            <w:vMerge w:val="continue"/>
            <w:vAlign w:val="center"/>
          </w:tcPr>
          <w:p w14:paraId="54152260">
            <w:pPr>
              <w:widowControl/>
              <w:jc w:val="left"/>
              <w:rPr>
                <w:rFonts w:hint="eastAsia" w:ascii="宋体" w:hAnsi="宋体" w:eastAsia="宋体" w:cs="宋体"/>
                <w:color w:val="000000"/>
                <w:kern w:val="0"/>
                <w:sz w:val="20"/>
                <w:szCs w:val="20"/>
              </w:rPr>
            </w:pPr>
          </w:p>
        </w:tc>
      </w:tr>
      <w:tr w14:paraId="7C4B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105" w:type="dxa"/>
            <w:vMerge w:val="continue"/>
            <w:vAlign w:val="center"/>
          </w:tcPr>
          <w:p w14:paraId="0E663DAD">
            <w:pPr>
              <w:widowControl/>
              <w:jc w:val="left"/>
              <w:rPr>
                <w:rFonts w:hint="eastAsia" w:ascii="宋体" w:hAnsi="宋体" w:eastAsia="宋体" w:cs="宋体"/>
                <w:color w:val="000000"/>
                <w:kern w:val="0"/>
                <w:sz w:val="22"/>
              </w:rPr>
            </w:pPr>
          </w:p>
        </w:tc>
        <w:tc>
          <w:tcPr>
            <w:tcW w:w="1425" w:type="dxa"/>
            <w:vMerge w:val="continue"/>
            <w:vAlign w:val="center"/>
          </w:tcPr>
          <w:p w14:paraId="0358BDC0">
            <w:pPr>
              <w:widowControl/>
              <w:jc w:val="left"/>
              <w:rPr>
                <w:rFonts w:hint="eastAsia" w:ascii="宋体" w:hAnsi="宋体" w:eastAsia="宋体" w:cs="宋体"/>
                <w:color w:val="000000"/>
                <w:kern w:val="0"/>
                <w:sz w:val="20"/>
                <w:szCs w:val="20"/>
              </w:rPr>
            </w:pPr>
          </w:p>
        </w:tc>
        <w:tc>
          <w:tcPr>
            <w:tcW w:w="1337" w:type="dxa"/>
            <w:vMerge w:val="continue"/>
            <w:vAlign w:val="center"/>
          </w:tcPr>
          <w:p w14:paraId="7E742ACD">
            <w:pPr>
              <w:widowControl/>
              <w:jc w:val="left"/>
              <w:rPr>
                <w:rFonts w:hint="eastAsia" w:ascii="宋体" w:hAnsi="宋体" w:eastAsia="宋体" w:cs="宋体"/>
                <w:color w:val="000000"/>
                <w:kern w:val="0"/>
                <w:sz w:val="20"/>
                <w:szCs w:val="20"/>
              </w:rPr>
            </w:pPr>
          </w:p>
        </w:tc>
        <w:tc>
          <w:tcPr>
            <w:tcW w:w="1513" w:type="dxa"/>
            <w:shd w:val="clear" w:color="auto" w:fill="auto"/>
            <w:vAlign w:val="center"/>
          </w:tcPr>
          <w:p w14:paraId="499AFDE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无线传屏器</w:t>
            </w:r>
          </w:p>
        </w:tc>
        <w:tc>
          <w:tcPr>
            <w:tcW w:w="7675" w:type="dxa"/>
            <w:shd w:val="clear" w:color="auto" w:fill="auto"/>
            <w:vAlign w:val="center"/>
          </w:tcPr>
          <w:p w14:paraId="5A0C9B0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1.支持win7/win10/win11/Mac OS 10.12 及以上操作系统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2.冷启动时间≤12s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3.最大分辨率支持默认 1920×1080@60Hz，最大支持 2560×1440@25Hz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4.支持触摸回传功能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5.工作距离0-12m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6.传输延时≤120ms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无线传屏器功能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1．支持软件端模拟遥控器控制，实现对屏幕的亮度、色温、对比度、音量、信号源切换、待机、功能选择等操作；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2．支持小屏控大屏功能，和遥控器功能，可通过软件实现遥控器操作；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3．控制软件配套处理器可实现无线投屏功能，电脑通过无线投屏把屏幕传到 LED 显示屏且不影响电脑上网功能(Windows, MacOS)；支持手机和平板投屏 (Android/iOS)，传输平均延迟≤135ms， 可通过连接局域网或连接 WIFI 热点投屏；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4．支持定制开机动画 LOGO；</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5．支持 PC节目发布和显示屏控制、局域网节目发布和显示屏控制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6．支持集群远程节目发布和显示屏控制、集群远程监控；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7．支持通过安卓移动端，快速打开指定应用；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8．支持通过安卓移动端实现发送盒的鼠标操作功能；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9．支持通过安卓移动端连入局域网，实现遥控器的功能，可远距离控制整机；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10．支持 OSD 菜单功能，实现对其操控时的状态显示；</w:t>
            </w:r>
          </w:p>
        </w:tc>
        <w:tc>
          <w:tcPr>
            <w:tcW w:w="737" w:type="dxa"/>
            <w:vMerge w:val="continue"/>
            <w:vAlign w:val="center"/>
          </w:tcPr>
          <w:p w14:paraId="30A365C2">
            <w:pPr>
              <w:widowControl/>
              <w:jc w:val="left"/>
              <w:rPr>
                <w:rFonts w:hint="eastAsia" w:ascii="宋体" w:hAnsi="宋体" w:eastAsia="宋体" w:cs="宋体"/>
                <w:color w:val="000000"/>
                <w:kern w:val="0"/>
                <w:sz w:val="20"/>
                <w:szCs w:val="20"/>
              </w:rPr>
            </w:pPr>
          </w:p>
        </w:tc>
        <w:tc>
          <w:tcPr>
            <w:tcW w:w="775" w:type="dxa"/>
            <w:vMerge w:val="continue"/>
            <w:vAlign w:val="center"/>
          </w:tcPr>
          <w:p w14:paraId="078388A4">
            <w:pPr>
              <w:widowControl/>
              <w:jc w:val="left"/>
              <w:rPr>
                <w:rFonts w:hint="eastAsia" w:ascii="宋体" w:hAnsi="宋体" w:eastAsia="宋体" w:cs="宋体"/>
                <w:color w:val="000000"/>
                <w:kern w:val="0"/>
                <w:sz w:val="20"/>
                <w:szCs w:val="20"/>
              </w:rPr>
            </w:pPr>
          </w:p>
        </w:tc>
      </w:tr>
      <w:tr w14:paraId="4A6F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105" w:type="dxa"/>
            <w:vMerge w:val="continue"/>
            <w:vAlign w:val="center"/>
          </w:tcPr>
          <w:p w14:paraId="6989F2D0">
            <w:pPr>
              <w:widowControl/>
              <w:jc w:val="left"/>
              <w:rPr>
                <w:rFonts w:hint="eastAsia" w:ascii="宋体" w:hAnsi="宋体" w:eastAsia="宋体" w:cs="宋体"/>
                <w:color w:val="000000"/>
                <w:kern w:val="0"/>
                <w:sz w:val="22"/>
              </w:rPr>
            </w:pPr>
          </w:p>
        </w:tc>
        <w:tc>
          <w:tcPr>
            <w:tcW w:w="1425" w:type="dxa"/>
            <w:vMerge w:val="continue"/>
            <w:vAlign w:val="center"/>
          </w:tcPr>
          <w:p w14:paraId="6C350AAC">
            <w:pPr>
              <w:widowControl/>
              <w:jc w:val="left"/>
              <w:rPr>
                <w:rFonts w:hint="eastAsia" w:ascii="宋体" w:hAnsi="宋体" w:eastAsia="宋体" w:cs="宋体"/>
                <w:color w:val="000000"/>
                <w:kern w:val="0"/>
                <w:sz w:val="20"/>
                <w:szCs w:val="20"/>
              </w:rPr>
            </w:pPr>
          </w:p>
        </w:tc>
        <w:tc>
          <w:tcPr>
            <w:tcW w:w="1337" w:type="dxa"/>
            <w:vMerge w:val="continue"/>
            <w:vAlign w:val="center"/>
          </w:tcPr>
          <w:p w14:paraId="49E76504">
            <w:pPr>
              <w:widowControl/>
              <w:jc w:val="left"/>
              <w:rPr>
                <w:rFonts w:hint="eastAsia" w:ascii="宋体" w:hAnsi="宋体" w:eastAsia="宋体" w:cs="宋体"/>
                <w:color w:val="000000"/>
                <w:kern w:val="0"/>
                <w:sz w:val="20"/>
                <w:szCs w:val="20"/>
              </w:rPr>
            </w:pPr>
          </w:p>
        </w:tc>
        <w:tc>
          <w:tcPr>
            <w:tcW w:w="1513" w:type="dxa"/>
            <w:shd w:val="clear" w:color="auto" w:fill="auto"/>
            <w:vAlign w:val="center"/>
          </w:tcPr>
          <w:p w14:paraId="4D1B201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播放软件</w:t>
            </w:r>
          </w:p>
        </w:tc>
        <w:tc>
          <w:tcPr>
            <w:tcW w:w="7675" w:type="dxa"/>
            <w:shd w:val="clear" w:color="auto" w:fill="auto"/>
            <w:vAlign w:val="center"/>
          </w:tcPr>
          <w:p w14:paraId="24AB2A2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定制集成控制软件安卓端：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1．为方便日常使用，支持收集软件端模拟遥控器控制，实现对屏幕的亮度、色温、对比度、音量、信号源切换、待机、功能选择等操作；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2．为方便日常便捷使用，支持小屏控大屏功能，对屏幕做批注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3．控制软件配套处理器可实现无线投屏功能，电脑通过无线投屏把屏幕传到 LED 显示屏且不影响电脑上网功能(Windows, MacOS)；支持手机和平板投屏 (Android/iOS)，传输平均延迟≤135ms， 可通过连接局域网或连接 WIFI 热点投屏；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4．支持定制开机动画 LOGO；</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5．支持节目发布和显示屏控制、局域网节目发布和显示屏控制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6．支持集群远程节目发布和显示屏控制、集群远程监控；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7．支持通过安卓移动端，快速打开指定应用；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8．支持通过安卓移动端实现发送盒的鼠标操作功能；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9．支持通过安卓移动端连入局域网，实现遥控器的功能，可远距离控制整机；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10．支持 OSD 菜单功能，实现对其操控时的状态显示；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定制集成控制软件PC端：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1.支持LED产品的控制，设置、诊断等操作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2.支持屏体连接关系设置，支持屏体参数配置；支持控制系统升级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3.支持屏体校正功能，可更新和上传箱体以及屏体校正数据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4.支持工程屏方案生成，能够根据箱体个数自动生成连线关系和屏幕个数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5.具有灯板参数和屏体连接关系的回读功能，具有灯板参数和屏体连接关系的加载功能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6.可实现 LED 单点检测、误码率、通讯检测、温度检测，电源检测，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7.支持显示实际信号物理连线顺序，无需反复查看屏体实际连线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8.支持屏幕亮度调节，切换信号源。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9、温度监控、屏体的连线关系、硬件版本等功能</w:t>
            </w:r>
          </w:p>
        </w:tc>
        <w:tc>
          <w:tcPr>
            <w:tcW w:w="737" w:type="dxa"/>
            <w:vMerge w:val="continue"/>
            <w:vAlign w:val="center"/>
          </w:tcPr>
          <w:p w14:paraId="557D40E2">
            <w:pPr>
              <w:widowControl/>
              <w:jc w:val="left"/>
              <w:rPr>
                <w:rFonts w:hint="eastAsia" w:ascii="宋体" w:hAnsi="宋体" w:eastAsia="宋体" w:cs="宋体"/>
                <w:color w:val="000000"/>
                <w:kern w:val="0"/>
                <w:sz w:val="20"/>
                <w:szCs w:val="20"/>
              </w:rPr>
            </w:pPr>
          </w:p>
        </w:tc>
        <w:tc>
          <w:tcPr>
            <w:tcW w:w="775" w:type="dxa"/>
            <w:vMerge w:val="continue"/>
            <w:vAlign w:val="center"/>
          </w:tcPr>
          <w:p w14:paraId="412EFDB6">
            <w:pPr>
              <w:widowControl/>
              <w:jc w:val="left"/>
              <w:rPr>
                <w:rFonts w:hint="eastAsia" w:ascii="宋体" w:hAnsi="宋体" w:eastAsia="宋体" w:cs="宋体"/>
                <w:color w:val="000000"/>
                <w:kern w:val="0"/>
                <w:sz w:val="20"/>
                <w:szCs w:val="20"/>
              </w:rPr>
            </w:pPr>
          </w:p>
        </w:tc>
      </w:tr>
      <w:tr w14:paraId="75F8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105" w:type="dxa"/>
            <w:vMerge w:val="continue"/>
            <w:vAlign w:val="center"/>
          </w:tcPr>
          <w:p w14:paraId="317C9AEA">
            <w:pPr>
              <w:widowControl/>
              <w:jc w:val="left"/>
              <w:rPr>
                <w:rFonts w:hint="eastAsia" w:ascii="宋体" w:hAnsi="宋体" w:eastAsia="宋体" w:cs="宋体"/>
                <w:color w:val="000000"/>
                <w:kern w:val="0"/>
                <w:sz w:val="22"/>
              </w:rPr>
            </w:pPr>
          </w:p>
        </w:tc>
        <w:tc>
          <w:tcPr>
            <w:tcW w:w="1425" w:type="dxa"/>
            <w:vMerge w:val="continue"/>
            <w:vAlign w:val="center"/>
          </w:tcPr>
          <w:p w14:paraId="144FDAAD">
            <w:pPr>
              <w:widowControl/>
              <w:jc w:val="left"/>
              <w:rPr>
                <w:rFonts w:hint="eastAsia" w:ascii="宋体" w:hAnsi="宋体" w:eastAsia="宋体" w:cs="宋体"/>
                <w:color w:val="000000"/>
                <w:kern w:val="0"/>
                <w:sz w:val="20"/>
                <w:szCs w:val="20"/>
              </w:rPr>
            </w:pPr>
          </w:p>
        </w:tc>
        <w:tc>
          <w:tcPr>
            <w:tcW w:w="1337" w:type="dxa"/>
            <w:vMerge w:val="continue"/>
            <w:vAlign w:val="center"/>
          </w:tcPr>
          <w:p w14:paraId="5684E641">
            <w:pPr>
              <w:widowControl/>
              <w:jc w:val="left"/>
              <w:rPr>
                <w:rFonts w:hint="eastAsia" w:ascii="宋体" w:hAnsi="宋体" w:eastAsia="宋体" w:cs="宋体"/>
                <w:color w:val="000000"/>
                <w:kern w:val="0"/>
                <w:sz w:val="20"/>
                <w:szCs w:val="20"/>
              </w:rPr>
            </w:pPr>
          </w:p>
        </w:tc>
        <w:tc>
          <w:tcPr>
            <w:tcW w:w="1513" w:type="dxa"/>
            <w:shd w:val="clear" w:color="auto" w:fill="auto"/>
            <w:vAlign w:val="center"/>
          </w:tcPr>
          <w:p w14:paraId="4382296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钢结构</w:t>
            </w:r>
          </w:p>
        </w:tc>
        <w:tc>
          <w:tcPr>
            <w:tcW w:w="7675" w:type="dxa"/>
            <w:shd w:val="clear" w:color="auto" w:fill="auto"/>
            <w:vAlign w:val="center"/>
          </w:tcPr>
          <w:p w14:paraId="737BFDF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1、钢结构根据屏幕情况施工。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2、固定安装，按照国家钢结构设计规范，满足屏体安全承载需求定制。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3、安装结构能满足 LED 高清显示屏的整体均匀平滑要求，结构便于安装和调试；支架颜色、质感、支撑结构同室内整体装修风格一致。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4、地面考虑承重。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5、不锈钢或同级别材质包边。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6、包含LED显示屏屏内综合布线施工。</w:t>
            </w:r>
          </w:p>
        </w:tc>
        <w:tc>
          <w:tcPr>
            <w:tcW w:w="737" w:type="dxa"/>
            <w:vMerge w:val="continue"/>
            <w:vAlign w:val="center"/>
          </w:tcPr>
          <w:p w14:paraId="76CA8527">
            <w:pPr>
              <w:widowControl/>
              <w:jc w:val="left"/>
              <w:rPr>
                <w:rFonts w:hint="eastAsia" w:ascii="宋体" w:hAnsi="宋体" w:eastAsia="宋体" w:cs="宋体"/>
                <w:color w:val="000000"/>
                <w:kern w:val="0"/>
                <w:sz w:val="20"/>
                <w:szCs w:val="20"/>
              </w:rPr>
            </w:pPr>
          </w:p>
        </w:tc>
        <w:tc>
          <w:tcPr>
            <w:tcW w:w="775" w:type="dxa"/>
            <w:vMerge w:val="continue"/>
            <w:vAlign w:val="center"/>
          </w:tcPr>
          <w:p w14:paraId="526331C3">
            <w:pPr>
              <w:widowControl/>
              <w:jc w:val="left"/>
              <w:rPr>
                <w:rFonts w:hint="eastAsia" w:ascii="宋体" w:hAnsi="宋体" w:eastAsia="宋体" w:cs="宋体"/>
                <w:color w:val="000000"/>
                <w:kern w:val="0"/>
                <w:sz w:val="20"/>
                <w:szCs w:val="20"/>
              </w:rPr>
            </w:pPr>
          </w:p>
        </w:tc>
      </w:tr>
      <w:tr w14:paraId="06A6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dxa"/>
            <w:shd w:val="clear" w:color="auto" w:fill="auto"/>
            <w:noWrap/>
            <w:vAlign w:val="center"/>
          </w:tcPr>
          <w:p w14:paraId="667B22D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425" w:type="dxa"/>
            <w:shd w:val="clear" w:color="auto" w:fill="auto"/>
            <w:vAlign w:val="center"/>
          </w:tcPr>
          <w:p w14:paraId="1CF496C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全频阵列扬声器</w:t>
            </w:r>
          </w:p>
        </w:tc>
        <w:tc>
          <w:tcPr>
            <w:tcW w:w="1337" w:type="dxa"/>
            <w:shd w:val="clear" w:color="auto" w:fill="auto"/>
            <w:vAlign w:val="center"/>
          </w:tcPr>
          <w:p w14:paraId="6E4A2A9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海天HT-G425</w:t>
            </w:r>
          </w:p>
        </w:tc>
        <w:tc>
          <w:tcPr>
            <w:tcW w:w="1513" w:type="dxa"/>
            <w:shd w:val="clear" w:color="auto" w:fill="auto"/>
            <w:vAlign w:val="center"/>
          </w:tcPr>
          <w:p w14:paraId="2E519158">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音箱</w:t>
            </w:r>
          </w:p>
        </w:tc>
        <w:tc>
          <w:tcPr>
            <w:tcW w:w="7675" w:type="dxa"/>
            <w:shd w:val="clear" w:color="auto" w:fill="auto"/>
            <w:vAlign w:val="center"/>
          </w:tcPr>
          <w:p w14:paraId="0A419B6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▲1、规格：4”高音单元：一个号角一体化1寸开口，30mm钕铁硼高频驱动单元，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▲2、低音单元：4个特别开发的4英寸低频单元，90mm铁氧体磁体，25mm音圈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3、箱体：哑铃式结构音箱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4、箱体板材：15mm多层夹板，黑色水性点漆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▲5、号角指向性：90x60度恒指向号角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6、连接器件：NL4（1+/1-）</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7、PCB分频器：PCB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8、分频衰减斜率：Low:-12dB/Oct;High:-12dB/Oct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9、系统：2Waysfullrange2路全频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10、额定阻抗：8</w:t>
            </w:r>
            <w:r>
              <w:rPr>
                <w:rFonts w:hint="eastAsia" w:ascii="BatangChe" w:hAnsi="BatangChe" w:eastAsia="BatangChe" w:cs="宋体"/>
                <w:color w:val="000000"/>
                <w:kern w:val="0"/>
                <w:sz w:val="20"/>
                <w:szCs w:val="20"/>
              </w:rPr>
              <w:t>Ω</w:t>
            </w:r>
            <w:r>
              <w:rPr>
                <w:rFonts w:hint="eastAsia" w:ascii="BatangChe" w:hAnsi="BatangChe" w:eastAsia="BatangChe" w:cs="宋体"/>
                <w:color w:val="000000"/>
                <w:kern w:val="0"/>
                <w:sz w:val="20"/>
                <w:szCs w:val="20"/>
              </w:rPr>
              <w:br w:type="textWrapping"/>
            </w:r>
            <w:r>
              <w:rPr>
                <w:rFonts w:hint="eastAsia" w:ascii="宋体" w:hAnsi="宋体" w:eastAsia="宋体" w:cs="宋体"/>
                <w:color w:val="000000"/>
                <w:kern w:val="0"/>
                <w:sz w:val="20"/>
                <w:szCs w:val="20"/>
              </w:rPr>
              <w:t>11、额定功率：150W(峰值功率：500W)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12、灵敏度：93dB/1W/1m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13、SPL最大声压值：113dB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14、频率响应：100Hz~20KHz15、产品尺寸：142x188x684mm（宽*厚*高）16、重量：8.28Kg</w:t>
            </w:r>
          </w:p>
        </w:tc>
        <w:tc>
          <w:tcPr>
            <w:tcW w:w="737" w:type="dxa"/>
            <w:shd w:val="clear" w:color="auto" w:fill="auto"/>
            <w:vAlign w:val="center"/>
          </w:tcPr>
          <w:p w14:paraId="11F2E43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775" w:type="dxa"/>
            <w:shd w:val="clear" w:color="auto" w:fill="auto"/>
            <w:vAlign w:val="center"/>
          </w:tcPr>
          <w:p w14:paraId="2E29846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只</w:t>
            </w:r>
          </w:p>
        </w:tc>
      </w:tr>
      <w:tr w14:paraId="1A14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105" w:type="dxa"/>
            <w:shd w:val="clear" w:color="auto" w:fill="auto"/>
            <w:noWrap/>
            <w:vAlign w:val="center"/>
          </w:tcPr>
          <w:p w14:paraId="36D4D39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425" w:type="dxa"/>
            <w:shd w:val="clear" w:color="auto" w:fill="auto"/>
            <w:vAlign w:val="center"/>
          </w:tcPr>
          <w:p w14:paraId="1DC6BA7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专业功率放大器</w:t>
            </w:r>
          </w:p>
        </w:tc>
        <w:tc>
          <w:tcPr>
            <w:tcW w:w="1337" w:type="dxa"/>
            <w:shd w:val="clear" w:color="auto" w:fill="auto"/>
            <w:vAlign w:val="center"/>
          </w:tcPr>
          <w:p w14:paraId="6BEC93A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海天HT-8150</w:t>
            </w:r>
          </w:p>
        </w:tc>
        <w:tc>
          <w:tcPr>
            <w:tcW w:w="1513" w:type="dxa"/>
            <w:shd w:val="clear" w:color="auto" w:fill="auto"/>
            <w:vAlign w:val="center"/>
          </w:tcPr>
          <w:p w14:paraId="6DE8D2B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功放</w:t>
            </w:r>
          </w:p>
        </w:tc>
        <w:tc>
          <w:tcPr>
            <w:tcW w:w="7675" w:type="dxa"/>
            <w:shd w:val="clear" w:color="auto" w:fill="auto"/>
            <w:vAlign w:val="center"/>
          </w:tcPr>
          <w:p w14:paraId="17E7C18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现代智能防啸叫移频扩声系列产品是为配备会议、教学而设计的新一代数字移频器。特点：采用五段参量均衡和数字移频双重防啸叫技术，有效防止啸叫，大幅提升话筒增益，有效提高话筒的使用距离，使话筒增益提高到5-14dB，由于起到防啸叫的效果，采用环型变压器供电，严格对称电源设计，做工考究，产品严谨可靠，音质清晰.功能特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▲1、五段参量均衡和数字移频两重防啸叫技术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▲2、话筒增益提升量5～14dB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▲3、3路音频线路输入，独立调节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▲4、4路话筒平衡（XLR插座）和不平衡（6.35插座）输入，独立调节。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▲5、4路话筒幻象供电独立切换开关选择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▲6、4路话筒移频效果独立切换开关选择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7、供电方式：AC~220V—230V，50/60Hz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▲8、移频量：5Hz±1Hz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9、规格（长*宽*高）mm：2U机箱425*360*88</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▲10、输出功率：150W+150W11、外接4～16欧姆喇叭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▲12、频率响应：非移频状态：20Hz-20kHz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▲13、移频状态：150Hz-15kHz</w:t>
            </w:r>
          </w:p>
        </w:tc>
        <w:tc>
          <w:tcPr>
            <w:tcW w:w="737" w:type="dxa"/>
            <w:shd w:val="clear" w:color="auto" w:fill="auto"/>
            <w:vAlign w:val="center"/>
          </w:tcPr>
          <w:p w14:paraId="30F7D07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75" w:type="dxa"/>
            <w:shd w:val="clear" w:color="auto" w:fill="auto"/>
            <w:vAlign w:val="center"/>
          </w:tcPr>
          <w:p w14:paraId="2E05A4E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14:paraId="7644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105" w:type="dxa"/>
            <w:shd w:val="clear" w:color="auto" w:fill="auto"/>
            <w:noWrap/>
            <w:vAlign w:val="center"/>
          </w:tcPr>
          <w:p w14:paraId="19A1BE8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425" w:type="dxa"/>
            <w:shd w:val="clear" w:color="auto" w:fill="auto"/>
            <w:vAlign w:val="center"/>
          </w:tcPr>
          <w:p w14:paraId="6D16E2E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机柜</w:t>
            </w:r>
          </w:p>
        </w:tc>
        <w:tc>
          <w:tcPr>
            <w:tcW w:w="1337" w:type="dxa"/>
            <w:shd w:val="clear" w:color="auto" w:fill="auto"/>
            <w:vAlign w:val="center"/>
          </w:tcPr>
          <w:p w14:paraId="220BE26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图腾</w:t>
            </w:r>
          </w:p>
        </w:tc>
        <w:tc>
          <w:tcPr>
            <w:tcW w:w="1513" w:type="dxa"/>
            <w:shd w:val="clear" w:color="auto" w:fill="auto"/>
            <w:vAlign w:val="center"/>
          </w:tcPr>
          <w:p w14:paraId="3CF8861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机柜</w:t>
            </w:r>
          </w:p>
        </w:tc>
        <w:tc>
          <w:tcPr>
            <w:tcW w:w="7675" w:type="dxa"/>
            <w:shd w:val="clear" w:color="auto" w:fill="auto"/>
            <w:vAlign w:val="center"/>
          </w:tcPr>
          <w:p w14:paraId="253C2A6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12U网络交换机柜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尺寸:600mmx440mmx368mm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容量：12U</w:t>
            </w:r>
          </w:p>
        </w:tc>
        <w:tc>
          <w:tcPr>
            <w:tcW w:w="737" w:type="dxa"/>
            <w:shd w:val="clear" w:color="auto" w:fill="auto"/>
            <w:noWrap/>
            <w:vAlign w:val="center"/>
          </w:tcPr>
          <w:p w14:paraId="1034287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75" w:type="dxa"/>
            <w:shd w:val="clear" w:color="auto" w:fill="auto"/>
            <w:noWrap/>
            <w:vAlign w:val="center"/>
          </w:tcPr>
          <w:p w14:paraId="3C00E55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r>
      <w:tr w14:paraId="5BC1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105" w:type="dxa"/>
            <w:shd w:val="clear" w:color="auto" w:fill="auto"/>
            <w:noWrap/>
            <w:vAlign w:val="center"/>
          </w:tcPr>
          <w:p w14:paraId="435A05B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1425" w:type="dxa"/>
            <w:shd w:val="clear" w:color="auto" w:fill="auto"/>
            <w:vAlign w:val="center"/>
          </w:tcPr>
          <w:p w14:paraId="6F9B2090">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安装调试费</w:t>
            </w:r>
          </w:p>
        </w:tc>
        <w:tc>
          <w:tcPr>
            <w:tcW w:w="1337" w:type="dxa"/>
            <w:shd w:val="clear" w:color="auto" w:fill="auto"/>
            <w:vAlign w:val="center"/>
          </w:tcPr>
          <w:p w14:paraId="2D3D2CA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定制</w:t>
            </w:r>
          </w:p>
        </w:tc>
        <w:tc>
          <w:tcPr>
            <w:tcW w:w="1513" w:type="dxa"/>
            <w:shd w:val="clear" w:color="auto" w:fill="auto"/>
            <w:vAlign w:val="center"/>
          </w:tcPr>
          <w:p w14:paraId="1EE6AB5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设备安装</w:t>
            </w:r>
          </w:p>
        </w:tc>
        <w:tc>
          <w:tcPr>
            <w:tcW w:w="7675" w:type="dxa"/>
            <w:shd w:val="clear" w:color="auto" w:fill="auto"/>
            <w:vAlign w:val="center"/>
          </w:tcPr>
          <w:p w14:paraId="12488DB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1、显示屏和控制系统安装调试、系统集成。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2、屏体框架安装，功放及扩声音柱安装。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3、原背景板拆除及废料运输、场地清洁。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4、屏外布线施工，含电缆型号：RVV3×6mm²、网线、HDMI数据线明装布线。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5、屏幕外安装涉及的辅材、耗材，网线、音箱线、功放跳线、PVC线槽、排线、转接板、水晶头、排插、电工胶布、扎带、转接头等）。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6、设备运输、搬运费、税费、培训费。</w:t>
            </w:r>
          </w:p>
        </w:tc>
        <w:tc>
          <w:tcPr>
            <w:tcW w:w="737" w:type="dxa"/>
            <w:shd w:val="clear" w:color="auto" w:fill="auto"/>
            <w:vAlign w:val="center"/>
          </w:tcPr>
          <w:p w14:paraId="047250A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75" w:type="dxa"/>
            <w:shd w:val="clear" w:color="auto" w:fill="auto"/>
            <w:vAlign w:val="center"/>
          </w:tcPr>
          <w:p w14:paraId="308D952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r>
      <w:tr w14:paraId="6000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5" w:type="dxa"/>
            <w:shd w:val="clear" w:color="auto" w:fill="auto"/>
            <w:noWrap/>
            <w:vAlign w:val="center"/>
          </w:tcPr>
          <w:p w14:paraId="206E46C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1425" w:type="dxa"/>
            <w:shd w:val="clear" w:color="auto" w:fill="auto"/>
            <w:noWrap/>
            <w:vAlign w:val="center"/>
          </w:tcPr>
          <w:p w14:paraId="419F384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1337" w:type="dxa"/>
            <w:shd w:val="clear" w:color="auto" w:fill="auto"/>
            <w:vAlign w:val="center"/>
          </w:tcPr>
          <w:p w14:paraId="143F0E2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13" w:type="dxa"/>
            <w:shd w:val="clear" w:color="auto" w:fill="auto"/>
            <w:vAlign w:val="center"/>
          </w:tcPr>
          <w:p w14:paraId="520DD80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7675" w:type="dxa"/>
            <w:shd w:val="clear" w:color="auto" w:fill="auto"/>
            <w:vAlign w:val="center"/>
          </w:tcPr>
          <w:p w14:paraId="7824C4A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37" w:type="dxa"/>
            <w:shd w:val="clear" w:color="auto" w:fill="auto"/>
            <w:vAlign w:val="center"/>
          </w:tcPr>
          <w:p w14:paraId="359830A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5" w:type="dxa"/>
            <w:shd w:val="clear" w:color="auto" w:fill="auto"/>
            <w:vAlign w:val="center"/>
          </w:tcPr>
          <w:p w14:paraId="2A8F3A5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A56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55" w:type="dxa"/>
            <w:gridSpan w:val="5"/>
            <w:shd w:val="clear" w:color="auto" w:fill="auto"/>
            <w:noWrap/>
            <w:vAlign w:val="center"/>
          </w:tcPr>
          <w:p w14:paraId="0747990E">
            <w:pPr>
              <w:widowControl/>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二、背景板软装及电动幕布</w:t>
            </w:r>
          </w:p>
        </w:tc>
        <w:tc>
          <w:tcPr>
            <w:tcW w:w="737" w:type="dxa"/>
            <w:shd w:val="clear" w:color="auto" w:fill="auto"/>
            <w:noWrap/>
            <w:vAlign w:val="center"/>
          </w:tcPr>
          <w:p w14:paraId="60C75738">
            <w:pPr>
              <w:widowControl/>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w:t>
            </w:r>
          </w:p>
        </w:tc>
        <w:tc>
          <w:tcPr>
            <w:tcW w:w="775" w:type="dxa"/>
            <w:shd w:val="clear" w:color="auto" w:fill="auto"/>
            <w:noWrap/>
            <w:vAlign w:val="center"/>
          </w:tcPr>
          <w:p w14:paraId="5A69F4D4">
            <w:pPr>
              <w:widowControl/>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w:t>
            </w:r>
          </w:p>
        </w:tc>
      </w:tr>
      <w:tr w14:paraId="6127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1105" w:type="dxa"/>
            <w:shd w:val="clear" w:color="auto" w:fill="auto"/>
            <w:noWrap/>
            <w:vAlign w:val="center"/>
          </w:tcPr>
          <w:p w14:paraId="3530F9F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25" w:type="dxa"/>
            <w:shd w:val="clear" w:color="auto" w:fill="auto"/>
            <w:noWrap/>
            <w:vAlign w:val="center"/>
          </w:tcPr>
          <w:p w14:paraId="32F366D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电动窗帘</w:t>
            </w:r>
          </w:p>
        </w:tc>
        <w:tc>
          <w:tcPr>
            <w:tcW w:w="1337" w:type="dxa"/>
            <w:shd w:val="clear" w:color="auto" w:fill="auto"/>
            <w:vAlign w:val="center"/>
          </w:tcPr>
          <w:p w14:paraId="3EBCBFE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定制</w:t>
            </w:r>
          </w:p>
        </w:tc>
        <w:tc>
          <w:tcPr>
            <w:tcW w:w="1513" w:type="dxa"/>
            <w:shd w:val="clear" w:color="auto" w:fill="auto"/>
            <w:vAlign w:val="center"/>
          </w:tcPr>
          <w:p w14:paraId="6A1A3E6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幕布</w:t>
            </w:r>
          </w:p>
        </w:tc>
        <w:tc>
          <w:tcPr>
            <w:tcW w:w="7675" w:type="dxa"/>
            <w:shd w:val="clear" w:color="auto" w:fill="auto"/>
            <w:vAlign w:val="center"/>
          </w:tcPr>
          <w:p w14:paraId="0BD8040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电动手动升降功能幕布（整体尺寸不≤6.9米*2.81米）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1、系统物料（知名品牌，超宽卷帘、130*108mm/3mm罩壳、50mm/1.5mm卷管、20*40mm/1.5mm底轨）。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2、0.45/毫米厚度考拉面料，喷印背景画面。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3、静音电机（含控制器），吊顶加工做预留窗帘盒。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4、包含安装过程中使用到的铝合金管、电源线等配件。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施工工艺：在LED屏前安装电动手动升降幕布，幕布电机部分隐藏安装在现有吊顶上部，对现有吊顶铝扣板切割出升降槽，确保幕布升降过程无阻拦。顶部电机做好支撑架，确保电机固定。幕布底部做好铝合金管配重，确保幕布整体垂直效果。幕布喷绘背景内容根据单位需求进行定制。</w:t>
            </w:r>
          </w:p>
        </w:tc>
        <w:tc>
          <w:tcPr>
            <w:tcW w:w="737" w:type="dxa"/>
            <w:shd w:val="clear" w:color="auto" w:fill="auto"/>
            <w:vAlign w:val="center"/>
          </w:tcPr>
          <w:p w14:paraId="7920476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75" w:type="dxa"/>
            <w:shd w:val="clear" w:color="auto" w:fill="auto"/>
            <w:noWrap/>
            <w:vAlign w:val="center"/>
          </w:tcPr>
          <w:p w14:paraId="665F3A3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r>
      <w:tr w14:paraId="4373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1105" w:type="dxa"/>
            <w:shd w:val="clear" w:color="auto" w:fill="auto"/>
            <w:noWrap/>
            <w:vAlign w:val="center"/>
          </w:tcPr>
          <w:p w14:paraId="463F7BB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425" w:type="dxa"/>
            <w:shd w:val="clear" w:color="auto" w:fill="auto"/>
            <w:noWrap/>
            <w:vAlign w:val="center"/>
          </w:tcPr>
          <w:p w14:paraId="0C7AA42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广告制作</w:t>
            </w:r>
          </w:p>
        </w:tc>
        <w:tc>
          <w:tcPr>
            <w:tcW w:w="1337" w:type="dxa"/>
            <w:shd w:val="clear" w:color="auto" w:fill="auto"/>
            <w:vAlign w:val="center"/>
          </w:tcPr>
          <w:p w14:paraId="57F74EB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定制</w:t>
            </w:r>
          </w:p>
        </w:tc>
        <w:tc>
          <w:tcPr>
            <w:tcW w:w="1513" w:type="dxa"/>
            <w:shd w:val="clear" w:color="auto" w:fill="auto"/>
            <w:vAlign w:val="center"/>
          </w:tcPr>
          <w:p w14:paraId="4594B72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集成板</w:t>
            </w:r>
          </w:p>
        </w:tc>
        <w:tc>
          <w:tcPr>
            <w:tcW w:w="7675" w:type="dxa"/>
            <w:shd w:val="clear" w:color="auto" w:fill="auto"/>
            <w:vAlign w:val="center"/>
          </w:tcPr>
          <w:p w14:paraId="7543FF4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1、竹碳大板：环保性能好、阻燃、防水整体美观大方厚度≥8MM（整体尺寸≥8.68㎡）</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2、钢结构：根据现场尺寸及造型要求，配置高强度、高精度的铝合金和钢铝混合材料结构框架，作为集成板背面支撑，确保结实耐用。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3、车贴画面：具有良好的耐候性和吸墨性，材质厚实，具有一定的耐磨性及韧性。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4、包含现场部分旧板子拆除（需要拆除部分板子才能做钢结构），材料安装、拆除垃圾清运、现场保洁。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施工工艺：根据现场实际尺寸进行定制。在LED屏四周采用集成板进行包边处理，集成板背后采用钢结构进行支撑加固，使集成板和LED表面齐平。集成板上粘贴车贴材料，车贴上的图案及文字可根据客户要求进行定制喷绘。喷绘素材内容需客户提供，图片类型需尽量提供高清图片。</w:t>
            </w:r>
          </w:p>
        </w:tc>
        <w:tc>
          <w:tcPr>
            <w:tcW w:w="737" w:type="dxa"/>
            <w:shd w:val="clear" w:color="auto" w:fill="auto"/>
            <w:vAlign w:val="center"/>
          </w:tcPr>
          <w:p w14:paraId="4CA44C8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75" w:type="dxa"/>
            <w:shd w:val="clear" w:color="auto" w:fill="auto"/>
            <w:noWrap/>
            <w:vAlign w:val="center"/>
          </w:tcPr>
          <w:p w14:paraId="561806A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r>
    </w:tbl>
    <w:p w14:paraId="78F6E56A"/>
    <w:p w14:paraId="24807800"/>
    <w:p w14:paraId="193E3A3B"/>
    <w:p w14:paraId="66A224ED"/>
    <w:p w14:paraId="54341FED"/>
    <w:p w14:paraId="0310C890"/>
    <w:p w14:paraId="0D7A62A6"/>
    <w:p w14:paraId="5ABD1818"/>
    <w:tbl>
      <w:tblPr>
        <w:tblStyle w:val="4"/>
        <w:tblW w:w="1505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12861"/>
      </w:tblGrid>
      <w:tr w14:paraId="06AA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051" w:type="dxa"/>
            <w:gridSpan w:val="2"/>
            <w:tcBorders/>
            <w:shd w:val="clear" w:color="auto" w:fill="auto"/>
            <w:noWrap/>
            <w:vAlign w:val="center"/>
          </w:tcPr>
          <w:p w14:paraId="5BA5F07E">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商务条款要求：</w:t>
            </w:r>
          </w:p>
        </w:tc>
      </w:tr>
      <w:tr w14:paraId="7BCE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0" w:type="dxa"/>
            <w:shd w:val="clear" w:color="auto" w:fill="auto"/>
            <w:noWrap/>
            <w:vAlign w:val="center"/>
          </w:tcPr>
          <w:p w14:paraId="05BE21DC">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报价要求</w:t>
            </w:r>
          </w:p>
        </w:tc>
        <w:tc>
          <w:tcPr>
            <w:tcW w:w="12861" w:type="dxa"/>
            <w:shd w:val="clear" w:color="auto" w:fill="auto"/>
            <w:noWrap/>
            <w:vAlign w:val="center"/>
          </w:tcPr>
          <w:p w14:paraId="60400D07">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▲1、供应商应仅就推荐品牌、型号进行报价，否则报价无效。</w:t>
            </w:r>
          </w:p>
          <w:p w14:paraId="412BE4EC">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为确保投标人所投产品符合采购人需求，签订合同前采购人有权要求投标人需要提供样机，依据所投产品的参数要求逐条演示，一旦发现虚假响应，采购人有权拒绝签订合同，追加供应商责任并向监管部门投诉。</w:t>
            </w:r>
          </w:p>
          <w:p w14:paraId="6D9E9C8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3、为保证货物质量，防止拆改配及不合格产品，供货时供应商需提供货物生产厂家的供货证明。</w:t>
            </w:r>
          </w:p>
          <w:p w14:paraId="7A1D686C">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4、供应商必须实质性能够满足产品参数要求,对不包括但不仅限于货物的价格、安装费、调试费、包装费、采购费、运输费、装卸费、发放费、人工费、车费、检验检测费、税费、保险、验收费等；合同履行过程中，采购人不再支付其他费用，因此投标人报价时应充分考虑市场价格带来的风险。</w:t>
            </w:r>
          </w:p>
        </w:tc>
      </w:tr>
      <w:tr w14:paraId="0DA5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0" w:type="dxa"/>
            <w:shd w:val="clear" w:color="auto" w:fill="auto"/>
            <w:noWrap/>
            <w:vAlign w:val="center"/>
          </w:tcPr>
          <w:p w14:paraId="4662F5AE">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交货时间及地点</w:t>
            </w:r>
          </w:p>
        </w:tc>
        <w:tc>
          <w:tcPr>
            <w:tcW w:w="12861" w:type="dxa"/>
            <w:shd w:val="clear" w:color="auto" w:fill="auto"/>
            <w:noWrap/>
            <w:vAlign w:val="center"/>
          </w:tcPr>
          <w:p w14:paraId="1321536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1、供货安装时间：合同签订之日起10个工作日内安装调试完毕</w:t>
            </w:r>
            <w:r>
              <w:rPr>
                <w:rFonts w:hint="eastAsia" w:ascii="宋体" w:hAnsi="宋体" w:eastAsia="宋体" w:cs="宋体"/>
                <w:kern w:val="0"/>
                <w:sz w:val="24"/>
                <w:szCs w:val="24"/>
                <w:lang w:val="en-US" w:eastAsia="zh-CN"/>
              </w:rPr>
              <w:t>。</w:t>
            </w:r>
          </w:p>
          <w:p w14:paraId="3CA4989F">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2、交货地点：广西区内指定地点。</w:t>
            </w:r>
          </w:p>
        </w:tc>
      </w:tr>
      <w:tr w14:paraId="0697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0" w:type="dxa"/>
            <w:shd w:val="clear" w:color="auto" w:fill="auto"/>
            <w:noWrap/>
            <w:vAlign w:val="center"/>
          </w:tcPr>
          <w:p w14:paraId="05C3EA3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付款方式</w:t>
            </w:r>
          </w:p>
        </w:tc>
        <w:tc>
          <w:tcPr>
            <w:tcW w:w="12861" w:type="dxa"/>
            <w:shd w:val="clear" w:color="auto" w:fill="auto"/>
            <w:noWrap/>
            <w:vAlign w:val="center"/>
          </w:tcPr>
          <w:p w14:paraId="65A8639C">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无预付款，成交供应商交货安装完毕并试运行一个月后无故障及技术问题，采购单位进行验收程序，验收合格及相关负责人签字确认之日起，成交供应商七个工作日内将全额发票开具给采购单位，由采购单位提交财政部门申请支付。</w:t>
            </w:r>
          </w:p>
        </w:tc>
      </w:tr>
      <w:tr w14:paraId="4358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0" w:type="dxa"/>
            <w:shd w:val="clear" w:color="auto" w:fill="auto"/>
            <w:noWrap/>
            <w:vAlign w:val="center"/>
          </w:tcPr>
          <w:p w14:paraId="13929B88">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验收要求</w:t>
            </w:r>
          </w:p>
        </w:tc>
        <w:tc>
          <w:tcPr>
            <w:tcW w:w="12861" w:type="dxa"/>
            <w:shd w:val="clear" w:color="auto" w:fill="auto"/>
            <w:noWrap/>
            <w:vAlign w:val="center"/>
          </w:tcPr>
          <w:p w14:paraId="5ABB419C">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成交供应商须针对商务要求及技术参数逐条演示，若因参数不符按照虚假应标处理，并上报政采中心。如采购人对于供应商所提供的检测报告有异议的，采购人有权要求聘请具有资质的第三方机构进行测评，测评工作由供应商出资组织进行。在项目验收过程中，如发现投标人投标文件中提供的技术参数、商务条款有虚假响应情况的，采购人将不予验收，并依据相关法律规定追究中标人的责任，由此带来的一切损失由中标人自行承担。</w:t>
            </w:r>
          </w:p>
          <w:p w14:paraId="254736E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2、要求对全部设备、产品、型号、规格、数量、外型、外观、包装及资料、文件（如装箱单、保修单、随机随箱介质等）验收。</w:t>
            </w:r>
          </w:p>
          <w:p w14:paraId="6E5DBEE3">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3、中标人应负责在项目验收时将系统的全部有关产品说明书、原厂家安装手册、技术文件、资料、及安装、验收报告等文档汇集成册交付采购人。</w:t>
            </w:r>
          </w:p>
          <w:p w14:paraId="7CCE3B4F">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4、软件功能符合招标要求，提供用户手册等软件研发相关文档。</w:t>
            </w:r>
          </w:p>
        </w:tc>
      </w:tr>
      <w:tr w14:paraId="6F07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90" w:type="dxa"/>
            <w:shd w:val="clear" w:color="auto" w:fill="auto"/>
            <w:noWrap/>
            <w:vAlign w:val="center"/>
          </w:tcPr>
          <w:p w14:paraId="4710F8F7">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售后服务要求</w:t>
            </w:r>
          </w:p>
        </w:tc>
        <w:tc>
          <w:tcPr>
            <w:tcW w:w="12861" w:type="dxa"/>
            <w:shd w:val="clear" w:color="auto" w:fill="auto"/>
            <w:noWrap/>
            <w:vAlign w:val="center"/>
          </w:tcPr>
          <w:p w14:paraId="5BC11593">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1、有专业维修工程师提供服务，一旦发生故障，2小时内响应，24小时内解决故障，否则须在二个工作日内提供与原设备技术参数要求相同或高于原设备技术参数要求的备用产品，以保证采购人的正常工作。</w:t>
            </w:r>
          </w:p>
          <w:p w14:paraId="2B6D93D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▲2、为保证项目的顺利实施及更好的提供</w:t>
            </w:r>
            <w:r>
              <w:rPr>
                <w:rFonts w:hint="eastAsia" w:ascii="宋体" w:hAnsi="宋体" w:eastAsia="宋体" w:cs="宋体"/>
                <w:kern w:val="0"/>
                <w:sz w:val="24"/>
                <w:szCs w:val="24"/>
                <w:lang w:val="en-US" w:eastAsia="zh-CN"/>
              </w:rPr>
              <w:t>售后</w:t>
            </w:r>
            <w:r>
              <w:rPr>
                <w:rFonts w:hint="eastAsia" w:ascii="宋体" w:hAnsi="宋体" w:eastAsia="宋体" w:cs="宋体"/>
                <w:kern w:val="0"/>
                <w:sz w:val="24"/>
                <w:szCs w:val="24"/>
              </w:rPr>
              <w:t>服务，</w:t>
            </w:r>
            <w:r>
              <w:rPr>
                <w:rFonts w:hint="eastAsia" w:ascii="宋体" w:hAnsi="宋体" w:eastAsia="宋体" w:cs="宋体"/>
                <w:kern w:val="0"/>
                <w:sz w:val="24"/>
                <w:szCs w:val="24"/>
                <w:lang w:val="en-US" w:eastAsia="zh-CN"/>
              </w:rPr>
              <w:t>要求成交人具备</w:t>
            </w:r>
            <w:r>
              <w:rPr>
                <w:rFonts w:hint="eastAsia" w:ascii="宋体" w:hAnsi="宋体" w:eastAsia="宋体" w:cs="宋体"/>
                <w:kern w:val="0"/>
                <w:sz w:val="24"/>
                <w:szCs w:val="24"/>
              </w:rPr>
              <w:t>本地化</w:t>
            </w:r>
            <w:r>
              <w:rPr>
                <w:rFonts w:hint="eastAsia" w:ascii="宋体" w:hAnsi="宋体" w:eastAsia="宋体" w:cs="宋体"/>
                <w:kern w:val="0"/>
                <w:sz w:val="24"/>
                <w:szCs w:val="24"/>
                <w:lang w:val="en-US" w:eastAsia="zh-CN"/>
              </w:rPr>
              <w:t>售后服务的能力，竞价时提供具备本地化服务能力的承诺函</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格式自拟，加盖供应商公章，必须提供</w:t>
            </w:r>
            <w:r>
              <w:rPr>
                <w:rFonts w:hint="eastAsia" w:ascii="宋体" w:hAnsi="宋体" w:eastAsia="宋体" w:cs="宋体"/>
                <w:kern w:val="0"/>
                <w:sz w:val="24"/>
                <w:szCs w:val="24"/>
              </w:rPr>
              <w:t>）。</w:t>
            </w:r>
          </w:p>
          <w:p w14:paraId="3788B9DC">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▲3、为确保售后服务，要求提供原厂工程师上门安装调试</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培训</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原厂技术服务支持，</w:t>
            </w:r>
            <w:r>
              <w:rPr>
                <w:rFonts w:hint="eastAsia" w:ascii="宋体" w:hAnsi="宋体" w:eastAsia="宋体" w:cs="宋体"/>
                <w:kern w:val="0"/>
                <w:sz w:val="24"/>
                <w:szCs w:val="24"/>
                <w:lang w:val="en-US" w:eastAsia="zh-CN"/>
              </w:rPr>
              <w:t>竞价</w:t>
            </w:r>
            <w:r>
              <w:rPr>
                <w:rFonts w:hint="eastAsia" w:ascii="宋体" w:hAnsi="宋体" w:eastAsia="宋体" w:cs="宋体"/>
                <w:kern w:val="0"/>
                <w:sz w:val="24"/>
                <w:szCs w:val="24"/>
              </w:rPr>
              <w:t>时投标人必须提供针对本项目售后质保服务承诺书加盖</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公章的电子文件,否则投标无效，签订合同时提供原件，否则不予签订合同。</w:t>
            </w:r>
          </w:p>
        </w:tc>
      </w:tr>
      <w:tr w14:paraId="08A6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0" w:type="dxa"/>
            <w:shd w:val="clear" w:color="auto" w:fill="auto"/>
            <w:noWrap/>
            <w:vAlign w:val="center"/>
          </w:tcPr>
          <w:p w14:paraId="0F89AD22">
            <w:pPr>
              <w:widowControl/>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产品质量要求</w:t>
            </w:r>
          </w:p>
        </w:tc>
        <w:tc>
          <w:tcPr>
            <w:tcW w:w="12861" w:type="dxa"/>
            <w:shd w:val="clear" w:color="auto" w:fill="auto"/>
            <w:noWrap/>
            <w:vAlign w:val="center"/>
          </w:tcPr>
          <w:p w14:paraId="4A7212C9">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为保证产品质量，投标时投标人在供应商响应附件要求中必须上传采购需求清单要求所提交的所有相关电子文件，供货时提供原件核查，审查合格后方可签订合同，审查不合格或不提交审查材料按不符合产品质量要求做处理，对不能满足参数要求且发现与招标参数品牌型号及规格不符，即使货物已交付使用，采购人有权中止合同，无条件退货，且成交人需赔偿采购人的相关损失并把竞价中标作废标处理，影响采购进度，我单位将按“供应商虚假响应”上报相关主管部门。</w:t>
            </w:r>
          </w:p>
        </w:tc>
      </w:tr>
      <w:tr w14:paraId="4647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0" w:type="dxa"/>
            <w:shd w:val="clear" w:color="auto" w:fill="auto"/>
            <w:noWrap/>
            <w:vAlign w:val="center"/>
          </w:tcPr>
          <w:p w14:paraId="472A8B2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其他要求</w:t>
            </w:r>
          </w:p>
        </w:tc>
        <w:tc>
          <w:tcPr>
            <w:tcW w:w="12861" w:type="dxa"/>
            <w:shd w:val="clear" w:color="auto" w:fill="auto"/>
            <w:noWrap/>
            <w:vAlign w:val="center"/>
          </w:tcPr>
          <w:p w14:paraId="457A908F">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供应商必须实质性响应本项目标注“▲”的技术参数要求，不允许负偏离，对技术参数要求中非标注“▲”的技术参数负偏离项数不超过3项，否则视为无效响应。投标时，供应商所投产品须满足或优于技术参数配置要求【需提供《商务、</w:t>
            </w:r>
            <w:bookmarkStart w:id="0" w:name="_GoBack"/>
            <w:bookmarkEnd w:id="0"/>
            <w:r>
              <w:rPr>
                <w:rFonts w:hint="eastAsia" w:ascii="宋体" w:hAnsi="宋体" w:eastAsia="宋体" w:cs="宋体"/>
                <w:kern w:val="0"/>
                <w:sz w:val="24"/>
                <w:szCs w:val="24"/>
              </w:rPr>
              <w:t>技术响应、偏离情况说明表》(格式自拟)、《投标报价表》和投标产品的《技术参数配置清单》(格式见附件)及检测报告复印件等相关佐证材料，以上材料加盖供应商公章扫描上传至附件，否则视为无效响应。</w:t>
            </w:r>
          </w:p>
          <w:p w14:paraId="27709FE9">
            <w:pPr>
              <w:keepNext w:val="0"/>
              <w:keepLines w:val="0"/>
              <w:pageBreakBefore w:val="0"/>
              <w:kinsoku/>
              <w:wordWrap/>
              <w:overflowPunct/>
              <w:topLinePunct w:val="0"/>
              <w:autoSpaceDE/>
              <w:autoSpaceDN/>
              <w:bidi w:val="0"/>
              <w:adjustRightInd/>
              <w:snapToGrid/>
              <w:spacing w:line="500" w:lineRule="exact"/>
              <w:textAlignment w:val="auto"/>
              <w:rPr>
                <w:sz w:val="24"/>
                <w:szCs w:val="24"/>
              </w:rPr>
            </w:pPr>
            <w:r>
              <w:rPr>
                <w:rFonts w:hint="eastAsia"/>
                <w:sz w:val="24"/>
                <w:szCs w:val="24"/>
              </w:rPr>
              <w:t>2、报价时必须提交企业营业执照复印件，否则竞标无效。</w:t>
            </w:r>
          </w:p>
          <w:p w14:paraId="0F4AD990">
            <w:pPr>
              <w:keepNext w:val="0"/>
              <w:keepLines w:val="0"/>
              <w:pageBreakBefore w:val="0"/>
              <w:kinsoku/>
              <w:wordWrap/>
              <w:overflowPunct/>
              <w:topLinePunct w:val="0"/>
              <w:autoSpaceDE/>
              <w:autoSpaceDN/>
              <w:bidi w:val="0"/>
              <w:adjustRightInd/>
              <w:snapToGrid/>
              <w:spacing w:line="500" w:lineRule="exact"/>
              <w:textAlignment w:val="auto"/>
              <w:rPr>
                <w:sz w:val="24"/>
                <w:szCs w:val="24"/>
              </w:rPr>
            </w:pPr>
            <w:r>
              <w:rPr>
                <w:rFonts w:hint="eastAsia"/>
                <w:sz w:val="24"/>
                <w:szCs w:val="24"/>
              </w:rPr>
              <w:t>3、报价时必须提交竞标截止之日前6个月内竞标企业任意1个月依法缴纳税收或依法免缴税收的证明，否则竞标无效。</w:t>
            </w:r>
          </w:p>
          <w:p w14:paraId="06055187">
            <w:pPr>
              <w:keepNext w:val="0"/>
              <w:keepLines w:val="0"/>
              <w:pageBreakBefore w:val="0"/>
              <w:kinsoku/>
              <w:wordWrap/>
              <w:overflowPunct/>
              <w:topLinePunct w:val="0"/>
              <w:autoSpaceDE/>
              <w:autoSpaceDN/>
              <w:bidi w:val="0"/>
              <w:adjustRightInd/>
              <w:snapToGrid/>
              <w:spacing w:line="500" w:lineRule="exact"/>
              <w:textAlignment w:val="auto"/>
              <w:rPr>
                <w:sz w:val="24"/>
                <w:szCs w:val="24"/>
              </w:rPr>
            </w:pPr>
            <w:r>
              <w:rPr>
                <w:rFonts w:hint="eastAsia"/>
                <w:sz w:val="24"/>
                <w:szCs w:val="24"/>
              </w:rPr>
              <w:t>4、报价时必须提交竞标截止之日前半年内竞标企业任意1个月依法缴纳社会保障资金的证明</w:t>
            </w:r>
            <w:r>
              <w:rPr>
                <w:rFonts w:hint="eastAsia"/>
                <w:sz w:val="24"/>
                <w:szCs w:val="24"/>
                <w:lang w:eastAsia="zh-CN"/>
              </w:rPr>
              <w:t>（</w:t>
            </w:r>
            <w:r>
              <w:rPr>
                <w:rFonts w:hint="eastAsia"/>
                <w:sz w:val="24"/>
                <w:szCs w:val="24"/>
                <w:lang w:val="en-US" w:eastAsia="zh-CN"/>
              </w:rPr>
              <w:t>新设立公司按实际提供，并做相关的说明</w:t>
            </w:r>
            <w:r>
              <w:rPr>
                <w:rFonts w:hint="eastAsia"/>
                <w:sz w:val="24"/>
                <w:szCs w:val="24"/>
                <w:lang w:eastAsia="zh-CN"/>
              </w:rPr>
              <w:t>）</w:t>
            </w:r>
            <w:r>
              <w:rPr>
                <w:rFonts w:hint="eastAsia"/>
                <w:sz w:val="24"/>
                <w:szCs w:val="24"/>
              </w:rPr>
              <w:t>，否则竟标无效。</w:t>
            </w:r>
          </w:p>
          <w:p w14:paraId="146A9F9B">
            <w:pPr>
              <w:keepNext w:val="0"/>
              <w:keepLines w:val="0"/>
              <w:pageBreakBefore w:val="0"/>
              <w:kinsoku/>
              <w:wordWrap/>
              <w:overflowPunct/>
              <w:topLinePunct w:val="0"/>
              <w:autoSpaceDE/>
              <w:autoSpaceDN/>
              <w:bidi w:val="0"/>
              <w:adjustRightInd/>
              <w:snapToGrid/>
              <w:spacing w:line="500" w:lineRule="exact"/>
              <w:textAlignment w:val="auto"/>
              <w:rPr>
                <w:sz w:val="24"/>
                <w:szCs w:val="24"/>
              </w:rPr>
            </w:pPr>
            <w:r>
              <w:rPr>
                <w:rFonts w:hint="eastAsia"/>
                <w:sz w:val="24"/>
                <w:szCs w:val="24"/>
              </w:rPr>
              <w:t>5、根据采购需求提交竟标响应文件(加盖供应商盖公章)，否则竟标无效。</w:t>
            </w:r>
          </w:p>
          <w:p w14:paraId="0D652C5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b/>
                <w:sz w:val="24"/>
                <w:szCs w:val="24"/>
              </w:rPr>
              <w:t>响应附件要求</w:t>
            </w:r>
            <w:r>
              <w:rPr>
                <w:b/>
                <w:sz w:val="24"/>
                <w:szCs w:val="24"/>
              </w:rPr>
              <w:t>:</w:t>
            </w:r>
            <w:r>
              <w:rPr>
                <w:sz w:val="24"/>
                <w:szCs w:val="24"/>
              </w:rPr>
              <w:t xml:space="preserve"> </w:t>
            </w:r>
            <w:r>
              <w:rPr>
                <w:rFonts w:hint="eastAsia"/>
                <w:sz w:val="24"/>
                <w:szCs w:val="24"/>
              </w:rPr>
              <w:t>请供应商务必仔细研读采购需求文件，并根据采购需求清单技术参数及商务条款要求提供上传相应投标响应文件及相关证明材料</w:t>
            </w:r>
            <w:r>
              <w:rPr>
                <w:sz w:val="24"/>
                <w:szCs w:val="24"/>
              </w:rPr>
              <w:t>(</w:t>
            </w:r>
            <w:r>
              <w:rPr>
                <w:rFonts w:hint="eastAsia"/>
                <w:sz w:val="24"/>
                <w:szCs w:val="24"/>
              </w:rPr>
              <w:t>加盖供应商盖公章</w:t>
            </w:r>
            <w:r>
              <w:rPr>
                <w:sz w:val="24"/>
                <w:szCs w:val="24"/>
              </w:rPr>
              <w:t>)</w:t>
            </w:r>
            <w:r>
              <w:rPr>
                <w:rFonts w:hint="eastAsia"/>
                <w:sz w:val="24"/>
                <w:szCs w:val="24"/>
              </w:rPr>
              <w:t>，否则投标无效。</w:t>
            </w:r>
          </w:p>
        </w:tc>
      </w:tr>
    </w:tbl>
    <w:p w14:paraId="4185A823"/>
    <w:p w14:paraId="27A2E950"/>
    <w:p w14:paraId="6382BAC2"/>
    <w:p w14:paraId="4FD5F859"/>
    <w:sectPr>
      <w:footerReference r:id="rId3" w:type="default"/>
      <w:pgSz w:w="16838" w:h="11906" w:orient="landscape"/>
      <w:pgMar w:top="1276"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7715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E5CCF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2E5CCF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DD"/>
    <w:rsid w:val="000B6281"/>
    <w:rsid w:val="002651A4"/>
    <w:rsid w:val="00402244"/>
    <w:rsid w:val="004C5978"/>
    <w:rsid w:val="00530AE3"/>
    <w:rsid w:val="00662A24"/>
    <w:rsid w:val="009572DB"/>
    <w:rsid w:val="00A55E7A"/>
    <w:rsid w:val="00AB05F7"/>
    <w:rsid w:val="00B2047D"/>
    <w:rsid w:val="00CB45DD"/>
    <w:rsid w:val="00D72CA4"/>
    <w:rsid w:val="013E4434"/>
    <w:rsid w:val="02201D8C"/>
    <w:rsid w:val="04471852"/>
    <w:rsid w:val="04F27A0F"/>
    <w:rsid w:val="053C0C8A"/>
    <w:rsid w:val="05D2339D"/>
    <w:rsid w:val="0659586C"/>
    <w:rsid w:val="07E61381"/>
    <w:rsid w:val="099F5C8C"/>
    <w:rsid w:val="0C122745"/>
    <w:rsid w:val="10BE4C49"/>
    <w:rsid w:val="1768590F"/>
    <w:rsid w:val="186E51A7"/>
    <w:rsid w:val="188D1AD1"/>
    <w:rsid w:val="1D6152DA"/>
    <w:rsid w:val="204C4020"/>
    <w:rsid w:val="23CD191B"/>
    <w:rsid w:val="25902C01"/>
    <w:rsid w:val="25CE54D7"/>
    <w:rsid w:val="290F6532"/>
    <w:rsid w:val="29FC6AB7"/>
    <w:rsid w:val="2A5306A1"/>
    <w:rsid w:val="2D5B7F98"/>
    <w:rsid w:val="36AE1139"/>
    <w:rsid w:val="37AE5168"/>
    <w:rsid w:val="3B251BE5"/>
    <w:rsid w:val="3B43053D"/>
    <w:rsid w:val="3BD57167"/>
    <w:rsid w:val="3C7B7D0F"/>
    <w:rsid w:val="3F9D61EE"/>
    <w:rsid w:val="40BC4452"/>
    <w:rsid w:val="40EF4827"/>
    <w:rsid w:val="41586871"/>
    <w:rsid w:val="436F1C50"/>
    <w:rsid w:val="43B835F7"/>
    <w:rsid w:val="44A1408B"/>
    <w:rsid w:val="499917D4"/>
    <w:rsid w:val="4AF33CC3"/>
    <w:rsid w:val="4B8A42BC"/>
    <w:rsid w:val="4C2D26A8"/>
    <w:rsid w:val="4DF67155"/>
    <w:rsid w:val="4EA31857"/>
    <w:rsid w:val="4F0771E0"/>
    <w:rsid w:val="4F0C738D"/>
    <w:rsid w:val="4F9A62A6"/>
    <w:rsid w:val="526D7CA2"/>
    <w:rsid w:val="58BA3515"/>
    <w:rsid w:val="5A6000EC"/>
    <w:rsid w:val="5AFA22EF"/>
    <w:rsid w:val="5B5714EF"/>
    <w:rsid w:val="5C245875"/>
    <w:rsid w:val="5CF7049E"/>
    <w:rsid w:val="5D706898"/>
    <w:rsid w:val="5DC80482"/>
    <w:rsid w:val="5EE906B0"/>
    <w:rsid w:val="5FE33352"/>
    <w:rsid w:val="609603C4"/>
    <w:rsid w:val="619C5EAE"/>
    <w:rsid w:val="645A4B51"/>
    <w:rsid w:val="64C80D68"/>
    <w:rsid w:val="65F242EE"/>
    <w:rsid w:val="671604B0"/>
    <w:rsid w:val="689C7120"/>
    <w:rsid w:val="697B45FB"/>
    <w:rsid w:val="6A0E36C1"/>
    <w:rsid w:val="6A1862EE"/>
    <w:rsid w:val="6C445178"/>
    <w:rsid w:val="6D1C60F5"/>
    <w:rsid w:val="6E4B4445"/>
    <w:rsid w:val="729C3F60"/>
    <w:rsid w:val="73BD2501"/>
    <w:rsid w:val="73D70FC8"/>
    <w:rsid w:val="750202C6"/>
    <w:rsid w:val="772C162A"/>
    <w:rsid w:val="79A74F98"/>
    <w:rsid w:val="7A770E0E"/>
    <w:rsid w:val="7B573B5F"/>
    <w:rsid w:val="7B5D0004"/>
    <w:rsid w:val="7EA1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7498</Words>
  <Characters>8554</Characters>
  <Lines>283</Lines>
  <Paragraphs>119</Paragraphs>
  <TotalTime>1</TotalTime>
  <ScaleCrop>false</ScaleCrop>
  <LinksUpToDate>false</LinksUpToDate>
  <CharactersWithSpaces>8706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2025-06-18T08:43:00Z</dcterms:created>
  <dc:creator>administrator</dc:creator>
  <cp:lastModifiedBy>冰与火之歌</cp:lastModifiedBy>
  <dcterms:modified xsi:type="dcterms:W3CDTF">2025-07-14T09:46:43Z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eyJoZGlkIjoiYmUzZjJhZTdmOGNhNjg3ZjRkMDhjMmMzMzI2OWU5ZjMiLCJ1c2VySWQiOiI5NjYyNTYyOTIifQ==</vt:lpwstr>
  </property>
  <property fmtid="{D5CDD505-2E9C-101B-9397-08002B2CF9AE}" pid="3" name="KSOProductBuildVer">
    <vt:lpwstr>2052-12.1.0.21915</vt:lpwstr>
  </property>
  <property fmtid="{D5CDD505-2E9C-101B-9397-08002B2CF9AE}" pid="4" name="ICV">
    <vt:lpwstr>FE0124E86DEA4234A9460B53C319B9BE_12</vt:lpwstr>
  </property>
</Properties>
</file>