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E4FBF">
      <w:pPr>
        <w:keepNext w:val="0"/>
        <w:keepLines w:val="0"/>
        <w:widowControl/>
        <w:suppressLineNumbers w:val="0"/>
        <w:spacing w:before="0" w:beforeAutospacing="0" w:after="0" w:afterAutospacing="0"/>
        <w:ind w:left="0" w:right="0"/>
        <w:jc w:val="center"/>
        <w:rPr>
          <w:rFonts w:hint="default" w:ascii="宋体" w:hAnsi="宋体" w:eastAsia="宋体" w:cs="宋体"/>
          <w:b/>
          <w:bCs/>
          <w:color w:val="000000" w:themeColor="text1"/>
          <w:w w:val="90"/>
          <w:sz w:val="32"/>
          <w:szCs w:val="32"/>
          <w:lang w:val="en-US" w:eastAsia="zh-CN"/>
          <w14:textFill>
            <w14:solidFill>
              <w14:schemeClr w14:val="tx1"/>
            </w14:solidFill>
          </w14:textFill>
        </w:rPr>
      </w:pPr>
      <w:r>
        <w:rPr>
          <w:rFonts w:hint="eastAsia" w:ascii="宋体" w:hAnsi="宋体" w:eastAsia="宋体" w:cs="宋体"/>
          <w:b/>
          <w:bCs/>
          <w:color w:val="000000" w:themeColor="text1"/>
          <w:w w:val="90"/>
          <w:sz w:val="40"/>
          <w:szCs w:val="40"/>
          <w:lang w:val="en-US" w:eastAsia="zh-CN"/>
          <w14:textFill>
            <w14:solidFill>
              <w14:schemeClr w14:val="tx1"/>
            </w14:solidFill>
          </w14:textFill>
        </w:rPr>
        <w:t>广西第一工业学校</w:t>
      </w:r>
      <w:r>
        <w:rPr>
          <w:rFonts w:hint="eastAsia" w:ascii="宋体" w:hAnsi="宋体" w:eastAsia="宋体" w:cs="宋体"/>
          <w:b/>
          <w:bCs/>
          <w:color w:val="000000" w:themeColor="text1"/>
          <w:w w:val="90"/>
          <w:sz w:val="40"/>
          <w:szCs w:val="40"/>
          <w:lang w:eastAsia="zh-CN"/>
          <w14:textFill>
            <w14:solidFill>
              <w14:schemeClr w14:val="tx1"/>
            </w14:solidFill>
          </w14:textFill>
        </w:rPr>
        <w:t>网络中心运维实训室</w:t>
      </w:r>
      <w:r>
        <w:rPr>
          <w:rFonts w:hint="eastAsia" w:ascii="宋体" w:hAnsi="宋体" w:eastAsia="宋体" w:cs="宋体"/>
          <w:b/>
          <w:bCs/>
          <w:color w:val="000000" w:themeColor="text1"/>
          <w:w w:val="90"/>
          <w:sz w:val="40"/>
          <w:szCs w:val="40"/>
          <w:lang w:val="en-US" w:eastAsia="zh-CN"/>
          <w14:textFill>
            <w14:solidFill>
              <w14:schemeClr w14:val="tx1"/>
            </w14:solidFill>
          </w14:textFill>
        </w:rPr>
        <w:t>项目</w:t>
      </w:r>
      <w:r>
        <w:rPr>
          <w:rFonts w:hint="eastAsia" w:ascii="宋体" w:hAnsi="宋体" w:eastAsia="宋体" w:cs="宋体"/>
          <w:b/>
          <w:bCs/>
          <w:color w:val="000000" w:themeColor="text1"/>
          <w:w w:val="90"/>
          <w:sz w:val="32"/>
          <w:szCs w:val="32"/>
          <w:lang w:val="en-US" w:eastAsia="zh-CN"/>
          <w14:textFill>
            <w14:solidFill>
              <w14:schemeClr w14:val="tx1"/>
            </w14:solidFill>
          </w14:textFill>
        </w:rPr>
        <w:br w:type="textWrapping"/>
      </w:r>
      <w:r>
        <w:rPr>
          <w:rFonts w:hint="eastAsia" w:ascii="宋体" w:hAnsi="宋体" w:eastAsia="宋体" w:cs="宋体"/>
          <w:b/>
          <w:bCs/>
          <w:i w:val="0"/>
          <w:iCs w:val="0"/>
          <w:caps w:val="0"/>
          <w:color w:val="000000"/>
          <w:spacing w:val="0"/>
          <w:kern w:val="2"/>
          <w:sz w:val="32"/>
          <w:szCs w:val="32"/>
          <w:shd w:val="clear" w:fill="FFFFFF"/>
          <w:lang w:val="en-US" w:eastAsia="zh-CN" w:bidi="ar"/>
        </w:rPr>
        <w:t>出口安全系统、</w:t>
      </w:r>
      <w:r>
        <w:rPr>
          <w:rFonts w:hint="eastAsia" w:ascii="宋体" w:hAnsi="宋体" w:eastAsia="宋体" w:cs="宋体"/>
          <w:b/>
          <w:bCs/>
          <w:i w:val="0"/>
          <w:iCs w:val="0"/>
          <w:caps w:val="0"/>
          <w:color w:val="000000"/>
          <w:spacing w:val="0"/>
          <w:sz w:val="32"/>
          <w:szCs w:val="32"/>
          <w:shd w:val="clear" w:color="auto" w:fill="FFFFFF"/>
          <w:lang w:eastAsia="zh-CN"/>
        </w:rPr>
        <w:t>不间断电源</w:t>
      </w:r>
      <w:r>
        <w:rPr>
          <w:rFonts w:hint="eastAsia" w:ascii="宋体" w:hAnsi="宋体" w:eastAsia="宋体" w:cs="宋体"/>
          <w:b/>
          <w:bCs/>
          <w:i w:val="0"/>
          <w:iCs w:val="0"/>
          <w:caps w:val="0"/>
          <w:color w:val="000000"/>
          <w:spacing w:val="0"/>
          <w:kern w:val="2"/>
          <w:sz w:val="32"/>
          <w:szCs w:val="32"/>
          <w:shd w:val="clear" w:fill="FFFFFF"/>
          <w:lang w:val="en-US" w:eastAsia="zh-CN" w:bidi="ar"/>
        </w:rPr>
        <w:t>采购参数表</w:t>
      </w:r>
    </w:p>
    <w:p w14:paraId="0F456ABB">
      <w:pPr>
        <w:pStyle w:val="10"/>
        <w:numPr>
          <w:ilvl w:val="0"/>
          <w:numId w:val="0"/>
        </w:numPr>
        <w:ind w:leftChars="0"/>
        <w:rPr>
          <w:rFonts w:hint="eastAsia" w:ascii="宋体" w:hAnsi="宋体" w:cs="宋体"/>
          <w:b/>
          <w:bCs/>
          <w:color w:val="000000" w:themeColor="text1"/>
          <w:sz w:val="28"/>
          <w:szCs w:val="28"/>
          <w:lang w:val="en-US" w:eastAsia="zh-CN"/>
          <w14:textFill>
            <w14:solidFill>
              <w14:schemeClr w14:val="tx1"/>
            </w14:solidFill>
          </w14:textFill>
        </w:rPr>
      </w:pPr>
    </w:p>
    <w:p w14:paraId="1FB25A83">
      <w:pPr>
        <w:pStyle w:val="10"/>
        <w:numPr>
          <w:ilvl w:val="0"/>
          <w:numId w:val="0"/>
        </w:numPr>
        <w:ind w:leftChars="0"/>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设备参数：</w:t>
      </w:r>
    </w:p>
    <w:tbl>
      <w:tblPr>
        <w:tblStyle w:val="7"/>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38"/>
        <w:gridCol w:w="1162"/>
        <w:gridCol w:w="5675"/>
        <w:gridCol w:w="965"/>
      </w:tblGrid>
      <w:tr w14:paraId="4FD8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Mar>
              <w:left w:w="57" w:type="dxa"/>
              <w:right w:w="57" w:type="dxa"/>
            </w:tcMar>
            <w:vAlign w:val="center"/>
          </w:tcPr>
          <w:p w14:paraId="65737309">
            <w:pPr>
              <w:ind w:left="-103" w:leftChars="-4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338" w:type="dxa"/>
            <w:tcMar>
              <w:left w:w="57" w:type="dxa"/>
              <w:right w:w="57" w:type="dxa"/>
            </w:tcMar>
            <w:vAlign w:val="center"/>
          </w:tcPr>
          <w:p w14:paraId="2A6A6068">
            <w:pPr>
              <w:ind w:left="-124" w:leftChars="-60" w:hanging="2"/>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货物名称</w:t>
            </w:r>
          </w:p>
        </w:tc>
        <w:tc>
          <w:tcPr>
            <w:tcW w:w="1162" w:type="dxa"/>
            <w:tcMar>
              <w:left w:w="57" w:type="dxa"/>
              <w:right w:w="57" w:type="dxa"/>
            </w:tcMar>
            <w:vAlign w:val="center"/>
          </w:tcPr>
          <w:p w14:paraId="2CFC6B2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参考</w:t>
            </w:r>
            <w:r>
              <w:rPr>
                <w:rFonts w:hint="eastAsia" w:ascii="宋体" w:hAnsi="宋体" w:eastAsia="宋体" w:cs="宋体"/>
                <w:color w:val="000000" w:themeColor="text1"/>
                <w:sz w:val="21"/>
                <w:szCs w:val="21"/>
                <w14:textFill>
                  <w14:solidFill>
                    <w14:schemeClr w14:val="tx1"/>
                  </w14:solidFill>
                </w14:textFill>
              </w:rPr>
              <w:t>品牌型号规格</w:t>
            </w:r>
          </w:p>
        </w:tc>
        <w:tc>
          <w:tcPr>
            <w:tcW w:w="5675" w:type="dxa"/>
            <w:tcMar>
              <w:left w:w="57" w:type="dxa"/>
              <w:right w:w="57" w:type="dxa"/>
            </w:tcMar>
            <w:vAlign w:val="center"/>
          </w:tcPr>
          <w:p w14:paraId="4C341B9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性能及指标</w:t>
            </w:r>
          </w:p>
        </w:tc>
        <w:tc>
          <w:tcPr>
            <w:tcW w:w="965" w:type="dxa"/>
            <w:tcMar>
              <w:left w:w="57" w:type="dxa"/>
              <w:right w:w="57" w:type="dxa"/>
            </w:tcMar>
            <w:vAlign w:val="center"/>
          </w:tcPr>
          <w:p w14:paraId="4D31886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p w14:paraId="372F664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台</w:t>
            </w:r>
            <w:r>
              <w:rPr>
                <w:rFonts w:hint="eastAsia" w:ascii="宋体" w:hAnsi="宋体" w:eastAsia="宋体" w:cs="宋体"/>
                <w:color w:val="000000" w:themeColor="text1"/>
                <w:sz w:val="21"/>
                <w:szCs w:val="21"/>
                <w:lang w:val="en-US" w:eastAsia="zh-CN"/>
                <w14:textFill>
                  <w14:solidFill>
                    <w14:schemeClr w14:val="tx1"/>
                  </w14:solidFill>
                </w14:textFill>
              </w:rPr>
              <w:t>/套)</w:t>
            </w:r>
          </w:p>
        </w:tc>
      </w:tr>
      <w:tr w14:paraId="6554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tcMar>
              <w:left w:w="57" w:type="dxa"/>
              <w:right w:w="57" w:type="dxa"/>
            </w:tcMar>
            <w:vAlign w:val="center"/>
          </w:tcPr>
          <w:p w14:paraId="45A1CE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w:t>
            </w:r>
          </w:p>
        </w:tc>
        <w:tc>
          <w:tcPr>
            <w:tcW w:w="1338" w:type="dxa"/>
            <w:tcMar>
              <w:left w:w="57" w:type="dxa"/>
              <w:right w:w="57" w:type="dxa"/>
            </w:tcMar>
            <w:vAlign w:val="center"/>
          </w:tcPr>
          <w:p w14:paraId="024AA3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eastAsia="zh-CN"/>
              </w:rPr>
              <w:t>出口安全系统</w:t>
            </w:r>
          </w:p>
        </w:tc>
        <w:tc>
          <w:tcPr>
            <w:tcW w:w="1162" w:type="dxa"/>
            <w:tcMar>
              <w:left w:w="57" w:type="dxa"/>
              <w:right w:w="57" w:type="dxa"/>
            </w:tcMar>
            <w:vAlign w:val="center"/>
          </w:tcPr>
          <w:p w14:paraId="564EA8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val="en-US" w:eastAsia="zh-CN"/>
              </w:rPr>
              <w:t>奇安信NSG4000-TG45M</w:t>
            </w:r>
          </w:p>
        </w:tc>
        <w:tc>
          <w:tcPr>
            <w:tcW w:w="5675" w:type="dxa"/>
            <w:tcMar>
              <w:left w:w="57" w:type="dxa"/>
              <w:right w:w="57" w:type="dxa"/>
            </w:tcMar>
            <w:vAlign w:val="center"/>
          </w:tcPr>
          <w:p w14:paraId="2F3A95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功能要求：</w:t>
            </w:r>
          </w:p>
          <w:p w14:paraId="7B6DB5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★1、产品支持业务接口下Netflow功能，能够通过Netflow实现对网络进行监控，对接口流量进行抓包，并在可将Netflow抓包文件数据外发。</w:t>
            </w:r>
          </w:p>
          <w:p w14:paraId="61CA7B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2、产品支持路由、透明、交换以及混合模式接入，满足复杂应用环境的接入需求；</w:t>
            </w:r>
          </w:p>
          <w:p w14:paraId="147FE7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3、产品支持MPLS流量透传；支持针对MPLS流量的安全审查，包括漏洞防护、反病毒、间谍软件防护、内容过滤、URL过滤、基于终端状态访问控制等安全防护功能。</w:t>
            </w:r>
          </w:p>
          <w:p w14:paraId="2B10C2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4、产品支持基于IP、应用、服务的策略路由进行智能选路，支持源地址目的地址哈希、源地址哈希、时延负载、最优链路带宽负载、最优链路带宽备份、跳数等不少于12种路由负载均衡方式。</w:t>
            </w:r>
          </w:p>
          <w:p w14:paraId="54CD3A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5、产品支持在源地址转换过程中，对SNAT（源地址转换）使用的地址池利用率进行监控，并在地址池利用率超过阈值时，通过SNMP Trap、邮件等方式告警。</w:t>
            </w:r>
          </w:p>
          <w:p w14:paraId="0CCAD4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6、必须支持对应用层 Flood攻击提供多种防护措施，包括：警告、阻断、普通防护、增强防护及授权服务器防护等。</w:t>
            </w:r>
          </w:p>
          <w:p w14:paraId="260752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7、产品必须支持DS-Lite CPE B4功能，支持成为b4或aftr角色，支持从DHCPv6服务器或手动方式获取AFTR参数。</w:t>
            </w:r>
          </w:p>
          <w:p w14:paraId="6443D6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★8、支持基于源安全域、目的安全域、源用户、源地址、源地区、目的地址、目的地区、服务、应用、隧道、时间、VLAN等多种方式进行访问控制，并支持地理区域对象的导入以及重复策略的检查。</w:t>
            </w:r>
          </w:p>
          <w:p w14:paraId="5A3E40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9、产品支持共享上网检测功能，支持共享接入检测和共享接入管控功能，可以通过设置管控地址和例外地址优化管控功能，同时支持阻断或告警动作。</w:t>
            </w:r>
          </w:p>
          <w:p w14:paraId="338B38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10、产品支持对最多6级的压缩文件进行解压查杀；能够对HTTP/FTP/POP3/SMTP/IMAP/SMB六种协议进行病毒查杀；本地病毒库规模大于3000万。</w:t>
            </w:r>
          </w:p>
          <w:p w14:paraId="109E21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★11、需支持与云端联动，至少实现病毒云查杀、URL云识别、应用云识别、云沙箱、威胁情报云检测等功能；</w:t>
            </w:r>
          </w:p>
          <w:p w14:paraId="6756DA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12、产品支持在设备漏洞防护特征库直接查阅攻击的名称、CVEID、CNNVDID、CWEID、严重性、影响的平台、类型、描述、解决方案建议等详细信息。</w:t>
            </w:r>
          </w:p>
          <w:p w14:paraId="0BE052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13、产品支持IPv4和IPv6流量的HTTPS、POP3S、SMTPS、IMAPS协议进行解密，支持配置基于源安全域、目的安全域、源地址、目的地址、SSL协议服务的解密策略，动作可以设置解密或不解密，并可基于安全域、IPv4和IPv6地址进行例外设置。</w:t>
            </w:r>
          </w:p>
          <w:p w14:paraId="42FF45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14、产品必须支持与杀毒软件或终端管理软件联动，实现基于终端健康状态的访问控制；</w:t>
            </w:r>
          </w:p>
          <w:p w14:paraId="374A3C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15、产品支持基于主机或威胁情报视图，统计网络中确认被入侵、攻破的主机数量，至少可查看被入侵、攻破的时间、威胁类别、情报来源、威胁简介、被入侵、攻破的主机IP、用户名、资产等信息；并对威胁情报发现的恶意主机执行自动阻断。</w:t>
            </w:r>
          </w:p>
          <w:p w14:paraId="20F0C3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16、产品需支持接收针对突发重大安全事件的“应急响应消息”，针对该消息可以选择“自动”或“手动”处理，处置方法至少包括基于漏洞的处置和基于威胁情报的处置。</w:t>
            </w:r>
          </w:p>
          <w:p w14:paraId="5F46EC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17、产品须提供可明文或加密方式调用的Restful API，并可指定Restful API使用的本地端口；为确保设备管理的安全性，产品需支持限制特定主机调用Restful API。</w:t>
            </w:r>
          </w:p>
          <w:p w14:paraId="272021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18、产品支持资产管理，能够通过设置资产监控、VPN、源安全域来控制资产识别范围，支持scanner或onvif类型的扫描方式和网段，实现自动或手动资产扫描；支持通过设置IP地址、MAC地址、资产类型、生效时长、厂商、位置等信息来制定黑/白名单，方便日常资产管理。</w:t>
            </w:r>
          </w:p>
          <w:p w14:paraId="5EABB3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性能要求：</w:t>
            </w:r>
          </w:p>
          <w:p w14:paraId="2AB524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val="en-US" w:eastAsia="zh-CN"/>
              </w:rPr>
              <w:t>★1、网络层吞吐量20G，并发连接≥1000万，每秒新建连接数13万；冗余电源；支持16个千兆电口，12个千兆光口，6个万兆光口，2个扩展插槽，1个Console口，2个USB接口，支持液晶屏；含三年维保服务。</w:t>
            </w:r>
          </w:p>
        </w:tc>
        <w:tc>
          <w:tcPr>
            <w:tcW w:w="965" w:type="dxa"/>
            <w:tcMar>
              <w:left w:w="57" w:type="dxa"/>
              <w:right w:w="57" w:type="dxa"/>
            </w:tcMar>
            <w:vAlign w:val="center"/>
          </w:tcPr>
          <w:p w14:paraId="672FD3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w:t>
            </w:r>
          </w:p>
        </w:tc>
      </w:tr>
      <w:tr w14:paraId="63DA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tcMar>
              <w:left w:w="57" w:type="dxa"/>
              <w:right w:w="57" w:type="dxa"/>
            </w:tcMar>
            <w:vAlign w:val="center"/>
          </w:tcPr>
          <w:p w14:paraId="5F682F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w:t>
            </w:r>
          </w:p>
        </w:tc>
        <w:tc>
          <w:tcPr>
            <w:tcW w:w="1338" w:type="dxa"/>
            <w:tcMar>
              <w:left w:w="57" w:type="dxa"/>
              <w:right w:w="57" w:type="dxa"/>
            </w:tcMar>
            <w:vAlign w:val="center"/>
          </w:tcPr>
          <w:p w14:paraId="6427B6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eastAsia="zh-CN"/>
              </w:rPr>
              <w:t>不间断电源</w:t>
            </w:r>
          </w:p>
        </w:tc>
        <w:tc>
          <w:tcPr>
            <w:tcW w:w="1162" w:type="dxa"/>
            <w:tcMar>
              <w:left w:w="57" w:type="dxa"/>
              <w:right w:w="57" w:type="dxa"/>
            </w:tcMar>
            <w:vAlign w:val="center"/>
          </w:tcPr>
          <w:p w14:paraId="6AB2F3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科士达YDC3310-RT</w:t>
            </w:r>
          </w:p>
        </w:tc>
        <w:tc>
          <w:tcPr>
            <w:tcW w:w="5675" w:type="dxa"/>
            <w:tcMar>
              <w:left w:w="57" w:type="dxa"/>
              <w:right w:w="57" w:type="dxa"/>
            </w:tcMar>
            <w:vAlign w:val="center"/>
          </w:tcPr>
          <w:p w14:paraId="598919DA">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jc w:val="left"/>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一</w:t>
            </w:r>
            <w:r>
              <w:rPr>
                <w:rFonts w:hint="eastAsia" w:ascii="宋体" w:hAnsi="宋体" w:eastAsia="宋体" w:cs="宋体"/>
                <w:b/>
                <w:bCs/>
                <w:i w:val="0"/>
                <w:iCs w:val="0"/>
                <w:caps w:val="0"/>
                <w:color w:val="000000"/>
                <w:spacing w:val="0"/>
                <w:sz w:val="21"/>
                <w:szCs w:val="21"/>
                <w:shd w:val="clear" w:color="auto" w:fill="FFFFFF"/>
                <w:lang w:val="en-US" w:eastAsia="zh-CN"/>
              </w:rPr>
              <w:t xml:space="preserve">、主机 </w:t>
            </w:r>
          </w:p>
          <w:p w14:paraId="758FCD1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jc w:val="left"/>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科士达YDC3310-RT主机</w:t>
            </w:r>
          </w:p>
          <w:p w14:paraId="0A15EF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 功率≥10KVA，机架式三进单出或单进单出双变换在线式主机。</w:t>
            </w:r>
          </w:p>
          <w:p w14:paraId="0DABE5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 面板显示及功能：LCD/LED双重显示，显示面板向用户准确地提供UPS的工作环境和工作状况信息。并通过组合显示，可快速判断UPS的故障原因和故障部位，使UPS的维护更为快捷方便。</w:t>
            </w:r>
          </w:p>
          <w:p w14:paraId="0EF5C5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3. 输入电压范围：165VAC～275VAC。输入频率跟踪范围：47.5～52.5（可调）Hz,可与任意发电机兼容，频率跟踪范围：1.0Hz/s</w:t>
            </w:r>
          </w:p>
          <w:p w14:paraId="645070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4. 输入功率因数：≥0.99。</w:t>
            </w:r>
          </w:p>
          <w:p w14:paraId="4AAEFD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5. 具有ECO运行模式，高效节能，降低使用成本。</w:t>
            </w:r>
          </w:p>
          <w:p w14:paraId="64E637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6. 输出电压：≥220±1%</w:t>
            </w:r>
          </w:p>
          <w:p w14:paraId="436F5A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7. 输出频率：≥50Hz（在输入频率在范围内，输出与输入一致；当输入频率超出范围，转电池模式工作，输出频率50±0.2）</w:t>
            </w:r>
          </w:p>
          <w:p w14:paraId="0F36AB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8. 过载能力：≤110%，60min后转旁路；≤125%，10min后转旁路；≤150%，1min后转旁路；&gt;150%，立即转旁路。</w:t>
            </w:r>
          </w:p>
          <w:p w14:paraId="7138E3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9. 市电电池转换时间：市电-&gt;电池：0 电池-&gt;市电：0</w:t>
            </w:r>
          </w:p>
          <w:p w14:paraId="3E65BA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10. 旁路逆变：旁路-&gt;逆变：0 逆变-&gt;旁路：0</w:t>
            </w:r>
          </w:p>
          <w:p w14:paraId="19BE8E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 xml:space="preserve">11. 具有开机自诊断功能，避免因UPS的隐患而可能引发的故障风险。 </w:t>
            </w:r>
          </w:p>
          <w:p w14:paraId="61B6AA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12. 具有交流输入过/欠压保护，输出过载/短路保护，逆变器过热保护、电池欠压预警保护和电池过充电保护等多功能保护于一体，极大地保证了系统运行的稳定性和可靠性。</w:t>
            </w:r>
          </w:p>
          <w:p w14:paraId="71AC24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 xml:space="preserve">13. 具有旁路功能，当UPS输出过载或发生故障时，可无间断地转到旁路工作状态由市电继续向负载供电，并提供报警信息。 </w:t>
            </w:r>
          </w:p>
          <w:p w14:paraId="57DE51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14. 旁路具有输出保护及输出设置选择功能。</w:t>
            </w:r>
          </w:p>
          <w:p w14:paraId="6F4C87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15. 具有输入零火线侦测功能。1～3KVA机型具备零火线接反侦测功能，并通过LED显示。可避免UPS市电输入零火线接反。</w:t>
            </w:r>
          </w:p>
          <w:p w14:paraId="390A91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16. 直流启动功能，可在无市电的状态下直接启动UPS，满足用户的应急需求。</w:t>
            </w:r>
          </w:p>
          <w:p w14:paraId="5212BF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17. 支持并机共用电池组功能。</w:t>
            </w:r>
          </w:p>
          <w:p w14:paraId="6EC6F2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17. 效率：100%负载≥94%</w:t>
            </w:r>
          </w:p>
          <w:p w14:paraId="4F1F02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18. 输出电流峰值系数：3</w:t>
            </w:r>
          </w:p>
          <w:p w14:paraId="4BF400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19. 输出功率因素：1</w:t>
            </w:r>
          </w:p>
          <w:p w14:paraId="70B7D3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20. 噪音：≤50dB</w:t>
            </w:r>
          </w:p>
          <w:p w14:paraId="132F18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21. 电池电压：±96VDC/±108VDC /±120VDC；（16节/ 18节/ 20节可选），便于电池的后期维护。</w:t>
            </w:r>
          </w:p>
          <w:p w14:paraId="632DA2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22. 通讯界面：RS232通讯口，SNMP卡（选配件），并机卡（选配件），</w:t>
            </w:r>
          </w:p>
          <w:p w14:paraId="0E895B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24. 提供同系列产品的节能认证和泰尔认证证书。</w:t>
            </w:r>
          </w:p>
          <w:p w14:paraId="0F030D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25.为保证供货渠道正规，供货时需提供原厂供货证明。</w:t>
            </w:r>
          </w:p>
          <w:p w14:paraId="3D9AAF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p>
          <w:p w14:paraId="3418DE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21"/>
                <w:szCs w:val="21"/>
                <w:shd w:val="clear" w:color="auto" w:fill="FFFFFF"/>
                <w:lang w:eastAsia="zh-CN"/>
              </w:rPr>
            </w:pPr>
            <w:r>
              <w:rPr>
                <w:rFonts w:hint="eastAsia" w:ascii="宋体" w:hAnsi="宋体" w:eastAsia="宋体" w:cs="宋体"/>
                <w:b/>
                <w:bCs/>
                <w:i w:val="0"/>
                <w:iCs w:val="0"/>
                <w:caps w:val="0"/>
                <w:color w:val="000000"/>
                <w:spacing w:val="0"/>
                <w:sz w:val="21"/>
                <w:szCs w:val="21"/>
                <w:shd w:val="clear" w:color="auto" w:fill="FFFFFF"/>
                <w:lang w:val="en-US" w:eastAsia="zh-CN"/>
              </w:rPr>
              <w:t>二、</w:t>
            </w:r>
            <w:r>
              <w:rPr>
                <w:rFonts w:hint="eastAsia" w:ascii="宋体" w:hAnsi="宋体" w:eastAsia="宋体" w:cs="宋体"/>
                <w:b/>
                <w:bCs/>
                <w:i w:val="0"/>
                <w:iCs w:val="0"/>
                <w:caps w:val="0"/>
                <w:color w:val="000000"/>
                <w:spacing w:val="0"/>
                <w:sz w:val="21"/>
                <w:szCs w:val="21"/>
                <w:shd w:val="clear" w:color="auto" w:fill="FFFFFF"/>
                <w:lang w:eastAsia="zh-CN"/>
              </w:rPr>
              <w:t>蓄电池</w:t>
            </w:r>
          </w:p>
          <w:p w14:paraId="028373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 科士达6-FM-100 配置16节12V100AH电池；</w:t>
            </w:r>
          </w:p>
          <w:p w14:paraId="6D8D86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 环境条件：设备在－15～45℃环境温度下正常使用，相对温度：≤90％（40±2℃时）。</w:t>
            </w:r>
          </w:p>
          <w:p w14:paraId="06766B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3. 浮充充电电压：13.5V--13.8V，均充充电电压：13.8V--14.1V；</w:t>
            </w:r>
          </w:p>
          <w:p w14:paraId="19D701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4. 结构：蓄电池的正、负极端子有明显标志，应便于连接，其极性、端子、外形尺寸应符合厂家产品图样，安装完成后的蓄电池组接线端子不应存在裸露部分，蓄电池内部结构应符合厂家的设计及工艺要求。蓄电池应有下列标志：a、制造厂家、商标；b、产品名称、型号；c、极性符号、电压；d、蓄电池编号。</w:t>
            </w:r>
          </w:p>
          <w:p w14:paraId="3155AD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5. 外观：蓄电池外观不得有变形、漏液、裂纹及污迹，标志要清楚。</w:t>
            </w:r>
          </w:p>
          <w:p w14:paraId="16DA5D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6. 气密性：蓄电池应能承受50Kpa的正压或负压而不破裂、不开胶，压力释放后壳体无残余变形。</w:t>
            </w:r>
          </w:p>
          <w:p w14:paraId="312D76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7. 防酸雾性能：蓄电池在正常浮充工作中应无酸雾溢出。</w:t>
            </w:r>
          </w:p>
          <w:p w14:paraId="07D1A0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8. 防爆性能：蓄电池在充电过程中遇有明火，内部应不引燃、不引爆。</w:t>
            </w:r>
          </w:p>
          <w:p w14:paraId="501C4F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9. 利用封口剂的蓄电池，在温度-30℃~+65℃之间，封口剂不应有裂纹与溢流现象。</w:t>
            </w:r>
          </w:p>
          <w:p w14:paraId="2767EC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10. 容量保存率：蓄电池静置28天后其容量保存率不低于96％</w:t>
            </w:r>
          </w:p>
          <w:p w14:paraId="1880C4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11. 电池充满电在25℃±5℃环境下放置10天后的开路电压应在12.84～13.14V范围内。</w:t>
            </w:r>
          </w:p>
          <w:p w14:paraId="135B8B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12. 浮充设计寿命 8-10年（20℃环境下）；</w:t>
            </w:r>
          </w:p>
          <w:p w14:paraId="6B0D74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13. 工作温度 ：-20--+50℃；</w:t>
            </w:r>
          </w:p>
          <w:p w14:paraId="5A7760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14. 相对湿度：0-95%,无冷凝；</w:t>
            </w:r>
          </w:p>
          <w:p w14:paraId="543011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15. 提供大于或等于同容量段蓄电池的泰尔认证证书。</w:t>
            </w:r>
          </w:p>
          <w:p w14:paraId="571C5B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★16. 为保证机房运行稳定，防止由于电池漏液造成的机房火灾，要求电池标配有防滑防酸托盘装置。</w:t>
            </w:r>
          </w:p>
          <w:p w14:paraId="333F13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p>
          <w:p w14:paraId="548AD8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三、</w:t>
            </w:r>
            <w:r>
              <w:rPr>
                <w:rFonts w:hint="eastAsia" w:ascii="宋体" w:hAnsi="宋体" w:eastAsia="宋体" w:cs="宋体"/>
                <w:b/>
                <w:bCs/>
                <w:i w:val="0"/>
                <w:iCs w:val="0"/>
                <w:caps w:val="0"/>
                <w:color w:val="000000"/>
                <w:spacing w:val="0"/>
                <w:sz w:val="21"/>
                <w:szCs w:val="21"/>
                <w:shd w:val="clear" w:color="auto" w:fill="FFFFFF"/>
                <w:lang w:eastAsia="zh-CN"/>
              </w:rPr>
              <w:t>电池箱</w:t>
            </w:r>
            <w:r>
              <w:rPr>
                <w:rFonts w:hint="eastAsia" w:ascii="宋体" w:hAnsi="宋体" w:eastAsia="宋体" w:cs="宋体"/>
                <w:i w:val="0"/>
                <w:iCs w:val="0"/>
                <w:caps w:val="0"/>
                <w:color w:val="000000"/>
                <w:spacing w:val="0"/>
                <w:sz w:val="21"/>
                <w:szCs w:val="21"/>
                <w:shd w:val="clear" w:color="auto" w:fill="FFFFFF"/>
                <w:lang w:eastAsia="zh-CN"/>
              </w:rPr>
              <w:br w:type="textWrapping"/>
            </w:r>
            <w:r>
              <w:rPr>
                <w:rFonts w:hint="eastAsia" w:ascii="宋体" w:hAnsi="宋体" w:eastAsia="宋体" w:cs="宋体"/>
                <w:i w:val="0"/>
                <w:iCs w:val="0"/>
                <w:caps w:val="0"/>
                <w:color w:val="000000"/>
                <w:spacing w:val="0"/>
                <w:sz w:val="21"/>
                <w:szCs w:val="21"/>
                <w:shd w:val="clear" w:color="auto" w:fill="FFFFFF"/>
                <w:lang w:val="en-US" w:eastAsia="zh-CN"/>
              </w:rPr>
              <w:t>科士达A16</w:t>
            </w:r>
            <w:r>
              <w:rPr>
                <w:rFonts w:hint="eastAsia" w:ascii="宋体" w:hAnsi="宋体" w:eastAsia="宋体" w:cs="宋体"/>
                <w:i w:val="0"/>
                <w:iCs w:val="0"/>
                <w:caps w:val="0"/>
                <w:color w:val="000000"/>
                <w:spacing w:val="0"/>
                <w:sz w:val="21"/>
                <w:szCs w:val="21"/>
                <w:shd w:val="clear" w:color="auto" w:fill="FFFFFF"/>
                <w:lang w:eastAsia="zh-CN"/>
              </w:rPr>
              <w:br w:type="textWrapping"/>
            </w:r>
            <w:r>
              <w:rPr>
                <w:rFonts w:hint="eastAsia" w:ascii="宋体" w:hAnsi="宋体" w:eastAsia="宋体" w:cs="宋体"/>
                <w:i w:val="0"/>
                <w:iCs w:val="0"/>
                <w:caps w:val="0"/>
                <w:color w:val="000000"/>
                <w:spacing w:val="0"/>
                <w:sz w:val="21"/>
                <w:szCs w:val="21"/>
                <w:shd w:val="clear" w:color="auto" w:fill="FFFFFF"/>
                <w:lang w:val="en-US" w:eastAsia="zh-CN"/>
              </w:rPr>
              <w:t>1、尺寸≥472x800x1190mm；</w:t>
            </w:r>
          </w:p>
          <w:p w14:paraId="7B08EA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2、可安装≥16节12V 100AH电池；</w:t>
            </w:r>
          </w:p>
          <w:p w14:paraId="442E16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3、配置对应电池数量的10mm2电池内部连接线；</w:t>
            </w:r>
          </w:p>
          <w:p w14:paraId="799438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left"/>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4、配置对应数量的电池组开关；</w:t>
            </w:r>
            <w:r>
              <w:rPr>
                <w:rFonts w:hint="eastAsia" w:ascii="宋体" w:hAnsi="宋体" w:eastAsia="宋体" w:cs="宋体"/>
                <w:i w:val="0"/>
                <w:iCs w:val="0"/>
                <w:caps w:val="0"/>
                <w:color w:val="000000"/>
                <w:spacing w:val="0"/>
                <w:sz w:val="21"/>
                <w:szCs w:val="21"/>
                <w:shd w:val="clear" w:color="auto" w:fill="FFFFFF"/>
                <w:lang w:val="en-US" w:eastAsia="zh-CN"/>
              </w:rPr>
              <w:br w:type="textWrapping"/>
            </w:r>
            <w:r>
              <w:rPr>
                <w:rFonts w:hint="eastAsia" w:ascii="宋体" w:hAnsi="宋体" w:eastAsia="宋体" w:cs="宋体"/>
                <w:b/>
                <w:bCs/>
                <w:i w:val="0"/>
                <w:iCs w:val="0"/>
                <w:caps w:val="0"/>
                <w:color w:val="000000"/>
                <w:spacing w:val="0"/>
                <w:sz w:val="21"/>
                <w:szCs w:val="21"/>
                <w:shd w:val="clear" w:color="auto" w:fill="FFFFFF"/>
                <w:lang w:val="en-US" w:eastAsia="zh-CN"/>
              </w:rPr>
              <w:t>四、汇电箱</w:t>
            </w:r>
          </w:p>
          <w:p w14:paraId="3AB27A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left"/>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广控HLX</w:t>
            </w:r>
          </w:p>
          <w:p w14:paraId="71BAED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1、配置国际一线品牌的150A开关；</w:t>
            </w:r>
          </w:p>
          <w:p w14:paraId="4507F0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2、配置国际一线品牌的20个断路开关；</w:t>
            </w:r>
          </w:p>
          <w:p w14:paraId="26F552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3、配置国内一线品牌的二级防雷器；</w:t>
            </w:r>
            <w:r>
              <w:rPr>
                <w:rFonts w:hint="eastAsia" w:ascii="宋体" w:hAnsi="宋体" w:eastAsia="宋体" w:cs="宋体"/>
                <w:i w:val="0"/>
                <w:iCs w:val="0"/>
                <w:caps w:val="0"/>
                <w:color w:val="000000"/>
                <w:spacing w:val="0"/>
                <w:sz w:val="21"/>
                <w:szCs w:val="21"/>
                <w:shd w:val="clear" w:color="auto" w:fill="FFFFFF"/>
                <w:lang w:val="en-US" w:eastAsia="zh-CN"/>
              </w:rPr>
              <w:br w:type="textWrapping"/>
            </w:r>
            <w:r>
              <w:rPr>
                <w:rFonts w:hint="eastAsia" w:ascii="宋体" w:hAnsi="宋体" w:eastAsia="宋体" w:cs="宋体"/>
                <w:i w:val="0"/>
                <w:iCs w:val="0"/>
                <w:caps w:val="0"/>
                <w:color w:val="000000"/>
                <w:spacing w:val="0"/>
                <w:sz w:val="21"/>
                <w:szCs w:val="21"/>
                <w:shd w:val="clear" w:color="auto" w:fill="FFFFFF"/>
                <w:lang w:val="en-US" w:eastAsia="zh-CN"/>
              </w:rPr>
              <w:t>4、3*16平方纯铜线缆</w:t>
            </w:r>
          </w:p>
          <w:p w14:paraId="42F938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（含机房线路改造施工）</w:t>
            </w:r>
          </w:p>
          <w:p w14:paraId="7574A8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21"/>
                <w:szCs w:val="21"/>
                <w:shd w:val="clear" w:color="auto" w:fill="FFFFFF"/>
                <w:lang w:eastAsia="zh-CN"/>
              </w:rPr>
            </w:pPr>
            <w:r>
              <w:rPr>
                <w:rFonts w:hint="eastAsia" w:ascii="宋体" w:hAnsi="宋体" w:eastAsia="宋体" w:cs="宋体"/>
                <w:b/>
                <w:bCs/>
                <w:i w:val="0"/>
                <w:iCs w:val="0"/>
                <w:caps w:val="0"/>
                <w:color w:val="000000"/>
                <w:spacing w:val="0"/>
                <w:sz w:val="21"/>
                <w:szCs w:val="21"/>
                <w:shd w:val="clear" w:color="auto" w:fill="FFFFFF"/>
                <w:lang w:val="en-US" w:eastAsia="zh-CN"/>
              </w:rPr>
              <w:t>五、</w:t>
            </w:r>
            <w:r>
              <w:rPr>
                <w:rFonts w:hint="eastAsia" w:ascii="宋体" w:hAnsi="宋体" w:eastAsia="宋体" w:cs="宋体"/>
                <w:b/>
                <w:bCs/>
                <w:i w:val="0"/>
                <w:iCs w:val="0"/>
                <w:caps w:val="0"/>
                <w:color w:val="000000"/>
                <w:spacing w:val="0"/>
                <w:sz w:val="21"/>
                <w:szCs w:val="21"/>
                <w:shd w:val="clear" w:color="auto" w:fill="FFFFFF"/>
                <w:lang w:eastAsia="zh-CN"/>
              </w:rPr>
              <w:t>UPS专用PDU</w:t>
            </w:r>
          </w:p>
          <w:p w14:paraId="09BAE8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1、配置≥3个（根据场地布线改造需求适量增加）</w:t>
            </w:r>
            <w:r>
              <w:rPr>
                <w:rFonts w:hint="eastAsia" w:ascii="宋体" w:hAnsi="宋体" w:eastAsia="宋体" w:cs="宋体"/>
                <w:i w:val="0"/>
                <w:iCs w:val="0"/>
                <w:caps w:val="0"/>
                <w:color w:val="000000"/>
                <w:spacing w:val="0"/>
                <w:sz w:val="21"/>
                <w:szCs w:val="21"/>
                <w:shd w:val="clear" w:color="auto" w:fill="FFFFFF"/>
                <w:lang w:eastAsia="zh-CN"/>
              </w:rPr>
              <w:br w:type="textWrapping"/>
            </w:r>
            <w:r>
              <w:rPr>
                <w:rFonts w:hint="eastAsia" w:ascii="宋体" w:hAnsi="宋体" w:eastAsia="宋体" w:cs="宋体"/>
                <w:i w:val="0"/>
                <w:iCs w:val="0"/>
                <w:caps w:val="0"/>
                <w:color w:val="000000"/>
                <w:spacing w:val="0"/>
                <w:sz w:val="21"/>
                <w:szCs w:val="21"/>
                <w:shd w:val="clear" w:color="auto" w:fill="FFFFFF"/>
                <w:lang w:val="en-US" w:eastAsia="zh-CN"/>
              </w:rPr>
              <w:t>2、16个10A口；</w:t>
            </w:r>
          </w:p>
          <w:p w14:paraId="052B87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3、功率≥5000W；</w:t>
            </w:r>
          </w:p>
          <w:p w14:paraId="5759BA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left"/>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4、新国标五孔；</w:t>
            </w:r>
          </w:p>
        </w:tc>
        <w:tc>
          <w:tcPr>
            <w:tcW w:w="965" w:type="dxa"/>
            <w:tcMar>
              <w:left w:w="57" w:type="dxa"/>
              <w:right w:w="57" w:type="dxa"/>
            </w:tcMar>
            <w:vAlign w:val="center"/>
          </w:tcPr>
          <w:p w14:paraId="6371BB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rightChars="0" w:firstLine="0" w:firstLineChars="0"/>
              <w:jc w:val="center"/>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w:t>
            </w:r>
          </w:p>
        </w:tc>
      </w:tr>
      <w:tr w14:paraId="70A9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55" w:type="dxa"/>
            <w:gridSpan w:val="5"/>
            <w:tcMar>
              <w:left w:w="57" w:type="dxa"/>
              <w:right w:w="57" w:type="dxa"/>
            </w:tcMar>
            <w:vAlign w:val="center"/>
          </w:tcPr>
          <w:p w14:paraId="23EC8A3E">
            <w:pPr>
              <w:spacing w:line="300" w:lineRule="exact"/>
              <w:rPr>
                <w:rFonts w:hint="eastAsia" w:ascii="宋体" w:hAnsi="宋体" w:cs="宋体"/>
                <w:b/>
                <w:bCs/>
                <w:sz w:val="24"/>
                <w:lang w:val="en-US" w:eastAsia="zh-CN"/>
              </w:rPr>
            </w:pPr>
            <w:r>
              <w:rPr>
                <w:rFonts w:hint="eastAsia" w:ascii="宋体" w:hAnsi="宋体" w:cs="宋体"/>
                <w:b/>
                <w:bCs/>
                <w:sz w:val="24"/>
                <w:lang w:val="en-US" w:eastAsia="zh-CN"/>
              </w:rPr>
              <w:t>商务要求</w:t>
            </w:r>
          </w:p>
        </w:tc>
      </w:tr>
      <w:tr w14:paraId="1E5A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2153" w:type="dxa"/>
            <w:gridSpan w:val="2"/>
            <w:shd w:val="clear" w:color="auto" w:fill="auto"/>
            <w:tcMar>
              <w:left w:w="57" w:type="dxa"/>
              <w:right w:w="57" w:type="dxa"/>
            </w:tcMar>
            <w:vAlign w:val="center"/>
          </w:tcPr>
          <w:p w14:paraId="7FB28501">
            <w:pPr>
              <w:spacing w:line="300" w:lineRule="exact"/>
              <w:jc w:val="center"/>
              <w:rPr>
                <w:rFonts w:hint="eastAsia" w:ascii="宋体" w:hAnsi="宋体" w:cs="宋体"/>
                <w:b/>
                <w:bCs/>
                <w:sz w:val="24"/>
                <w:lang w:val="en-US" w:eastAsia="zh-CN"/>
              </w:rPr>
            </w:pPr>
            <w:r>
              <w:rPr>
                <w:rFonts w:hint="eastAsia" w:ascii="宋体" w:hAnsi="宋体" w:cs="宋体"/>
                <w:b/>
                <w:bCs/>
                <w:sz w:val="24"/>
              </w:rPr>
              <w:t>报价要求</w:t>
            </w:r>
          </w:p>
        </w:tc>
        <w:tc>
          <w:tcPr>
            <w:tcW w:w="7802" w:type="dxa"/>
            <w:gridSpan w:val="3"/>
            <w:shd w:val="clear" w:color="auto" w:fill="auto"/>
            <w:tcMar>
              <w:left w:w="57" w:type="dxa"/>
              <w:right w:w="57" w:type="dxa"/>
            </w:tcMar>
            <w:vAlign w:val="top"/>
          </w:tcPr>
          <w:p w14:paraId="472ABE14">
            <w:pPr>
              <w:spacing w:line="300" w:lineRule="exact"/>
              <w:rPr>
                <w:rFonts w:hint="eastAsia" w:ascii="宋体" w:hAnsi="宋体" w:cs="宋体"/>
                <w:sz w:val="24"/>
              </w:rPr>
            </w:pPr>
            <w:r>
              <w:rPr>
                <w:rFonts w:hint="eastAsia" w:ascii="宋体" w:hAnsi="宋体" w:cs="宋体"/>
                <w:sz w:val="24"/>
              </w:rPr>
              <w:t>1、供应商竞价时必须全部响应本文件的“项目要求及技术需求”，否则报价无效。</w:t>
            </w:r>
          </w:p>
          <w:p w14:paraId="258A0E37">
            <w:pPr>
              <w:spacing w:line="300" w:lineRule="exact"/>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rPr>
              <w:t>本项目为总价包干，竞标报价含货物、服务、货物标准附件、备品备件、专用工具、设备安装辅材、施工辅材、搬运费、上门费、拆装费、安装调试等所有费用。</w:t>
            </w:r>
          </w:p>
        </w:tc>
      </w:tr>
      <w:tr w14:paraId="779D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2153" w:type="dxa"/>
            <w:gridSpan w:val="2"/>
            <w:shd w:val="clear" w:color="auto" w:fill="auto"/>
            <w:vAlign w:val="center"/>
          </w:tcPr>
          <w:p w14:paraId="55599DD7">
            <w:pPr>
              <w:spacing w:line="300" w:lineRule="exact"/>
              <w:jc w:val="center"/>
              <w:rPr>
                <w:rFonts w:hint="eastAsia" w:ascii="宋体" w:hAnsi="宋体" w:cs="宋体"/>
                <w:b/>
                <w:bCs/>
                <w:sz w:val="24"/>
                <w:lang w:val="en-US" w:eastAsia="zh-CN"/>
              </w:rPr>
            </w:pPr>
            <w:r>
              <w:rPr>
                <w:rFonts w:hint="eastAsia" w:ascii="宋体" w:hAnsi="宋体" w:cs="宋体"/>
                <w:b/>
                <w:bCs/>
                <w:sz w:val="24"/>
              </w:rPr>
              <w:t>质量保证</w:t>
            </w:r>
          </w:p>
        </w:tc>
        <w:tc>
          <w:tcPr>
            <w:tcW w:w="7802" w:type="dxa"/>
            <w:gridSpan w:val="3"/>
            <w:shd w:val="clear" w:color="auto" w:fill="auto"/>
            <w:vAlign w:val="top"/>
          </w:tcPr>
          <w:p w14:paraId="4D9336DE">
            <w:pPr>
              <w:spacing w:line="300" w:lineRule="exact"/>
              <w:rPr>
                <w:rFonts w:hint="eastAsia" w:ascii="宋体" w:hAnsi="宋体" w:cs="宋体"/>
                <w:sz w:val="24"/>
              </w:rPr>
            </w:pPr>
            <w:r>
              <w:rPr>
                <w:rFonts w:hint="eastAsia" w:ascii="宋体" w:hAnsi="宋体" w:cs="宋体"/>
                <w:sz w:val="24"/>
              </w:rPr>
              <w:t>质保期为</w:t>
            </w:r>
            <w:r>
              <w:rPr>
                <w:rFonts w:hint="eastAsia" w:ascii="宋体" w:hAnsi="宋体" w:cs="宋体"/>
                <w:sz w:val="24"/>
                <w:lang w:val="en-US" w:eastAsia="zh-CN"/>
              </w:rPr>
              <w:t>1</w:t>
            </w:r>
            <w:r>
              <w:rPr>
                <w:rFonts w:hint="eastAsia" w:ascii="宋体" w:hAnsi="宋体" w:cs="宋体"/>
                <w:sz w:val="24"/>
              </w:rPr>
              <w:t>年（分项货物有要求按分项要求，具体以报价文件承诺为准。若产品生产厂家免费质保期超过此年限的，合同履行过程中按厂家规定执行），自通过验收合格之日起至质保期届满时止。质保期内，提供免费上门维修服务，免收维修费和配件费，保障正常运行并提供终身技术支持。</w:t>
            </w:r>
          </w:p>
        </w:tc>
      </w:tr>
      <w:tr w14:paraId="55DD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2153" w:type="dxa"/>
            <w:gridSpan w:val="2"/>
            <w:shd w:val="clear" w:color="auto" w:fill="auto"/>
            <w:vAlign w:val="center"/>
          </w:tcPr>
          <w:p w14:paraId="1839AC79">
            <w:pPr>
              <w:spacing w:line="300" w:lineRule="exact"/>
              <w:jc w:val="center"/>
              <w:rPr>
                <w:rFonts w:hint="eastAsia" w:ascii="宋体" w:hAnsi="宋体" w:cs="宋体"/>
                <w:b/>
                <w:bCs/>
                <w:sz w:val="24"/>
                <w:lang w:val="en-US" w:eastAsia="zh-CN"/>
              </w:rPr>
            </w:pPr>
            <w:r>
              <w:rPr>
                <w:rFonts w:hint="eastAsia" w:ascii="宋体" w:hAnsi="宋体" w:cs="宋体"/>
                <w:b/>
                <w:bCs/>
                <w:sz w:val="24"/>
              </w:rPr>
              <w:t>送货时间、方式</w:t>
            </w:r>
          </w:p>
        </w:tc>
        <w:tc>
          <w:tcPr>
            <w:tcW w:w="7802" w:type="dxa"/>
            <w:gridSpan w:val="3"/>
            <w:shd w:val="clear" w:color="auto" w:fill="auto"/>
            <w:vAlign w:val="top"/>
          </w:tcPr>
          <w:p w14:paraId="0EF4D711">
            <w:pPr>
              <w:spacing w:line="300" w:lineRule="exact"/>
              <w:rPr>
                <w:rFonts w:hint="eastAsia" w:ascii="宋体" w:hAnsi="宋体" w:cs="宋体"/>
                <w:sz w:val="24"/>
              </w:rPr>
            </w:pPr>
            <w:r>
              <w:rPr>
                <w:rFonts w:hint="eastAsia" w:ascii="宋体" w:hAnsi="宋体" w:cs="宋体"/>
                <w:sz w:val="24"/>
              </w:rPr>
              <w:t>1、交货期：签订合同后</w:t>
            </w:r>
            <w:r>
              <w:rPr>
                <w:rFonts w:hint="eastAsia" w:ascii="宋体" w:hAnsi="宋体" w:cs="宋体"/>
                <w:sz w:val="24"/>
                <w:lang w:val="en-US" w:eastAsia="zh-CN"/>
              </w:rPr>
              <w:t>10</w:t>
            </w:r>
            <w:r>
              <w:rPr>
                <w:rFonts w:hint="eastAsia" w:ascii="宋体" w:hAnsi="宋体" w:cs="宋体"/>
                <w:sz w:val="24"/>
              </w:rPr>
              <w:t>日内完成供货安装</w:t>
            </w:r>
          </w:p>
          <w:p w14:paraId="4BB39DFE">
            <w:pPr>
              <w:spacing w:line="300" w:lineRule="exact"/>
              <w:rPr>
                <w:rFonts w:hint="eastAsia" w:ascii="宋体" w:hAnsi="宋体" w:cs="宋体"/>
                <w:sz w:val="24"/>
              </w:rPr>
            </w:pPr>
            <w:r>
              <w:rPr>
                <w:rFonts w:hint="eastAsia" w:ascii="宋体" w:hAnsi="宋体" w:cs="宋体"/>
                <w:sz w:val="24"/>
              </w:rPr>
              <w:t>2、工作日内送达，周一至周五早上9:00-12:00,下午15:00-17:00，周末暂不收货（特殊情况外按采购方送货）。</w:t>
            </w:r>
          </w:p>
          <w:p w14:paraId="41E3D458">
            <w:pPr>
              <w:spacing w:line="300" w:lineRule="exact"/>
              <w:rPr>
                <w:rFonts w:hint="eastAsia" w:ascii="宋体" w:hAnsi="宋体" w:cs="宋体"/>
                <w:sz w:val="24"/>
              </w:rPr>
            </w:pPr>
            <w:r>
              <w:rPr>
                <w:rFonts w:hint="eastAsia" w:ascii="宋体" w:hAnsi="宋体" w:cs="宋体"/>
                <w:sz w:val="24"/>
              </w:rPr>
              <w:t>3、交货方式：现场交货；必须提供本地化免费上门安装服务，并送到指定地点，且免费安装调试（保证能投入合理安装使用，其它涉及相关费用不得额外收取，即费用总包。不接受和认可供应商其它附加报价），暂不接受物流或者快递送货，发物流或者快递的需要供应商自己来接货，送到指定地点并负责卸货，安排人员安装和讲解指导使用。如成交供应商未与采购人沟通、未经采购人同意、未告知采购人送货方式等情况下，直接以快递或物流的方式发送货物，如出现货物丢失、货物损坏、货物长时间未接收等一系列问题，全部由成交供应商负责。</w:t>
            </w:r>
          </w:p>
          <w:p w14:paraId="06F84139">
            <w:pPr>
              <w:spacing w:line="300" w:lineRule="exact"/>
              <w:rPr>
                <w:rFonts w:hint="eastAsia" w:ascii="宋体" w:hAnsi="宋体" w:cs="宋体"/>
                <w:sz w:val="24"/>
              </w:rPr>
            </w:pPr>
            <w:r>
              <w:rPr>
                <w:rFonts w:hint="eastAsia" w:ascii="宋体" w:hAnsi="宋体" w:cs="宋体"/>
                <w:sz w:val="24"/>
              </w:rPr>
              <w:t>4.送货地址：</w:t>
            </w:r>
            <w:r>
              <w:rPr>
                <w:rFonts w:hint="eastAsia" w:ascii="宋体" w:hAnsi="宋体" w:cs="宋体"/>
                <w:sz w:val="24"/>
                <w:lang w:val="en-US" w:eastAsia="zh-CN"/>
              </w:rPr>
              <w:t>广西第一工业学校</w:t>
            </w:r>
          </w:p>
        </w:tc>
      </w:tr>
      <w:tr w14:paraId="4B70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2153" w:type="dxa"/>
            <w:gridSpan w:val="2"/>
            <w:shd w:val="clear" w:color="auto" w:fill="auto"/>
            <w:vAlign w:val="center"/>
          </w:tcPr>
          <w:p w14:paraId="1389EAD7">
            <w:pPr>
              <w:spacing w:line="300" w:lineRule="exact"/>
              <w:jc w:val="center"/>
              <w:rPr>
                <w:rFonts w:hint="eastAsia" w:ascii="宋体" w:hAnsi="宋体" w:cs="宋体"/>
                <w:b/>
                <w:bCs/>
                <w:sz w:val="24"/>
                <w:lang w:val="en-US" w:eastAsia="zh-CN"/>
              </w:rPr>
            </w:pPr>
            <w:r>
              <w:rPr>
                <w:rFonts w:hint="eastAsia" w:ascii="宋体" w:hAnsi="宋体" w:cs="宋体"/>
                <w:b/>
                <w:bCs/>
                <w:sz w:val="24"/>
              </w:rPr>
              <w:t>售后服务</w:t>
            </w:r>
          </w:p>
        </w:tc>
        <w:tc>
          <w:tcPr>
            <w:tcW w:w="7802" w:type="dxa"/>
            <w:gridSpan w:val="3"/>
            <w:shd w:val="clear" w:color="auto" w:fill="auto"/>
            <w:vAlign w:val="top"/>
          </w:tcPr>
          <w:p w14:paraId="52C748ED">
            <w:pPr>
              <w:spacing w:line="300" w:lineRule="exact"/>
              <w:rPr>
                <w:rFonts w:hint="eastAsia" w:ascii="宋体" w:hAnsi="宋体" w:cs="宋体"/>
                <w:sz w:val="24"/>
              </w:rPr>
            </w:pPr>
            <w:r>
              <w:rPr>
                <w:rFonts w:hint="eastAsia" w:ascii="宋体" w:hAnsi="宋体" w:cs="宋体"/>
                <w:sz w:val="24"/>
              </w:rPr>
              <w:t>1.免费送货上门。</w:t>
            </w:r>
          </w:p>
          <w:p w14:paraId="02700D92">
            <w:pPr>
              <w:spacing w:line="300" w:lineRule="exact"/>
              <w:rPr>
                <w:rFonts w:hint="eastAsia" w:ascii="宋体" w:hAnsi="宋体" w:cs="宋体"/>
                <w:sz w:val="24"/>
              </w:rPr>
            </w:pPr>
            <w:r>
              <w:rPr>
                <w:rFonts w:hint="eastAsia" w:ascii="宋体" w:hAnsi="宋体" w:cs="宋体"/>
                <w:sz w:val="24"/>
              </w:rPr>
              <w:t>2. 免费安装调试和培训：到货后，成交供应商需在接到用户通知后3个工作日内进行</w:t>
            </w:r>
          </w:p>
          <w:p w14:paraId="3117F89D">
            <w:pPr>
              <w:spacing w:line="300" w:lineRule="exact"/>
              <w:rPr>
                <w:rFonts w:hint="eastAsia" w:ascii="宋体" w:hAnsi="宋体" w:cs="宋体"/>
                <w:sz w:val="24"/>
              </w:rPr>
            </w:pPr>
            <w:r>
              <w:rPr>
                <w:rFonts w:hint="eastAsia" w:ascii="宋体" w:hAnsi="宋体" w:cs="宋体"/>
                <w:sz w:val="24"/>
              </w:rPr>
              <w:t>安装调试；提供用户管理人员的现场操作使用及基本维护的免费培训，保证能独</w:t>
            </w:r>
          </w:p>
          <w:p w14:paraId="20CDD6AA">
            <w:pPr>
              <w:spacing w:line="300" w:lineRule="exact"/>
              <w:rPr>
                <w:rFonts w:hint="eastAsia" w:ascii="宋体" w:hAnsi="宋体" w:cs="宋体"/>
                <w:sz w:val="24"/>
              </w:rPr>
            </w:pPr>
            <w:r>
              <w:rPr>
                <w:rFonts w:hint="eastAsia" w:ascii="宋体" w:hAnsi="宋体" w:cs="宋体"/>
                <w:sz w:val="24"/>
              </w:rPr>
              <w:t>立、熟练使用各项功能。</w:t>
            </w:r>
          </w:p>
          <w:p w14:paraId="6A597F2B">
            <w:pPr>
              <w:spacing w:line="300" w:lineRule="exact"/>
              <w:rPr>
                <w:rFonts w:hint="eastAsia" w:ascii="宋体" w:hAnsi="宋体" w:cs="宋体"/>
                <w:sz w:val="24"/>
              </w:rPr>
            </w:pPr>
            <w:r>
              <w:rPr>
                <w:rFonts w:hint="eastAsia" w:ascii="宋体" w:hAnsi="宋体" w:cs="宋体"/>
                <w:sz w:val="24"/>
              </w:rPr>
              <w:t>3.接故障通知在2小时内需要做出响应，一般问题，远程技术处理，如远程无法解决问题的，12小时到达现场处理。</w:t>
            </w:r>
          </w:p>
          <w:p w14:paraId="29017D37">
            <w:pPr>
              <w:spacing w:line="300" w:lineRule="exact"/>
              <w:rPr>
                <w:rFonts w:hint="eastAsia" w:ascii="宋体" w:hAnsi="宋体" w:cs="宋体"/>
                <w:sz w:val="24"/>
              </w:rPr>
            </w:pPr>
            <w:r>
              <w:rPr>
                <w:rFonts w:hint="eastAsia" w:ascii="宋体" w:hAnsi="宋体" w:cs="宋体"/>
                <w:sz w:val="24"/>
              </w:rPr>
              <w:t>4.项目供货及安装过程中产生的残留物或垃圾，需由成交供应商自行清理至校外。</w:t>
            </w:r>
          </w:p>
          <w:p w14:paraId="41F15273">
            <w:pPr>
              <w:spacing w:line="300" w:lineRule="exact"/>
              <w:rPr>
                <w:rFonts w:hint="eastAsia" w:ascii="宋体" w:hAnsi="宋体" w:cs="宋体"/>
                <w:sz w:val="24"/>
              </w:rPr>
            </w:pPr>
            <w:r>
              <w:rPr>
                <w:rFonts w:hint="eastAsia" w:ascii="宋体" w:hAnsi="宋体" w:cs="宋体"/>
                <w:sz w:val="24"/>
              </w:rPr>
              <w:t>5.项目供货及安装过程中产生的水费及电费，需由成交供应商结清费用后，采购人再支付货款。</w:t>
            </w:r>
          </w:p>
        </w:tc>
      </w:tr>
      <w:tr w14:paraId="57FE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153" w:type="dxa"/>
            <w:gridSpan w:val="2"/>
            <w:shd w:val="clear" w:color="auto" w:fill="auto"/>
            <w:vAlign w:val="center"/>
          </w:tcPr>
          <w:p w14:paraId="41E9D3BF">
            <w:pPr>
              <w:spacing w:line="300" w:lineRule="exact"/>
              <w:jc w:val="center"/>
              <w:rPr>
                <w:rFonts w:hint="eastAsia" w:ascii="宋体" w:hAnsi="宋体" w:cs="宋体"/>
                <w:b/>
                <w:bCs/>
                <w:sz w:val="24"/>
                <w:lang w:val="en-US" w:eastAsia="zh-CN"/>
              </w:rPr>
            </w:pPr>
            <w:r>
              <w:rPr>
                <w:rFonts w:hint="eastAsia" w:ascii="宋体" w:hAnsi="宋体" w:cs="宋体"/>
                <w:b/>
                <w:bCs/>
                <w:sz w:val="24"/>
              </w:rPr>
              <w:t>付款条件</w:t>
            </w:r>
          </w:p>
        </w:tc>
        <w:tc>
          <w:tcPr>
            <w:tcW w:w="7802" w:type="dxa"/>
            <w:gridSpan w:val="3"/>
            <w:shd w:val="clear" w:color="auto" w:fill="auto"/>
            <w:vAlign w:val="top"/>
          </w:tcPr>
          <w:p w14:paraId="4460C040">
            <w:pPr>
              <w:spacing w:line="300" w:lineRule="exact"/>
              <w:rPr>
                <w:rFonts w:hint="eastAsia" w:ascii="宋体" w:hAnsi="宋体" w:cs="宋体"/>
                <w:sz w:val="24"/>
              </w:rPr>
            </w:pPr>
            <w:r>
              <w:rPr>
                <w:rFonts w:hint="eastAsia" w:ascii="宋体" w:hAnsi="宋体" w:cs="宋体"/>
                <w:sz w:val="24"/>
              </w:rPr>
              <w:t>本项目无预付款。全部货物安装调式且经采购人验收合格后15个工作日内，采购人向成交供应商一次性付清合同总价款。</w:t>
            </w:r>
          </w:p>
        </w:tc>
      </w:tr>
      <w:tr w14:paraId="2B0C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gridSpan w:val="2"/>
            <w:shd w:val="clear" w:color="auto" w:fill="auto"/>
            <w:vAlign w:val="center"/>
          </w:tcPr>
          <w:p w14:paraId="68B5410B">
            <w:pPr>
              <w:spacing w:line="300" w:lineRule="exact"/>
              <w:jc w:val="center"/>
              <w:rPr>
                <w:rFonts w:hint="eastAsia" w:ascii="宋体" w:hAnsi="宋体" w:cs="宋体"/>
                <w:b/>
                <w:bCs/>
                <w:sz w:val="24"/>
                <w:lang w:val="en-US" w:eastAsia="zh-CN"/>
              </w:rPr>
            </w:pPr>
            <w:r>
              <w:rPr>
                <w:rFonts w:hint="eastAsia" w:ascii="宋体" w:hAnsi="宋体" w:cs="宋体"/>
                <w:b/>
                <w:bCs/>
                <w:sz w:val="24"/>
              </w:rPr>
              <w:t>验收要求</w:t>
            </w:r>
          </w:p>
        </w:tc>
        <w:tc>
          <w:tcPr>
            <w:tcW w:w="7802" w:type="dxa"/>
            <w:gridSpan w:val="3"/>
            <w:shd w:val="clear" w:color="auto" w:fill="auto"/>
            <w:vAlign w:val="top"/>
          </w:tcPr>
          <w:p w14:paraId="4ED68866">
            <w:pPr>
              <w:spacing w:line="300" w:lineRule="exact"/>
              <w:rPr>
                <w:rFonts w:hint="eastAsia" w:ascii="宋体" w:hAnsi="宋体" w:cs="宋体"/>
                <w:sz w:val="24"/>
              </w:rPr>
            </w:pPr>
            <w:r>
              <w:rPr>
                <w:rFonts w:hint="eastAsia" w:ascii="宋体" w:hAnsi="宋体" w:eastAsia="宋体" w:cs="宋体"/>
                <w:i w:val="0"/>
                <w:iCs w:val="0"/>
                <w:caps w:val="0"/>
                <w:color w:val="000000"/>
                <w:spacing w:val="0"/>
                <w:sz w:val="21"/>
                <w:szCs w:val="21"/>
                <w:shd w:val="clear" w:color="auto" w:fill="FFFFFF"/>
                <w:lang w:val="en-US" w:eastAsia="zh-CN"/>
              </w:rPr>
              <w:t>★</w:t>
            </w:r>
            <w:r>
              <w:rPr>
                <w:rFonts w:hint="eastAsia" w:ascii="宋体" w:hAnsi="宋体" w:cs="宋体"/>
                <w:sz w:val="24"/>
              </w:rPr>
              <w:t>1.验收依据</w:t>
            </w:r>
          </w:p>
          <w:p w14:paraId="6BDB6B55">
            <w:pPr>
              <w:spacing w:line="300" w:lineRule="exact"/>
              <w:rPr>
                <w:rFonts w:hint="eastAsia" w:ascii="宋体" w:hAnsi="宋体" w:cs="宋体"/>
                <w:sz w:val="24"/>
              </w:rPr>
            </w:pPr>
            <w:r>
              <w:rPr>
                <w:rFonts w:hint="eastAsia" w:ascii="宋体" w:hAnsi="宋体" w:cs="宋体"/>
                <w:sz w:val="24"/>
              </w:rPr>
              <w:t>按合同要求及国家标准进行验收。</w:t>
            </w:r>
          </w:p>
          <w:p w14:paraId="16ED546B">
            <w:pPr>
              <w:pStyle w:val="2"/>
              <w:rPr>
                <w:rFonts w:hint="eastAsia"/>
              </w:rPr>
            </w:pPr>
            <w:r>
              <w:rPr>
                <w:rFonts w:hint="eastAsia"/>
              </w:rPr>
              <w:t>验收时，成交供应商须对采购文件的产品功能逐一演示，以确认竞价产品是否满足采购文件要求；</w:t>
            </w:r>
          </w:p>
          <w:p w14:paraId="1F48EADF">
            <w:pPr>
              <w:spacing w:line="300" w:lineRule="exact"/>
              <w:rPr>
                <w:rFonts w:hint="eastAsia" w:ascii="宋体" w:hAnsi="宋体" w:cs="宋体"/>
                <w:sz w:val="24"/>
              </w:rPr>
            </w:pPr>
            <w:r>
              <w:rPr>
                <w:rFonts w:hint="eastAsia" w:ascii="宋体" w:hAnsi="宋体" w:eastAsia="宋体" w:cs="宋体"/>
                <w:i w:val="0"/>
                <w:iCs w:val="0"/>
                <w:caps w:val="0"/>
                <w:color w:val="000000"/>
                <w:spacing w:val="0"/>
                <w:sz w:val="21"/>
                <w:szCs w:val="21"/>
                <w:shd w:val="clear" w:color="auto" w:fill="FFFFFF"/>
                <w:lang w:val="en-US" w:eastAsia="zh-CN"/>
              </w:rPr>
              <w:t>★</w:t>
            </w:r>
            <w:r>
              <w:rPr>
                <w:rFonts w:hint="eastAsia" w:ascii="宋体" w:hAnsi="宋体" w:cs="宋体"/>
                <w:sz w:val="24"/>
              </w:rPr>
              <w:t>2.验收标准</w:t>
            </w:r>
          </w:p>
          <w:p w14:paraId="7FFB64F5">
            <w:pPr>
              <w:spacing w:line="300" w:lineRule="exact"/>
              <w:rPr>
                <w:rFonts w:hint="eastAsia" w:ascii="宋体" w:hAnsi="宋体" w:cs="宋体"/>
                <w:sz w:val="24"/>
              </w:rPr>
            </w:pPr>
            <w:r>
              <w:rPr>
                <w:rFonts w:hint="eastAsia" w:ascii="宋体" w:hAnsi="宋体" w:cs="宋体"/>
                <w:sz w:val="24"/>
              </w:rPr>
              <w:t>（1）所供产品的规格、数量、功能、材质、颜色等符合招标文件采购需求及采购合同约定的要求。</w:t>
            </w:r>
          </w:p>
          <w:p w14:paraId="498EE9DC">
            <w:pPr>
              <w:spacing w:line="300" w:lineRule="exact"/>
              <w:rPr>
                <w:rFonts w:hint="eastAsia" w:ascii="宋体" w:hAnsi="宋体" w:cs="宋体"/>
                <w:sz w:val="24"/>
              </w:rPr>
            </w:pPr>
            <w:r>
              <w:rPr>
                <w:rFonts w:hint="eastAsia" w:ascii="宋体" w:hAnsi="宋体" w:cs="宋体"/>
                <w:sz w:val="24"/>
              </w:rPr>
              <w:t>（2）所供产品的外观完好，无严重碰撞、表皮脱落、五金件生锈等明显瑕疵。</w:t>
            </w:r>
          </w:p>
          <w:p w14:paraId="3EE58183">
            <w:pPr>
              <w:spacing w:line="300" w:lineRule="exact"/>
              <w:rPr>
                <w:rFonts w:hint="eastAsia" w:ascii="宋体" w:hAnsi="宋体" w:cs="宋体"/>
                <w:sz w:val="24"/>
              </w:rPr>
            </w:pPr>
            <w:r>
              <w:rPr>
                <w:rFonts w:hint="eastAsia" w:ascii="宋体" w:hAnsi="宋体" w:cs="宋体"/>
                <w:sz w:val="24"/>
              </w:rPr>
              <w:t>（3）所供产品结构牢固，无安全隐患。</w:t>
            </w:r>
          </w:p>
          <w:p w14:paraId="10F1E51B">
            <w:pPr>
              <w:spacing w:line="300" w:lineRule="exact"/>
              <w:rPr>
                <w:rFonts w:hint="eastAsia" w:ascii="宋体" w:hAnsi="宋体" w:cs="宋体"/>
                <w:sz w:val="24"/>
              </w:rPr>
            </w:pPr>
            <w:r>
              <w:rPr>
                <w:rFonts w:hint="eastAsia" w:ascii="宋体" w:hAnsi="宋体" w:cs="宋体"/>
                <w:sz w:val="24"/>
              </w:rPr>
              <w:t>（4）成交供应商应提供货物的有效的质量检验文件（报告），经采购人认可后，与合同的性能指标一起作为货物验收标准，采购人可对货物进行复检与性能测试</w:t>
            </w:r>
            <w:r>
              <w:rPr>
                <w:rFonts w:hint="eastAsia" w:ascii="宋体" w:hAnsi="宋体" w:cs="宋体"/>
                <w:sz w:val="24"/>
                <w:lang w:eastAsia="zh-CN"/>
              </w:rPr>
              <w:t>。</w:t>
            </w:r>
          </w:p>
        </w:tc>
      </w:tr>
      <w:tr w14:paraId="455D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gridSpan w:val="2"/>
            <w:shd w:val="clear" w:color="auto" w:fill="auto"/>
            <w:vAlign w:val="center"/>
          </w:tcPr>
          <w:p w14:paraId="74D86E80">
            <w:pPr>
              <w:spacing w:line="300" w:lineRule="exact"/>
              <w:jc w:val="center"/>
              <w:rPr>
                <w:rFonts w:hint="eastAsia" w:ascii="宋体" w:hAnsi="宋体" w:cs="宋体"/>
                <w:b/>
                <w:bCs/>
                <w:sz w:val="24"/>
                <w:lang w:val="en-US" w:eastAsia="zh-CN"/>
              </w:rPr>
            </w:pPr>
            <w:r>
              <w:rPr>
                <w:rFonts w:hint="eastAsia" w:ascii="宋体" w:hAnsi="宋体" w:cs="宋体"/>
                <w:b/>
                <w:bCs/>
                <w:sz w:val="24"/>
              </w:rPr>
              <w:t>其他要求</w:t>
            </w:r>
          </w:p>
        </w:tc>
        <w:tc>
          <w:tcPr>
            <w:tcW w:w="7802" w:type="dxa"/>
            <w:gridSpan w:val="3"/>
            <w:shd w:val="clear" w:color="auto" w:fill="auto"/>
            <w:vAlign w:val="top"/>
          </w:tcPr>
          <w:p w14:paraId="62905F5B">
            <w:pPr>
              <w:spacing w:line="300" w:lineRule="exact"/>
              <w:rPr>
                <w:rFonts w:hint="eastAsia" w:ascii="宋体" w:hAnsi="宋体" w:cs="宋体"/>
                <w:sz w:val="24"/>
              </w:rPr>
            </w:pPr>
            <w:r>
              <w:rPr>
                <w:rFonts w:hint="eastAsia" w:ascii="宋体" w:hAnsi="宋体" w:cs="宋体"/>
                <w:sz w:val="24"/>
              </w:rPr>
              <w:t>本项目采购需求中带</w:t>
            </w:r>
            <w:r>
              <w:rPr>
                <w:rFonts w:hint="eastAsia" w:ascii="宋体" w:hAnsi="宋体" w:eastAsia="宋体" w:cs="宋体"/>
                <w:i w:val="0"/>
                <w:iCs w:val="0"/>
                <w:caps w:val="0"/>
                <w:color w:val="000000"/>
                <w:spacing w:val="0"/>
                <w:sz w:val="21"/>
                <w:szCs w:val="21"/>
                <w:shd w:val="clear" w:color="auto" w:fill="FFFFFF"/>
                <w:lang w:val="en-US" w:eastAsia="zh-CN"/>
              </w:rPr>
              <w:t>★</w:t>
            </w:r>
            <w:r>
              <w:rPr>
                <w:rFonts w:hint="eastAsia" w:ascii="宋体" w:hAnsi="宋体" w:cs="宋体"/>
                <w:sz w:val="24"/>
              </w:rPr>
              <w:t>号的内容或“须”、“必须”的内容描述均为实质性要求，必须全部满足，否则，视为实质不响应文件要求，其竞价无效，采购人有权利追究成交供应商的相关责任。（无效竞价，如成交供应商不同意取消成交结果的，采购人可继续申请取消，并由财政部门来评判是否可以取消成交结果）。</w:t>
            </w:r>
          </w:p>
          <w:p w14:paraId="23EDC2FE">
            <w:pPr>
              <w:spacing w:line="300" w:lineRule="exact"/>
              <w:rPr>
                <w:rFonts w:hint="eastAsia" w:ascii="宋体" w:hAnsi="宋体" w:cs="宋体"/>
                <w:sz w:val="24"/>
              </w:rPr>
            </w:pPr>
            <w:r>
              <w:rPr>
                <w:rFonts w:hint="eastAsia" w:ascii="宋体" w:hAnsi="宋体" w:cs="宋体"/>
                <w:sz w:val="24"/>
              </w:rPr>
              <w:t>1. 成交供货商向采购人提供的货物必须是符合国家质量标准和本项目规定标准的全新、完整、未使用过的，本次采购货物不接受进口产品且所有产品必须有正规的合格证书。</w:t>
            </w:r>
          </w:p>
          <w:p w14:paraId="5FE1B399">
            <w:pPr>
              <w:spacing w:line="300" w:lineRule="exac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.为确保售后服务质量，成交供货商必须提供不少于1人的运维服务人员名单、联系电话。</w:t>
            </w:r>
          </w:p>
          <w:p w14:paraId="71BD17E4">
            <w:pPr>
              <w:spacing w:line="300" w:lineRule="exac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.成交供货商必须严格按时间进度和本项目要求完成所有工作，若出现不按要求完成相关工作的，经双方协商未果，采购人有权解除合同并追究成交供应商相关责任。</w:t>
            </w:r>
          </w:p>
          <w:p w14:paraId="1D416FA3">
            <w:pPr>
              <w:spacing w:line="300" w:lineRule="exac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 成交供货商必须实质性能够满足产品带</w:t>
            </w:r>
            <w:r>
              <w:rPr>
                <w:rFonts w:hint="eastAsia" w:ascii="宋体" w:hAnsi="宋体" w:eastAsia="宋体" w:cs="宋体"/>
                <w:i w:val="0"/>
                <w:iCs w:val="0"/>
                <w:caps w:val="0"/>
                <w:color w:val="000000"/>
                <w:spacing w:val="0"/>
                <w:sz w:val="21"/>
                <w:szCs w:val="21"/>
                <w:shd w:val="clear" w:color="auto" w:fill="FFFFFF"/>
                <w:lang w:val="en-US" w:eastAsia="zh-CN"/>
              </w:rPr>
              <w:t>★</w:t>
            </w:r>
            <w:r>
              <w:rPr>
                <w:rFonts w:hint="eastAsia" w:ascii="宋体" w:hAnsi="宋体" w:cs="宋体"/>
                <w:sz w:val="24"/>
              </w:rPr>
              <w:t>参数要求，为避免假冒伪劣产品，保障货物为全新原厂整机产品，对不能满足参数要求，或者无法正常交货，或者提供非原厂整机产品影响采购人使用的，采购人有权不支付相关费用，一切后果由成交供货商自己承担。</w:t>
            </w:r>
          </w:p>
          <w:p w14:paraId="6C37C742">
            <w:pPr>
              <w:spacing w:line="300" w:lineRule="exact"/>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rPr>
              <w:t>.成交供应商提供的所有货物必须为品牌厂家原厂制造、合法渠道供应的全新产品，并保证本项目使用的任何产品和服务不会产生因第三方检测机构提出侵犯其所有权而引起的法律和经济纠纷，如侵犯了第三方合法权益而引发的任何纠纷或诉讼，均由成交供应商负责交涉并承担全部责任；由此给采购人造成损失的，成交供应商承担相应责任。</w:t>
            </w:r>
          </w:p>
        </w:tc>
      </w:tr>
    </w:tbl>
    <w:p w14:paraId="2F1EE302">
      <w:pPr>
        <w:jc w:val="both"/>
        <w:rPr>
          <w:rFonts w:hint="default"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ab/>
      </w:r>
    </w:p>
    <w:sectPr>
      <w:pgSz w:w="11906" w:h="16838"/>
      <w:pgMar w:top="1134"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ZDE3OTA0M2NkZTExYjQ3MDgzZmNmNzdmYjNhNjQifQ=="/>
  </w:docVars>
  <w:rsids>
    <w:rsidRoot w:val="000D3EE2"/>
    <w:rsid w:val="00001DE5"/>
    <w:rsid w:val="000D3EE2"/>
    <w:rsid w:val="001071C9"/>
    <w:rsid w:val="00141F66"/>
    <w:rsid w:val="00446CD6"/>
    <w:rsid w:val="004C2E58"/>
    <w:rsid w:val="006A6164"/>
    <w:rsid w:val="0091046A"/>
    <w:rsid w:val="009138B7"/>
    <w:rsid w:val="009239F5"/>
    <w:rsid w:val="00A1698D"/>
    <w:rsid w:val="00A93ACA"/>
    <w:rsid w:val="00B37974"/>
    <w:rsid w:val="00BE4413"/>
    <w:rsid w:val="00C831C9"/>
    <w:rsid w:val="00CE74E3"/>
    <w:rsid w:val="00D13117"/>
    <w:rsid w:val="00E151E5"/>
    <w:rsid w:val="00FB26D8"/>
    <w:rsid w:val="015D1D07"/>
    <w:rsid w:val="016864EF"/>
    <w:rsid w:val="030B2A3C"/>
    <w:rsid w:val="03407792"/>
    <w:rsid w:val="03F11C32"/>
    <w:rsid w:val="03F427F4"/>
    <w:rsid w:val="04D672C7"/>
    <w:rsid w:val="04E712E4"/>
    <w:rsid w:val="05795DDC"/>
    <w:rsid w:val="0625217E"/>
    <w:rsid w:val="065B051A"/>
    <w:rsid w:val="0749768F"/>
    <w:rsid w:val="07CD206E"/>
    <w:rsid w:val="08DB59D6"/>
    <w:rsid w:val="09093739"/>
    <w:rsid w:val="097A7FD3"/>
    <w:rsid w:val="0AC37758"/>
    <w:rsid w:val="0AE661BE"/>
    <w:rsid w:val="0B2B10F8"/>
    <w:rsid w:val="0B6158EF"/>
    <w:rsid w:val="0B9F3D21"/>
    <w:rsid w:val="0C05131E"/>
    <w:rsid w:val="0D641D75"/>
    <w:rsid w:val="0D8D6E99"/>
    <w:rsid w:val="0E226322"/>
    <w:rsid w:val="0E7627C5"/>
    <w:rsid w:val="0E997665"/>
    <w:rsid w:val="0EC75A69"/>
    <w:rsid w:val="0F696B20"/>
    <w:rsid w:val="10B4026F"/>
    <w:rsid w:val="10B65D95"/>
    <w:rsid w:val="14787C99"/>
    <w:rsid w:val="1537321C"/>
    <w:rsid w:val="15DD6E58"/>
    <w:rsid w:val="16F85980"/>
    <w:rsid w:val="16FC322E"/>
    <w:rsid w:val="17B9616B"/>
    <w:rsid w:val="185951FD"/>
    <w:rsid w:val="1937328A"/>
    <w:rsid w:val="19402D31"/>
    <w:rsid w:val="19706CFD"/>
    <w:rsid w:val="1A816B2F"/>
    <w:rsid w:val="1A8B7564"/>
    <w:rsid w:val="1C483F75"/>
    <w:rsid w:val="1D4209B0"/>
    <w:rsid w:val="1DE914D6"/>
    <w:rsid w:val="1E281D87"/>
    <w:rsid w:val="1ECE074D"/>
    <w:rsid w:val="1F3D6F8B"/>
    <w:rsid w:val="2075166B"/>
    <w:rsid w:val="231D4854"/>
    <w:rsid w:val="238063DE"/>
    <w:rsid w:val="23CC558E"/>
    <w:rsid w:val="241B6B51"/>
    <w:rsid w:val="249D7540"/>
    <w:rsid w:val="24B959FC"/>
    <w:rsid w:val="266975E2"/>
    <w:rsid w:val="268E698F"/>
    <w:rsid w:val="284705A3"/>
    <w:rsid w:val="29DD3F3B"/>
    <w:rsid w:val="2C392897"/>
    <w:rsid w:val="2C46274C"/>
    <w:rsid w:val="2C471360"/>
    <w:rsid w:val="2CD00A22"/>
    <w:rsid w:val="2DB4642C"/>
    <w:rsid w:val="2FF24E25"/>
    <w:rsid w:val="303B6292"/>
    <w:rsid w:val="31A55C86"/>
    <w:rsid w:val="326F125E"/>
    <w:rsid w:val="3316226B"/>
    <w:rsid w:val="334868C9"/>
    <w:rsid w:val="33613E2E"/>
    <w:rsid w:val="33CC574C"/>
    <w:rsid w:val="362A4307"/>
    <w:rsid w:val="366E5448"/>
    <w:rsid w:val="37011D93"/>
    <w:rsid w:val="371F66FD"/>
    <w:rsid w:val="37EB1F18"/>
    <w:rsid w:val="37FC62E3"/>
    <w:rsid w:val="380A4A95"/>
    <w:rsid w:val="38AA3B82"/>
    <w:rsid w:val="38B25DD2"/>
    <w:rsid w:val="3A3B3895"/>
    <w:rsid w:val="3A471C39"/>
    <w:rsid w:val="3B2E56A2"/>
    <w:rsid w:val="3B9B5A04"/>
    <w:rsid w:val="3C9A24BC"/>
    <w:rsid w:val="3DBA1582"/>
    <w:rsid w:val="3DC54FBA"/>
    <w:rsid w:val="3DEF6BA7"/>
    <w:rsid w:val="3E151A9D"/>
    <w:rsid w:val="3E5A7DF8"/>
    <w:rsid w:val="3F240CDC"/>
    <w:rsid w:val="3F7A4FFD"/>
    <w:rsid w:val="404B17A6"/>
    <w:rsid w:val="40644F5E"/>
    <w:rsid w:val="40E816EB"/>
    <w:rsid w:val="42802174"/>
    <w:rsid w:val="433E465F"/>
    <w:rsid w:val="439F2029"/>
    <w:rsid w:val="43BC1323"/>
    <w:rsid w:val="4440539A"/>
    <w:rsid w:val="45A86D03"/>
    <w:rsid w:val="46AD123C"/>
    <w:rsid w:val="46E17BED"/>
    <w:rsid w:val="4D414677"/>
    <w:rsid w:val="4D7F0CE1"/>
    <w:rsid w:val="4D8B342C"/>
    <w:rsid w:val="4DE82AB4"/>
    <w:rsid w:val="4F176967"/>
    <w:rsid w:val="4F1D07B2"/>
    <w:rsid w:val="4F343D4D"/>
    <w:rsid w:val="50493CBE"/>
    <w:rsid w:val="516E1798"/>
    <w:rsid w:val="5252085F"/>
    <w:rsid w:val="52B4696A"/>
    <w:rsid w:val="52C57ADB"/>
    <w:rsid w:val="54534C76"/>
    <w:rsid w:val="568C0F90"/>
    <w:rsid w:val="56E502D3"/>
    <w:rsid w:val="57760F9C"/>
    <w:rsid w:val="5779190D"/>
    <w:rsid w:val="5AA004E9"/>
    <w:rsid w:val="5AB40711"/>
    <w:rsid w:val="5BA85130"/>
    <w:rsid w:val="5CA27910"/>
    <w:rsid w:val="5D6F2B20"/>
    <w:rsid w:val="5DCD2687"/>
    <w:rsid w:val="5F061D92"/>
    <w:rsid w:val="5F673DF6"/>
    <w:rsid w:val="60067040"/>
    <w:rsid w:val="60483AFC"/>
    <w:rsid w:val="60650661"/>
    <w:rsid w:val="60C50CA9"/>
    <w:rsid w:val="6175447D"/>
    <w:rsid w:val="61877A41"/>
    <w:rsid w:val="627403B4"/>
    <w:rsid w:val="63A61AE2"/>
    <w:rsid w:val="63CC234F"/>
    <w:rsid w:val="63D80CF3"/>
    <w:rsid w:val="63F52C2E"/>
    <w:rsid w:val="64273DC1"/>
    <w:rsid w:val="657B20F1"/>
    <w:rsid w:val="66A71312"/>
    <w:rsid w:val="67DB256F"/>
    <w:rsid w:val="6917406C"/>
    <w:rsid w:val="698E432E"/>
    <w:rsid w:val="6BD9385B"/>
    <w:rsid w:val="6C1A062A"/>
    <w:rsid w:val="6CAB51F7"/>
    <w:rsid w:val="6D655CEE"/>
    <w:rsid w:val="6DF97DCD"/>
    <w:rsid w:val="6EAB7730"/>
    <w:rsid w:val="6EE150A8"/>
    <w:rsid w:val="6F064E76"/>
    <w:rsid w:val="7054443A"/>
    <w:rsid w:val="72347A3D"/>
    <w:rsid w:val="734D491C"/>
    <w:rsid w:val="74B1228B"/>
    <w:rsid w:val="76306653"/>
    <w:rsid w:val="771D13E7"/>
    <w:rsid w:val="77495E3C"/>
    <w:rsid w:val="77793AC0"/>
    <w:rsid w:val="77AD4C97"/>
    <w:rsid w:val="77C115E4"/>
    <w:rsid w:val="78A06114"/>
    <w:rsid w:val="78A51694"/>
    <w:rsid w:val="7BBE7F6F"/>
    <w:rsid w:val="7D1376E1"/>
    <w:rsid w:val="7DBF5A91"/>
    <w:rsid w:val="7E953B96"/>
    <w:rsid w:val="7E9A2FC6"/>
    <w:rsid w:val="7F197C4B"/>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4607</Words>
  <Characters>5195</Characters>
  <Lines>1</Lines>
  <Paragraphs>1</Paragraphs>
  <TotalTime>333</TotalTime>
  <ScaleCrop>false</ScaleCrop>
  <LinksUpToDate>false</LinksUpToDate>
  <CharactersWithSpaces>5275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2023-04-11T01:45:00Z</dcterms:created>
  <dc:creator>yangpj</dc:creator>
  <cp:lastModifiedBy>广西第一工业学校</cp:lastModifiedBy>
  <cp:lastPrinted>2025-06-03T07:27:00Z</cp:lastPrinted>
  <dcterms:modified xsi:type="dcterms:W3CDTF">2025-06-24T00:54:49Z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C7A68E4B131B4708B54DBB7BC873EB58_13</vt:lpwstr>
  </property>
  <property fmtid="{D5CDD505-2E9C-101B-9397-08002B2CF9AE}" pid="4" name="KSOTemplateDocerSaveRecord">
    <vt:lpwstr>eyJoZGlkIjoiZTdiYWI4OWU0ZTQ4ZmZiNjgzZGU0YTFlMmIzMTE5NmEiLCJ1c2VySWQiOiIzNDg0NjI5MDAifQ==</vt:lpwstr>
  </property>
</Properties>
</file>