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32"/>
          <w:szCs w:val="24"/>
        </w:rPr>
      </w:pPr>
      <w:r>
        <w:rPr>
          <w:rFonts w:hint="eastAsia" w:ascii="宋体" w:hAnsi="宋体" w:eastAsia="宋体" w:cs="宋体"/>
          <w:b/>
          <w:kern w:val="0"/>
          <w:sz w:val="32"/>
          <w:szCs w:val="24"/>
        </w:rPr>
        <w:t>广西经贸职业技术学院</w:t>
      </w:r>
    </w:p>
    <w:p>
      <w:pPr>
        <w:widowControl/>
        <w:jc w:val="center"/>
        <w:rPr>
          <w:rFonts w:ascii="宋体" w:hAnsi="宋体" w:eastAsia="宋体" w:cs="宋体"/>
          <w:b/>
          <w:kern w:val="0"/>
          <w:sz w:val="32"/>
          <w:szCs w:val="24"/>
        </w:rPr>
      </w:pPr>
      <w:r>
        <w:rPr>
          <w:rFonts w:hint="eastAsia" w:ascii="宋体" w:hAnsi="宋体" w:eastAsia="宋体" w:cs="宋体"/>
          <w:b/>
          <w:kern w:val="0"/>
          <w:sz w:val="32"/>
          <w:szCs w:val="24"/>
        </w:rPr>
        <w:t>在线询价采购文件</w:t>
      </w:r>
    </w:p>
    <w:p>
      <w:pPr>
        <w:widowControl/>
        <w:jc w:val="left"/>
        <w:rPr>
          <w:rFonts w:ascii="宋体" w:hAnsi="宋体" w:eastAsia="宋体" w:cs="宋体"/>
          <w:b/>
          <w:kern w:val="0"/>
          <w:szCs w:val="21"/>
        </w:rPr>
      </w:pPr>
      <w:r>
        <w:rPr>
          <w:rFonts w:hint="eastAsia" w:ascii="宋体" w:hAnsi="宋体" w:eastAsia="宋体" w:cs="宋体"/>
          <w:b/>
          <w:kern w:val="0"/>
          <w:szCs w:val="21"/>
        </w:rPr>
        <w:t>组织形式：</w:t>
      </w:r>
      <w:r>
        <w:rPr>
          <w:rFonts w:hint="eastAsia" w:ascii="宋体" w:hAnsi="宋体" w:eastAsia="宋体" w:cs="宋体"/>
          <w:kern w:val="0"/>
          <w:szCs w:val="21"/>
          <w:highlight w:val="none"/>
        </w:rPr>
        <w:t xml:space="preserve">政府集中采购   </w:t>
      </w:r>
      <w:r>
        <w:rPr>
          <w:rFonts w:hint="eastAsia" w:ascii="宋体" w:hAnsi="宋体" w:eastAsia="宋体" w:cs="宋体"/>
          <w:kern w:val="0"/>
          <w:szCs w:val="21"/>
        </w:rPr>
        <w:t xml:space="preserve">            </w:t>
      </w:r>
      <w:r>
        <w:rPr>
          <w:rFonts w:hint="eastAsia" w:ascii="宋体" w:hAnsi="宋体" w:eastAsia="宋体" w:cs="宋体"/>
          <w:b/>
          <w:kern w:val="0"/>
          <w:szCs w:val="21"/>
        </w:rPr>
        <w:t>采购方式：</w:t>
      </w:r>
      <w:r>
        <w:rPr>
          <w:rFonts w:hint="eastAsia" w:ascii="宋体" w:hAnsi="宋体" w:eastAsia="宋体" w:cs="宋体"/>
          <w:kern w:val="0"/>
          <w:szCs w:val="21"/>
        </w:rPr>
        <w:t>政府采购云平台（</w:t>
      </w:r>
      <w:r>
        <w:rPr>
          <w:rFonts w:ascii="宋体" w:hAnsi="宋体" w:eastAsia="宋体" w:cs="宋体"/>
          <w:kern w:val="0"/>
          <w:szCs w:val="21"/>
        </w:rPr>
        <w:t>电子卖场</w:t>
      </w:r>
      <w:r>
        <w:rPr>
          <w:rFonts w:hint="eastAsia" w:ascii="宋体" w:hAnsi="宋体" w:eastAsia="宋体" w:cs="宋体"/>
          <w:kern w:val="0"/>
          <w:szCs w:val="21"/>
        </w:rPr>
        <w:t>）</w:t>
      </w:r>
      <w:r>
        <w:rPr>
          <w:rFonts w:ascii="宋体" w:hAnsi="宋体" w:eastAsia="宋体" w:cs="宋体"/>
          <w:kern w:val="0"/>
          <w:szCs w:val="21"/>
        </w:rPr>
        <w:t>-在线询价</w:t>
      </w:r>
    </w:p>
    <w:p>
      <w:pPr>
        <w:widowControl/>
        <w:jc w:val="left"/>
        <w:rPr>
          <w:rFonts w:ascii="宋体" w:hAnsi="宋体" w:eastAsia="宋体" w:cs="宋体"/>
          <w:kern w:val="0"/>
          <w:szCs w:val="21"/>
        </w:rPr>
      </w:pPr>
      <w:r>
        <w:rPr>
          <w:rFonts w:hint="eastAsia" w:ascii="宋体" w:hAnsi="宋体" w:eastAsia="宋体" w:cs="宋体"/>
          <w:b/>
          <w:kern w:val="0"/>
          <w:szCs w:val="21"/>
        </w:rPr>
        <w:t>项目名称：</w:t>
      </w:r>
      <w:r>
        <w:rPr>
          <w:rFonts w:hint="eastAsia" w:ascii="宋体" w:hAnsi="宋体" w:eastAsia="宋体" w:cs="宋体"/>
          <w:kern w:val="0"/>
          <w:szCs w:val="21"/>
        </w:rPr>
        <w:t>五合校区</w:t>
      </w:r>
      <w:r>
        <w:rPr>
          <w:rFonts w:ascii="宋体" w:hAnsi="宋体" w:eastAsia="宋体" w:cs="宋体"/>
          <w:kern w:val="0"/>
          <w:szCs w:val="21"/>
        </w:rPr>
        <w:t>3#、9#39间公共教室建设项目(电脑桌、椅子、讲台)</w:t>
      </w:r>
    </w:p>
    <w:p>
      <w:pPr>
        <w:widowControl/>
        <w:jc w:val="left"/>
        <w:rPr>
          <w:rFonts w:ascii="宋体" w:hAnsi="宋体" w:eastAsia="宋体" w:cs="宋体"/>
          <w:kern w:val="0"/>
          <w:szCs w:val="21"/>
        </w:rPr>
      </w:pPr>
      <w:r>
        <w:rPr>
          <w:rFonts w:hint="eastAsia" w:ascii="宋体" w:hAnsi="宋体" w:eastAsia="宋体" w:cs="宋体"/>
          <w:b/>
          <w:kern w:val="0"/>
          <w:szCs w:val="21"/>
        </w:rPr>
        <w:t>采购预算：</w:t>
      </w:r>
      <w:r>
        <w:rPr>
          <w:rFonts w:ascii="宋体" w:hAnsi="宋体" w:eastAsia="宋体" w:cs="宋体"/>
          <w:kern w:val="0"/>
          <w:szCs w:val="21"/>
        </w:rPr>
        <w:t>532420.00元</w:t>
      </w:r>
    </w:p>
    <w:p>
      <w:pPr>
        <w:widowControl/>
        <w:ind w:firstLine="420" w:firstLineChars="200"/>
        <w:jc w:val="left"/>
        <w:rPr>
          <w:rFonts w:ascii="宋体" w:hAnsi="宋体" w:eastAsia="宋体" w:cs="宋体"/>
          <w:color w:val="FF0000"/>
          <w:kern w:val="0"/>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60"/>
        <w:gridCol w:w="7893"/>
        <w:gridCol w:w="846"/>
        <w:gridCol w:w="730"/>
        <w:gridCol w:w="117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7"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1260" w:type="dxa"/>
            <w:shd w:val="clear" w:color="auto" w:fill="auto"/>
            <w:vAlign w:val="center"/>
          </w:tcPr>
          <w:p>
            <w:pPr>
              <w:jc w:val="center"/>
              <w:rPr>
                <w:rFonts w:ascii="宋体" w:hAnsi="宋体" w:eastAsia="宋体" w:cs="宋体"/>
                <w:b/>
                <w:szCs w:val="21"/>
              </w:rPr>
            </w:pPr>
            <w:r>
              <w:rPr>
                <w:rFonts w:hint="eastAsia" w:ascii="宋体" w:hAnsi="宋体" w:eastAsia="宋体" w:cs="宋体"/>
                <w:b/>
                <w:szCs w:val="21"/>
              </w:rPr>
              <w:t>*商品名称</w:t>
            </w:r>
          </w:p>
        </w:tc>
        <w:tc>
          <w:tcPr>
            <w:tcW w:w="7893" w:type="dxa"/>
            <w:shd w:val="clear" w:color="auto" w:fill="auto"/>
            <w:vAlign w:val="center"/>
          </w:tcPr>
          <w:p>
            <w:pPr>
              <w:jc w:val="center"/>
              <w:rPr>
                <w:rFonts w:ascii="宋体" w:hAnsi="宋体" w:eastAsia="宋体" w:cs="宋体"/>
                <w:b/>
                <w:szCs w:val="21"/>
              </w:rPr>
            </w:pPr>
            <w:r>
              <w:rPr>
                <w:rFonts w:hint="eastAsia" w:ascii="宋体" w:hAnsi="宋体" w:eastAsia="宋体" w:cs="宋体"/>
                <w:b/>
                <w:szCs w:val="21"/>
              </w:rPr>
              <w:t>*参数</w:t>
            </w:r>
          </w:p>
        </w:tc>
        <w:tc>
          <w:tcPr>
            <w:tcW w:w="846" w:type="dxa"/>
            <w:shd w:val="clear" w:color="auto" w:fill="auto"/>
            <w:vAlign w:val="center"/>
          </w:tcPr>
          <w:p>
            <w:pPr>
              <w:jc w:val="center"/>
              <w:rPr>
                <w:rFonts w:ascii="宋体" w:hAnsi="宋体" w:eastAsia="宋体" w:cs="宋体"/>
                <w:b/>
                <w:szCs w:val="21"/>
              </w:rPr>
            </w:pPr>
            <w:r>
              <w:rPr>
                <w:rFonts w:hint="eastAsia" w:ascii="宋体" w:hAnsi="宋体" w:eastAsia="宋体" w:cs="宋体"/>
                <w:b/>
                <w:szCs w:val="21"/>
              </w:rPr>
              <w:t>*数量</w:t>
            </w:r>
          </w:p>
        </w:tc>
        <w:tc>
          <w:tcPr>
            <w:tcW w:w="730" w:type="dxa"/>
            <w:shd w:val="clear" w:color="auto" w:fill="auto"/>
            <w:vAlign w:val="center"/>
          </w:tcPr>
          <w:p>
            <w:pPr>
              <w:jc w:val="center"/>
              <w:rPr>
                <w:rFonts w:ascii="宋体" w:hAnsi="宋体" w:eastAsia="宋体" w:cs="宋体"/>
                <w:b/>
                <w:szCs w:val="21"/>
              </w:rPr>
            </w:pPr>
            <w:r>
              <w:rPr>
                <w:rFonts w:hint="eastAsia" w:ascii="宋体" w:hAnsi="宋体" w:eastAsia="宋体" w:cs="宋体"/>
                <w:b/>
                <w:szCs w:val="21"/>
              </w:rPr>
              <w:t>*单位</w:t>
            </w:r>
          </w:p>
        </w:tc>
        <w:tc>
          <w:tcPr>
            <w:tcW w:w="1176" w:type="dxa"/>
            <w:vAlign w:val="center"/>
          </w:tcPr>
          <w:p>
            <w:pPr>
              <w:jc w:val="center"/>
              <w:rPr>
                <w:rFonts w:ascii="宋体" w:hAnsi="宋体" w:eastAsia="宋体" w:cs="宋体"/>
                <w:b/>
                <w:szCs w:val="21"/>
              </w:rPr>
            </w:pPr>
            <w:r>
              <w:rPr>
                <w:rFonts w:hint="eastAsia" w:ascii="宋体" w:hAnsi="宋体" w:eastAsia="宋体" w:cs="宋体"/>
                <w:b/>
                <w:szCs w:val="21"/>
              </w:rPr>
              <w:t>*控制总价(元)</w:t>
            </w:r>
          </w:p>
        </w:tc>
        <w:tc>
          <w:tcPr>
            <w:tcW w:w="1496" w:type="dxa"/>
            <w:vAlign w:val="center"/>
          </w:tcPr>
          <w:p>
            <w:pPr>
              <w:jc w:val="center"/>
              <w:rPr>
                <w:rFonts w:ascii="宋体" w:hAnsi="宋体" w:eastAsia="宋体" w:cs="宋体"/>
                <w:szCs w:val="21"/>
              </w:rPr>
            </w:pPr>
            <w:r>
              <w:rPr>
                <w:rFonts w:hint="eastAsia" w:ascii="宋体" w:hAnsi="宋体" w:eastAsia="宋体" w:cs="宋体"/>
                <w:b/>
                <w:szCs w:val="21"/>
              </w:rPr>
              <w:t>参考品牌及型号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6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电脑桌</w:t>
            </w:r>
          </w:p>
        </w:tc>
        <w:tc>
          <w:tcPr>
            <w:tcW w:w="7893" w:type="dxa"/>
            <w:shd w:val="clear" w:color="auto" w:fill="auto"/>
            <w:vAlign w:val="center"/>
          </w:tcPr>
          <w:p>
            <w:pPr>
              <w:rPr>
                <w:rFonts w:ascii="宋体" w:hAnsi="宋体" w:eastAsia="宋体" w:cs="宋体"/>
                <w:szCs w:val="21"/>
              </w:rPr>
            </w:pPr>
            <w:r>
              <w:rPr>
                <w:rFonts w:hint="eastAsia" w:ascii="宋体" w:hAnsi="宋体" w:eastAsia="宋体" w:cs="宋体"/>
                <w:szCs w:val="21"/>
              </w:rPr>
              <w:t>电脑桌每人位规格约：</w:t>
            </w:r>
            <w:r>
              <w:rPr>
                <w:rFonts w:ascii="宋体" w:hAnsi="宋体" w:eastAsia="宋体" w:cs="宋体"/>
                <w:szCs w:val="21"/>
              </w:rPr>
              <w:t>700mm×550mm×750mm，根据现场尺寸情况，可</w:t>
            </w:r>
            <w:r>
              <w:rPr>
                <w:rFonts w:hint="eastAsia" w:ascii="宋体" w:hAnsi="宋体" w:eastAsia="宋体" w:cs="宋体"/>
                <w:szCs w:val="21"/>
              </w:rPr>
              <w:t>两人位或三人位</w:t>
            </w:r>
            <w:r>
              <w:rPr>
                <w:rFonts w:ascii="宋体" w:hAnsi="宋体" w:eastAsia="宋体" w:cs="宋体"/>
                <w:szCs w:val="21"/>
              </w:rPr>
              <w:t xml:space="preserve"> 1 张。</w:t>
            </w:r>
          </w:p>
          <w:p>
            <w:pP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1.采用 25mm 厚</w:t>
            </w:r>
            <w:r>
              <w:rPr>
                <w:rFonts w:hint="eastAsia" w:ascii="宋体" w:hAnsi="宋体" w:eastAsia="宋体" w:cs="宋体"/>
                <w:szCs w:val="21"/>
              </w:rPr>
              <w:t>实木颗粒刨花板基材</w:t>
            </w:r>
            <w:r>
              <w:rPr>
                <w:rFonts w:ascii="宋体" w:hAnsi="宋体" w:eastAsia="宋体" w:cs="宋体"/>
                <w:szCs w:val="21"/>
              </w:rPr>
              <w:t>、三聚氰胺饰面板，材质环保无异味，面板材质达</w:t>
            </w:r>
            <w:r>
              <w:rPr>
                <w:rFonts w:hint="eastAsia" w:ascii="宋体" w:hAnsi="宋体" w:eastAsia="宋体" w:cs="宋体"/>
                <w:szCs w:val="21"/>
              </w:rPr>
              <w:t>到</w:t>
            </w:r>
            <w:r>
              <w:rPr>
                <w:rFonts w:ascii="宋体" w:hAnsi="宋体" w:eastAsia="宋体" w:cs="宋体"/>
                <w:szCs w:val="21"/>
              </w:rPr>
              <w:t xml:space="preserve"> E1 级环保要求。</w:t>
            </w:r>
            <w:r>
              <w:rPr>
                <w:rFonts w:hint="eastAsia" w:ascii="宋体" w:hAnsi="宋体" w:eastAsia="宋体" w:cs="宋体"/>
                <w:szCs w:val="21"/>
              </w:rPr>
              <w:t>基材实木颗粒刨花板，符合国家强制性标准，刨花板需通过GB 18580-2017《室内装饰装修材料人造板及其制品中甲醛释放限量》、GB/T15102-2017《浸渍胶膜纸饰面纤维板和刨花板》检测甲醛释放量、静曲强度(Mpa)、含水率(%)、表面胶合强度(Mpa)、表面耐磨、表面耐干热、表面耐污染腐蚀。</w:t>
            </w:r>
            <w:r>
              <w:rPr>
                <w:rFonts w:ascii="宋体" w:hAnsi="宋体" w:eastAsia="宋体" w:cs="宋体"/>
                <w:szCs w:val="21"/>
              </w:rPr>
              <w:t>桌面采用约 2.0mm 厚 PVC 封边，经 200 度高温胶全</w:t>
            </w:r>
            <w:r>
              <w:rPr>
                <w:rFonts w:hint="eastAsia" w:ascii="宋体" w:hAnsi="宋体" w:eastAsia="宋体" w:cs="宋体"/>
                <w:szCs w:val="21"/>
              </w:rPr>
              <w:t xml:space="preserve">自动机器直封边。封边胶：需通过HJ 2541-2016《环境标志产品技术要求胶粘剂》检测苯、甲苯+乙苯+二甲苯含量合格检测。 </w:t>
            </w:r>
            <w:r>
              <w:rPr>
                <w:rFonts w:hint="eastAsia" w:asciiTheme="minorEastAsia" w:hAnsiTheme="minorEastAsia" w:cstheme="minorEastAsia"/>
                <w:color w:val="000000"/>
                <w:kern w:val="0"/>
                <w:szCs w:val="21"/>
                <w:lang w:bidi="ar"/>
              </w:rPr>
              <w:t xml:space="preserve">  </w:t>
            </w:r>
          </w:p>
          <w:p>
            <w:pP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2.钢架：主台脚架采用约 60×15×1.5mm 钢管材质，主脚横梁采用</w:t>
            </w:r>
            <w:r>
              <w:rPr>
                <w:rFonts w:hint="eastAsia" w:ascii="宋体" w:hAnsi="宋体" w:eastAsia="宋体" w:cs="宋体"/>
                <w:szCs w:val="21"/>
              </w:rPr>
              <w:t>约</w:t>
            </w:r>
            <w:r>
              <w:rPr>
                <w:rFonts w:ascii="宋体" w:hAnsi="宋体" w:eastAsia="宋体" w:cs="宋体"/>
                <w:szCs w:val="21"/>
              </w:rPr>
              <w:t xml:space="preserve"> 50×50×1.5mm 钢管材质，连接横梁采用约 40×25×1.5mm 厚方管，</w:t>
            </w:r>
            <w:r>
              <w:rPr>
                <w:rFonts w:hint="eastAsia" w:ascii="宋体" w:hAnsi="宋体" w:eastAsia="宋体" w:cs="宋体"/>
                <w:szCs w:val="21"/>
              </w:rPr>
              <w:t>线槽采用约</w:t>
            </w:r>
            <w:r>
              <w:rPr>
                <w:rFonts w:ascii="宋体" w:hAnsi="宋体" w:eastAsia="宋体" w:cs="宋体"/>
                <w:szCs w:val="21"/>
              </w:rPr>
              <w:t xml:space="preserve"> 1.0mm 厚冷轧钢板一次性成形，主台脚均配线槽，每人位</w:t>
            </w:r>
            <w:r>
              <w:rPr>
                <w:rFonts w:hint="eastAsia" w:ascii="宋体" w:hAnsi="宋体" w:eastAsia="宋体" w:cs="宋体"/>
                <w:szCs w:val="21"/>
              </w:rPr>
              <w:t>配</w:t>
            </w:r>
            <w:r>
              <w:rPr>
                <w:rFonts w:ascii="宋体" w:hAnsi="宋体" w:eastAsia="宋体" w:cs="宋体"/>
                <w:szCs w:val="21"/>
              </w:rPr>
              <w:t xml:space="preserve"> 1 个铁制吊式主机架，主机架配防盗门锁（通开）。</w:t>
            </w:r>
          </w:p>
          <w:p>
            <w:r>
              <w:rPr>
                <w:rFonts w:hint="eastAsia" w:ascii="宋体" w:hAnsi="宋体" w:eastAsia="宋体" w:cs="宋体"/>
                <w:szCs w:val="21"/>
              </w:rPr>
              <w:t>▲3.桌子装有防潮可调脚，可调脚通过GB/T3325-2017《金属家具通用技术条件》、GB28481-2012《塑料家具中有害物质限量》检测规格型号：直径24mm×高18mm金属件外观性能要求：电镀层表面无剥落、返锈、毛刺，无烧焦、起泡、针孔、裂纹、花斑(不包括镀彩锌)和划痕；塑料件外观性能要求：应无裂纹，无明显变形，应无明显缩孔、气泡、杂质、伤痕，外表用塑料件表面应光洁，无划痕，无污渍，无明显色差；重金属：可溶性铅≦90mg/kg、可溶性镉≦60mg/kg、可溶性铬≦60mg/kg、可溶性汞≦75mg/kg的合格检测。</w:t>
            </w:r>
          </w:p>
          <w:p>
            <w:pPr>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.生产工艺：弯形管均采用全自动弯管机弯管成型，确保弯形尺寸的</w:t>
            </w:r>
            <w:r>
              <w:rPr>
                <w:rFonts w:hint="eastAsia" w:ascii="宋体" w:hAnsi="宋体" w:eastAsia="宋体" w:cs="宋体"/>
                <w:szCs w:val="21"/>
              </w:rPr>
              <w:t>准确度。焊接采用二氧化碳保护焊，焊接无虚焊、漏焊、气孔等，所有焊渣经专业工具处理干净，保证外观光洁平整。所有钢材表面经过严格的除油</w:t>
            </w:r>
            <w:r>
              <w:rPr>
                <w:rFonts w:ascii="宋体" w:hAnsi="宋体" w:eastAsia="宋体" w:cs="宋体"/>
                <w:szCs w:val="21"/>
              </w:rPr>
              <w:t>-水洗-除锈-水洗-表调-陶化-环氧树脂粉末静电喷塑等处</w:t>
            </w:r>
            <w:r>
              <w:rPr>
                <w:rFonts w:hint="eastAsia" w:ascii="宋体" w:hAnsi="宋体" w:eastAsia="宋体" w:cs="宋体"/>
                <w:szCs w:val="21"/>
              </w:rPr>
              <w:t>理。</w:t>
            </w:r>
          </w:p>
          <w:p>
            <w:pPr>
              <w:pStyle w:val="10"/>
              <w:rPr>
                <w:rFonts w:ascii="宋体" w:hAnsi="宋体" w:eastAsia="宋体" w:cs="宋体"/>
                <w:sz w:val="21"/>
                <w:szCs w:val="21"/>
              </w:rPr>
            </w:pPr>
            <w:r>
              <w:rPr>
                <w:rFonts w:hint="eastAsia" w:ascii="宋体" w:hAnsi="宋体" w:eastAsia="宋体" w:cs="宋体"/>
                <w:sz w:val="21"/>
                <w:szCs w:val="21"/>
              </w:rPr>
              <w:t>▲5</w:t>
            </w:r>
            <w:r>
              <w:rPr>
                <w:rFonts w:ascii="宋体" w:hAnsi="宋体" w:eastAsia="宋体" w:cs="宋体"/>
                <w:sz w:val="21"/>
                <w:szCs w:val="21"/>
              </w:rPr>
              <w:t>、喷涂要求：塑粉采用优质环保型高附着力的金属表面纳米抗菌热固性粉末，表面涂层高温固化而成，提高其防锈蚀和抗菌性能。金属表面纳米抗菌静电喷涂膜（喷涂钢板）满足或优于国家标准。</w:t>
            </w:r>
          </w:p>
          <w:p>
            <w:pPr>
              <w:pStyle w:val="10"/>
              <w:rPr>
                <w:rFonts w:ascii="宋体" w:hAnsi="宋体" w:eastAsia="宋体" w:cs="宋体"/>
                <w:sz w:val="21"/>
                <w:szCs w:val="21"/>
              </w:rPr>
            </w:pPr>
            <w:r>
              <w:rPr>
                <w:rFonts w:hint="eastAsia" w:ascii="宋体" w:hAnsi="宋体" w:eastAsia="宋体" w:cs="宋体"/>
                <w:sz w:val="21"/>
                <w:szCs w:val="21"/>
              </w:rPr>
              <w:t>参考样图：</w:t>
            </w:r>
          </w:p>
          <w:p>
            <w:pPr>
              <w:pStyle w:val="10"/>
              <w:rPr>
                <w:rFonts w:ascii="宋体" w:hAnsi="宋体" w:eastAsia="宋体" w:cs="宋体"/>
                <w:sz w:val="21"/>
                <w:szCs w:val="21"/>
              </w:rPr>
            </w:pPr>
            <w:r>
              <w:rPr>
                <w:rFonts w:ascii="宋体" w:hAnsi="宋体" w:eastAsia="宋体" w:cs="宋体"/>
                <w:sz w:val="18"/>
                <w:szCs w:val="18"/>
              </w:rPr>
              <w:drawing>
                <wp:inline distT="0" distB="0" distL="114300" distR="114300">
                  <wp:extent cx="2167890" cy="1626870"/>
                  <wp:effectExtent l="0" t="0" r="3810" b="11430"/>
                  <wp:docPr id="6" name="图片 6" descr="iwEdAqNqcGcDAQTRBqsF0QUABrCaV5jLNqGn9AZBDs07NlUAB9IATWWNCAAJomltCgAL0gADwII.jpg_720x720q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wEdAqNqcGcDAQTRBqsF0QUABrCaV5jLNqGn9AZBDs07NlUAB9IATWWNCAAJomltCgAL0gADwII.jpg_720x720q90"/>
                          <pic:cNvPicPr>
                            <a:picLocks noChangeAspect="1"/>
                          </pic:cNvPicPr>
                        </pic:nvPicPr>
                        <pic:blipFill>
                          <a:blip r:embed="rId5"/>
                          <a:stretch>
                            <a:fillRect/>
                          </a:stretch>
                        </pic:blipFill>
                        <pic:spPr>
                          <a:xfrm>
                            <a:off x="0" y="0"/>
                            <a:ext cx="2167890" cy="1626870"/>
                          </a:xfrm>
                          <a:prstGeom prst="rect">
                            <a:avLst/>
                          </a:prstGeom>
                        </pic:spPr>
                      </pic:pic>
                    </a:graphicData>
                  </a:graphic>
                </wp:inline>
              </w:drawing>
            </w:r>
          </w:p>
        </w:tc>
        <w:tc>
          <w:tcPr>
            <w:tcW w:w="846" w:type="dxa"/>
            <w:shd w:val="clear" w:color="auto" w:fill="auto"/>
            <w:vAlign w:val="center"/>
          </w:tcPr>
          <w:p>
            <w:pPr>
              <w:jc w:val="center"/>
              <w:rPr>
                <w:rFonts w:ascii="宋体" w:hAnsi="宋体" w:eastAsia="宋体" w:cs="宋体"/>
                <w:szCs w:val="21"/>
              </w:rPr>
            </w:pPr>
            <w:r>
              <w:rPr>
                <w:rFonts w:ascii="宋体" w:hAnsi="宋体" w:eastAsia="宋体" w:cs="宋体"/>
                <w:szCs w:val="21"/>
              </w:rPr>
              <w:t>600</w:t>
            </w:r>
          </w:p>
        </w:tc>
        <w:tc>
          <w:tcPr>
            <w:tcW w:w="73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人位</w:t>
            </w:r>
          </w:p>
        </w:tc>
        <w:tc>
          <w:tcPr>
            <w:tcW w:w="1176" w:type="dxa"/>
            <w:vAlign w:val="center"/>
          </w:tcPr>
          <w:p>
            <w:pPr>
              <w:jc w:val="center"/>
              <w:rPr>
                <w:rFonts w:ascii="宋体" w:hAnsi="宋体" w:eastAsia="宋体" w:cs="宋体"/>
                <w:szCs w:val="21"/>
              </w:rPr>
            </w:pPr>
            <w:r>
              <w:rPr>
                <w:rFonts w:ascii="宋体" w:hAnsi="宋体" w:eastAsia="宋体" w:cs="宋体"/>
                <w:szCs w:val="21"/>
              </w:rPr>
              <w:t>330000</w:t>
            </w:r>
          </w:p>
        </w:tc>
        <w:tc>
          <w:tcPr>
            <w:tcW w:w="1496" w:type="dxa"/>
          </w:tcPr>
          <w:p>
            <w:pPr>
              <w:jc w:val="left"/>
              <w:rPr>
                <w:rFonts w:ascii="宋体" w:hAnsi="宋体" w:eastAsia="宋体" w:cs="宋体"/>
                <w:sz w:val="21"/>
                <w:szCs w:val="21"/>
              </w:rPr>
            </w:pPr>
            <w:r>
              <w:rPr>
                <w:rFonts w:hint="eastAsia" w:ascii="宋体" w:hAnsi="宋体" w:eastAsia="宋体" w:cs="宋体"/>
                <w:sz w:val="21"/>
                <w:szCs w:val="21"/>
              </w:rPr>
              <w:t>参考品牌1：阳光行动</w:t>
            </w:r>
          </w:p>
          <w:p>
            <w:pPr>
              <w:jc w:val="left"/>
              <w:rPr>
                <w:rFonts w:ascii="宋体" w:hAnsi="宋体" w:eastAsia="宋体" w:cs="宋体"/>
                <w:sz w:val="21"/>
                <w:szCs w:val="21"/>
              </w:rPr>
            </w:pPr>
            <w:r>
              <w:rPr>
                <w:rFonts w:hint="eastAsia" w:ascii="宋体" w:hAnsi="宋体" w:eastAsia="宋体" w:cs="宋体"/>
                <w:sz w:val="21"/>
                <w:szCs w:val="21"/>
              </w:rPr>
              <w:t>参考品牌2：恒巨</w:t>
            </w:r>
          </w:p>
          <w:p>
            <w:pPr>
              <w:jc w:val="left"/>
              <w:rPr>
                <w:rFonts w:ascii="宋体" w:hAnsi="宋体" w:eastAsia="宋体"/>
                <w:sz w:val="21"/>
                <w:szCs w:val="21"/>
              </w:rPr>
            </w:pPr>
            <w:r>
              <w:rPr>
                <w:rFonts w:hint="eastAsia" w:ascii="宋体" w:hAnsi="宋体" w:eastAsia="宋体" w:cs="宋体"/>
                <w:sz w:val="21"/>
                <w:szCs w:val="21"/>
              </w:rPr>
              <w:t>参考品牌3：永昶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6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椅子</w:t>
            </w:r>
          </w:p>
        </w:tc>
        <w:tc>
          <w:tcPr>
            <w:tcW w:w="7893" w:type="dxa"/>
            <w:shd w:val="clear" w:color="auto" w:fill="auto"/>
            <w:vAlign w:val="center"/>
          </w:tcPr>
          <w:p>
            <w:pPr>
              <w:rPr>
                <w:rFonts w:ascii="宋体" w:hAnsi="宋体" w:eastAsia="宋体" w:cs="宋体"/>
                <w:szCs w:val="21"/>
              </w:rPr>
            </w:pPr>
            <w:r>
              <w:rPr>
                <w:rFonts w:hint="eastAsia" w:ascii="宋体" w:hAnsi="宋体" w:eastAsia="宋体" w:cs="宋体"/>
                <w:szCs w:val="21"/>
              </w:rPr>
              <w:t>课椅规格约：</w:t>
            </w:r>
            <w:r>
              <w:rPr>
                <w:rFonts w:ascii="宋体" w:hAnsi="宋体" w:eastAsia="宋体" w:cs="宋体"/>
                <w:szCs w:val="21"/>
              </w:rPr>
              <w:t>400mm×410mm×840mm；</w:t>
            </w:r>
          </w:p>
          <w:p>
            <w:pPr>
              <w:rPr>
                <w:rFonts w:ascii="宋体" w:hAnsi="宋体" w:eastAsia="宋体" w:cs="宋体"/>
                <w:szCs w:val="21"/>
              </w:rPr>
            </w:pPr>
            <w:r>
              <w:rPr>
                <w:rFonts w:hint="eastAsia" w:ascii="宋体" w:hAnsi="宋体" w:eastAsia="宋体" w:cs="宋体"/>
                <w:szCs w:val="21"/>
              </w:rPr>
              <w:t>▲椅面板：面板座面规格约：</w:t>
            </w:r>
            <w:r>
              <w:rPr>
                <w:rFonts w:ascii="宋体" w:hAnsi="宋体" w:eastAsia="宋体" w:cs="宋体"/>
                <w:szCs w:val="21"/>
              </w:rPr>
              <w:t>400mm×410mm,面板靠背规格约 435mm×440mm。材质：采用聚丙烯塑料一次注塑成型，绿色环保，无异味；硬</w:t>
            </w:r>
            <w:r>
              <w:rPr>
                <w:rFonts w:hint="eastAsia" w:ascii="宋体" w:hAnsi="宋体" w:eastAsia="宋体" w:cs="宋体"/>
                <w:szCs w:val="21"/>
              </w:rPr>
              <w:t>度高，韧性强，表面耐磨、耐划伤、抗污抗老化、抗压抗冲击强。坐板四周弧形，中间低，符合人体工学的弧度，方便纠正学生坐姿，坐感舒适，达到久坐不累的效果。靠背结合人体背部曲面设计，靠感舒适，四周圆弧，圆滑饱满，无菱角</w:t>
            </w:r>
            <w:r>
              <w:rPr>
                <w:rFonts w:ascii="宋体" w:hAnsi="宋体" w:eastAsia="宋体" w:cs="宋体"/>
                <w:szCs w:val="21"/>
              </w:rPr>
              <w:t>.靠背下方带方型孔，即透气又方便</w:t>
            </w:r>
            <w:r>
              <w:rPr>
                <w:rFonts w:hint="eastAsia" w:ascii="宋体" w:hAnsi="宋体" w:eastAsia="宋体" w:cs="宋体"/>
                <w:szCs w:val="21"/>
              </w:rPr>
              <w:t>学生搬移。同时形成两条加强筋，增加靠背强度。</w:t>
            </w:r>
          </w:p>
          <w:p>
            <w:pPr>
              <w:rPr>
                <w:rFonts w:ascii="宋体" w:hAnsi="宋体" w:eastAsia="宋体" w:cs="宋体"/>
                <w:szCs w:val="21"/>
              </w:rPr>
            </w:pPr>
            <w:r>
              <w:rPr>
                <w:rFonts w:ascii="宋体" w:hAnsi="宋体" w:eastAsia="宋体" w:cs="宋体"/>
                <w:szCs w:val="21"/>
              </w:rPr>
              <w:t>2.椅立脚：约 25mm×1.5mm 圆管。</w:t>
            </w:r>
          </w:p>
          <w:p>
            <w:pPr>
              <w:rPr>
                <w:rFonts w:ascii="宋体" w:hAnsi="宋体" w:eastAsia="宋体" w:cs="宋体"/>
                <w:szCs w:val="21"/>
              </w:rPr>
            </w:pPr>
            <w:r>
              <w:rPr>
                <w:rFonts w:ascii="宋体" w:hAnsi="宋体" w:eastAsia="宋体" w:cs="宋体"/>
                <w:szCs w:val="21"/>
              </w:rPr>
              <w:t>3.座拉换：约 30mm×15mm×1.5mm 矩管。</w:t>
            </w:r>
          </w:p>
          <w:p>
            <w:pPr>
              <w:rPr>
                <w:rFonts w:ascii="宋体" w:hAnsi="宋体" w:eastAsia="宋体" w:cs="宋体"/>
                <w:szCs w:val="21"/>
              </w:rPr>
            </w:pPr>
            <w:r>
              <w:rPr>
                <w:rFonts w:ascii="宋体" w:hAnsi="宋体" w:eastAsia="宋体" w:cs="宋体"/>
                <w:szCs w:val="21"/>
              </w:rPr>
              <w:t>4.脚套：采用抗老化 PP 工程塑料一次性注塑成型。</w:t>
            </w:r>
          </w:p>
          <w:p>
            <w:pPr>
              <w:rPr>
                <w:rFonts w:ascii="宋体" w:hAnsi="宋体" w:eastAsia="宋体" w:cs="宋体"/>
                <w:szCs w:val="21"/>
              </w:rPr>
            </w:pPr>
            <w:r>
              <w:rPr>
                <w:rFonts w:ascii="宋体" w:hAnsi="宋体" w:eastAsia="宋体" w:cs="宋体"/>
                <w:szCs w:val="21"/>
              </w:rPr>
              <w:t>5.生产工艺：弯形管均采用全自动弯管机弯管成型，确保弯形尺寸的</w:t>
            </w:r>
            <w:r>
              <w:rPr>
                <w:rFonts w:hint="eastAsia" w:ascii="宋体" w:hAnsi="宋体" w:eastAsia="宋体" w:cs="宋体"/>
                <w:szCs w:val="21"/>
              </w:rPr>
              <w:t>准确度。焊接采用二氧化碳保护焊，焊接无虚焊、漏焊、气孔等，所有焊渣经专业工具处理干净，保证外观光洁平整。所有钢材表面经过严格的除油</w:t>
            </w:r>
            <w:r>
              <w:rPr>
                <w:rFonts w:ascii="宋体" w:hAnsi="宋体" w:eastAsia="宋体" w:cs="宋体"/>
                <w:szCs w:val="21"/>
              </w:rPr>
              <w:t>-水洗-除锈-水洗-表调-陶化-环氧树脂粉末静电喷塑等处</w:t>
            </w:r>
            <w:r>
              <w:rPr>
                <w:rFonts w:hint="eastAsia" w:ascii="宋体" w:hAnsi="宋体" w:eastAsia="宋体" w:cs="宋体"/>
                <w:szCs w:val="21"/>
              </w:rPr>
              <w:t>理。</w:t>
            </w:r>
          </w:p>
          <w:p>
            <w:pPr>
              <w:pStyle w:val="2"/>
              <w:ind w:left="0" w:leftChars="0" w:firstLine="640" w:firstLineChars="0"/>
              <w:rPr>
                <w:rFonts w:ascii="宋体" w:hAnsi="宋体" w:eastAsia="宋体" w:cs="宋体"/>
                <w:sz w:val="21"/>
                <w:szCs w:val="21"/>
              </w:rPr>
            </w:pPr>
            <w:r>
              <w:rPr>
                <w:rFonts w:hint="eastAsia" w:ascii="宋体" w:hAnsi="宋体" w:eastAsia="宋体" w:cs="宋体"/>
                <w:sz w:val="21"/>
                <w:szCs w:val="21"/>
              </w:rPr>
              <w:t>参考样图：</w:t>
            </w:r>
          </w:p>
          <w:p>
            <w:pPr>
              <w:pStyle w:val="2"/>
              <w:ind w:left="0" w:leftChars="0" w:firstLine="640" w:firstLineChars="0"/>
              <w:rPr>
                <w:rFonts w:ascii="宋体" w:hAnsi="宋体" w:eastAsia="宋体" w:cs="宋体"/>
                <w:sz w:val="21"/>
                <w:szCs w:val="21"/>
              </w:rPr>
            </w:pPr>
            <w:r>
              <w:rPr>
                <w:rFonts w:ascii="宋体" w:hAnsi="宋体" w:eastAsia="宋体" w:cs="宋体"/>
              </w:rPr>
              <w:drawing>
                <wp:inline distT="0" distB="0" distL="114300" distR="114300">
                  <wp:extent cx="1496060" cy="2270760"/>
                  <wp:effectExtent l="0" t="0" r="8890" b="15240"/>
                  <wp:docPr id="5" name="图片 5" descr="iwEcAqNqcGcDAQTRD8AF0QvQBrDExNSf90oEBAZBDrpwTeQAB9IATWWNCAAJomltCgAL0gAX7mU.jpg_720x720q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wEcAqNqcGcDAQTRD8AF0QvQBrDExNSf90oEBAZBDrpwTeQAB9IATWWNCAAJomltCgAL0gAX7mU.jpg_720x720q90"/>
                          <pic:cNvPicPr>
                            <a:picLocks noChangeAspect="1"/>
                          </pic:cNvPicPr>
                        </pic:nvPicPr>
                        <pic:blipFill>
                          <a:blip r:embed="rId6"/>
                          <a:srcRect l="9548" t="22282" r="31228" b="10334"/>
                          <a:stretch>
                            <a:fillRect/>
                          </a:stretch>
                        </pic:blipFill>
                        <pic:spPr>
                          <a:xfrm>
                            <a:off x="0" y="0"/>
                            <a:ext cx="1496060" cy="2270760"/>
                          </a:xfrm>
                          <a:prstGeom prst="rect">
                            <a:avLst/>
                          </a:prstGeom>
                        </pic:spPr>
                      </pic:pic>
                    </a:graphicData>
                  </a:graphic>
                </wp:inline>
              </w:drawing>
            </w:r>
          </w:p>
        </w:tc>
        <w:tc>
          <w:tcPr>
            <w:tcW w:w="846" w:type="dxa"/>
            <w:shd w:val="clear" w:color="auto" w:fill="auto"/>
            <w:vAlign w:val="center"/>
          </w:tcPr>
          <w:p>
            <w:pPr>
              <w:jc w:val="center"/>
              <w:rPr>
                <w:rFonts w:ascii="宋体" w:hAnsi="宋体" w:eastAsia="宋体" w:cs="宋体"/>
                <w:szCs w:val="21"/>
              </w:rPr>
            </w:pPr>
            <w:r>
              <w:rPr>
                <w:rFonts w:ascii="宋体" w:hAnsi="宋体" w:eastAsia="宋体" w:cs="宋体"/>
                <w:szCs w:val="21"/>
              </w:rPr>
              <w:t>639</w:t>
            </w:r>
          </w:p>
        </w:tc>
        <w:tc>
          <w:tcPr>
            <w:tcW w:w="73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张</w:t>
            </w:r>
          </w:p>
        </w:tc>
        <w:tc>
          <w:tcPr>
            <w:tcW w:w="1176" w:type="dxa"/>
            <w:vAlign w:val="center"/>
          </w:tcPr>
          <w:p>
            <w:pPr>
              <w:jc w:val="center"/>
              <w:rPr>
                <w:rFonts w:ascii="宋体" w:hAnsi="宋体" w:eastAsia="宋体" w:cs="宋体"/>
                <w:szCs w:val="21"/>
              </w:rPr>
            </w:pPr>
            <w:r>
              <w:rPr>
                <w:rFonts w:ascii="宋体" w:hAnsi="宋体" w:eastAsia="宋体" w:cs="宋体"/>
                <w:szCs w:val="21"/>
              </w:rPr>
              <w:t>115020</w:t>
            </w:r>
          </w:p>
        </w:tc>
        <w:tc>
          <w:tcPr>
            <w:tcW w:w="1496" w:type="dxa"/>
            <w:vAlign w:val="center"/>
          </w:tcPr>
          <w:p>
            <w:pPr>
              <w:jc w:val="left"/>
              <w:rPr>
                <w:rFonts w:ascii="宋体" w:hAnsi="宋体" w:eastAsia="宋体" w:cs="宋体"/>
                <w:sz w:val="24"/>
              </w:rPr>
            </w:pPr>
            <w:r>
              <w:rPr>
                <w:rFonts w:hint="eastAsia" w:ascii="宋体" w:hAnsi="宋体" w:eastAsia="宋体" w:cs="宋体"/>
                <w:sz w:val="24"/>
              </w:rPr>
              <w:t>参考品牌1：阳光行动</w:t>
            </w:r>
          </w:p>
          <w:p>
            <w:pPr>
              <w:jc w:val="left"/>
              <w:rPr>
                <w:rFonts w:ascii="宋体" w:hAnsi="宋体" w:eastAsia="宋体" w:cs="宋体"/>
                <w:sz w:val="24"/>
              </w:rPr>
            </w:pPr>
            <w:r>
              <w:rPr>
                <w:rFonts w:hint="eastAsia" w:ascii="宋体" w:hAnsi="宋体" w:eastAsia="宋体" w:cs="宋体"/>
                <w:sz w:val="24"/>
              </w:rPr>
              <w:t>参考品牌2：恒巨</w:t>
            </w:r>
          </w:p>
          <w:p>
            <w:pPr>
              <w:jc w:val="center"/>
              <w:rPr>
                <w:rFonts w:ascii="宋体" w:hAnsi="宋体" w:eastAsia="宋体" w:cs="宋体"/>
                <w:szCs w:val="21"/>
              </w:rPr>
            </w:pPr>
            <w:r>
              <w:rPr>
                <w:rFonts w:hint="eastAsia" w:ascii="宋体" w:hAnsi="宋体" w:eastAsia="宋体" w:cs="宋体"/>
                <w:sz w:val="24"/>
              </w:rPr>
              <w:t>参考品牌3：永昶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pPr>
              <w:jc w:val="center"/>
              <w:rPr>
                <w:rFonts w:ascii="宋体" w:hAnsi="宋体" w:eastAsia="宋体" w:cs="宋体"/>
                <w:szCs w:val="21"/>
              </w:rPr>
            </w:pPr>
            <w:r>
              <w:rPr>
                <w:rFonts w:hint="eastAsia" w:ascii="宋体" w:hAnsi="宋体" w:eastAsia="宋体" w:cs="宋体"/>
                <w:szCs w:val="21"/>
              </w:rPr>
              <w:t>3</w:t>
            </w:r>
          </w:p>
        </w:tc>
        <w:tc>
          <w:tcPr>
            <w:tcW w:w="126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讲台</w:t>
            </w:r>
          </w:p>
        </w:tc>
        <w:tc>
          <w:tcPr>
            <w:tcW w:w="7893" w:type="dxa"/>
            <w:shd w:val="clear" w:color="auto" w:fill="auto"/>
            <w:vAlign w:val="center"/>
          </w:tcPr>
          <w:p>
            <w:pPr>
              <w:rPr>
                <w:rFonts w:ascii="宋体" w:hAnsi="宋体" w:eastAsia="宋体" w:cs="宋体"/>
                <w:szCs w:val="21"/>
              </w:rPr>
            </w:pPr>
            <w:r>
              <w:rPr>
                <w:rFonts w:hint="eastAsia" w:ascii="宋体" w:hAnsi="宋体" w:eastAsia="宋体" w:cs="宋体"/>
                <w:szCs w:val="21"/>
              </w:rPr>
              <w:t>多媒体讲台外形尺寸约：</w:t>
            </w:r>
            <w:r>
              <w:rPr>
                <w:rFonts w:ascii="宋体" w:hAnsi="宋体" w:eastAsia="宋体" w:cs="宋体"/>
                <w:szCs w:val="21"/>
              </w:rPr>
              <w:t>1050×780×1000mm；</w:t>
            </w:r>
          </w:p>
          <w:p>
            <w:pPr>
              <w:rPr>
                <w:rFonts w:ascii="宋体" w:hAnsi="宋体" w:eastAsia="宋体" w:cs="宋体"/>
                <w:szCs w:val="21"/>
              </w:rPr>
            </w:pPr>
            <w:r>
              <w:rPr>
                <w:rFonts w:hint="eastAsia" w:ascii="宋体" w:hAnsi="宋体" w:eastAsia="宋体" w:cs="宋体"/>
                <w:szCs w:val="21"/>
              </w:rPr>
              <w:t>上柜体</w:t>
            </w:r>
            <w:r>
              <w:rPr>
                <w:rFonts w:ascii="宋体" w:hAnsi="宋体" w:eastAsia="宋体" w:cs="宋体"/>
                <w:szCs w:val="21"/>
              </w:rPr>
              <w:t>:长度约 1050mm，宽度约 780，高度约 330mm；下柜体：长度约700mm，宽度约 660mm，高度约 670mm；底座部分：长度约 700mm,宽度</w:t>
            </w:r>
            <w:r>
              <w:rPr>
                <w:rFonts w:hint="eastAsia" w:ascii="宋体" w:hAnsi="宋体" w:eastAsia="宋体" w:cs="宋体"/>
                <w:szCs w:val="21"/>
              </w:rPr>
              <w:t>约</w:t>
            </w:r>
            <w:r>
              <w:rPr>
                <w:rFonts w:ascii="宋体" w:hAnsi="宋体" w:eastAsia="宋体" w:cs="宋体"/>
                <w:szCs w:val="21"/>
              </w:rPr>
              <w:t xml:space="preserve"> 630mm，高度约 65mm.</w:t>
            </w:r>
          </w:p>
          <w:p>
            <w:pP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柜体层板</w:t>
            </w:r>
            <w:r>
              <w:rPr>
                <w:rFonts w:ascii="宋体" w:hAnsi="宋体" w:eastAsia="宋体" w:cs="宋体"/>
                <w:szCs w:val="21"/>
              </w:rPr>
              <w:t>采用 0.8mm-1.2mm 优质精装冷轧钢板,经数控激光切设备加工而成,</w:t>
            </w:r>
            <w:r>
              <w:rPr>
                <w:rFonts w:hint="eastAsia" w:ascii="宋体" w:hAnsi="宋体" w:eastAsia="宋体" w:cs="宋体"/>
                <w:szCs w:val="21"/>
              </w:rPr>
              <w:t>表面酸洗、磷化、防腐、防锈、钝化处理后静电喷塑</w:t>
            </w:r>
            <w:r>
              <w:rPr>
                <w:rFonts w:ascii="宋体" w:hAnsi="宋体" w:eastAsia="宋体" w:cs="宋体"/>
                <w:szCs w:val="21"/>
              </w:rPr>
              <w:t>(颜色用户可选定),</w:t>
            </w:r>
            <w:r>
              <w:rPr>
                <w:rFonts w:hint="eastAsia" w:ascii="宋体" w:hAnsi="宋体" w:eastAsia="宋体" w:cs="宋体"/>
                <w:szCs w:val="21"/>
              </w:rPr>
              <w:t>塑面经久耐用。</w:t>
            </w:r>
          </w:p>
          <w:p>
            <w:pP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2.讲桌桌面采用平面设计，可以放置 17-24 寸不同品牌的液晶显示</w:t>
            </w:r>
            <w:r>
              <w:rPr>
                <w:rFonts w:hint="eastAsia" w:ascii="宋体" w:hAnsi="宋体" w:eastAsia="宋体" w:cs="宋体"/>
                <w:szCs w:val="21"/>
              </w:rPr>
              <w:t>器，</w:t>
            </w:r>
            <w:r>
              <w:rPr>
                <w:rFonts w:hint="eastAsia" w:ascii="宋体" w:hAnsi="宋体" w:cs="宋体"/>
                <w:szCs w:val="21"/>
              </w:rPr>
              <w:t>显示器可以15到60度翻转</w:t>
            </w:r>
            <w:r>
              <w:rPr>
                <w:rFonts w:hint="eastAsia" w:ascii="宋体" w:hAnsi="宋体" w:eastAsia="宋体" w:cs="宋体"/>
                <w:szCs w:val="21"/>
              </w:rPr>
              <w:t>，翻转部件左、右、后侧有挡板，防止翻转时物品掉进讲台内部。右台面前方可选放多功能接口板等。右前方平面可放笔记本等设备；桌面四周半包围结构，有效防止物品滑落；</w:t>
            </w:r>
          </w:p>
          <w:p>
            <w:pPr>
              <w:rPr>
                <w:rFonts w:ascii="宋体" w:hAnsi="宋体" w:eastAsia="宋体" w:cs="宋体"/>
                <w:szCs w:val="21"/>
              </w:rPr>
            </w:pPr>
            <w:r>
              <w:rPr>
                <w:rFonts w:ascii="宋体" w:hAnsi="宋体" w:eastAsia="宋体" w:cs="宋体"/>
                <w:szCs w:val="21"/>
              </w:rPr>
              <w:t>3.讲桌正前方为中控抽屉，讲桌设置隐藏式抽拉展台抽屉（约长×宽</w:t>
            </w:r>
            <w:r>
              <w:rPr>
                <w:rFonts w:hint="eastAsia" w:ascii="宋体" w:hAnsi="宋体" w:eastAsia="宋体" w:cs="宋体"/>
                <w:szCs w:val="21"/>
              </w:rPr>
              <w:t>×高：</w:t>
            </w:r>
            <w:r>
              <w:rPr>
                <w:rFonts w:ascii="宋体" w:hAnsi="宋体" w:eastAsia="宋体" w:cs="宋体"/>
                <w:szCs w:val="21"/>
              </w:rPr>
              <w:t>500×500×170 mm）</w:t>
            </w:r>
          </w:p>
          <w:p>
            <w:pPr>
              <w:rPr>
                <w:rFonts w:ascii="宋体" w:hAnsi="宋体" w:eastAsia="宋体" w:cs="宋体"/>
                <w:szCs w:val="21"/>
              </w:rPr>
            </w:pPr>
            <w:r>
              <w:rPr>
                <w:rFonts w:ascii="宋体" w:hAnsi="宋体" w:eastAsia="宋体" w:cs="宋体"/>
                <w:szCs w:val="21"/>
              </w:rPr>
              <w:t>4.讲桌扶手，背板采用高档橡木制成，表面喷高档防滑漆，使用起来</w:t>
            </w:r>
            <w:r>
              <w:rPr>
                <w:rFonts w:hint="eastAsia" w:ascii="宋体" w:hAnsi="宋体" w:eastAsia="宋体" w:cs="宋体"/>
                <w:szCs w:val="21"/>
              </w:rPr>
              <w:t>光滑度高，桌面颜色为木纹色，使整个讲台看起来美观大方。</w:t>
            </w:r>
          </w:p>
          <w:p>
            <w:pPr>
              <w:rPr>
                <w:rFonts w:ascii="宋体" w:hAnsi="宋体" w:eastAsia="宋体" w:cs="宋体"/>
                <w:szCs w:val="21"/>
              </w:rPr>
            </w:pPr>
            <w:r>
              <w:rPr>
                <w:rFonts w:ascii="宋体" w:hAnsi="宋体" w:eastAsia="宋体" w:cs="宋体"/>
                <w:szCs w:val="21"/>
              </w:rPr>
              <w:t>5.整体冲压成型，整体结构紧凑，空间设计合理；</w:t>
            </w:r>
          </w:p>
          <w:p>
            <w:pP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6.讲桌下柜前后门均可打开，电脑主机的光驱和 USB 接口设有专门</w:t>
            </w:r>
            <w:r>
              <w:rPr>
                <w:rFonts w:hint="eastAsia" w:ascii="宋体" w:hAnsi="宋体" w:eastAsia="宋体" w:cs="宋体"/>
                <w:szCs w:val="21"/>
              </w:rPr>
              <w:t>的可开合小门，方便放设备，后方有上下门，便于检修设备，下门冲散热孔，方便散热；整个下柜可作为储物柜使用；</w:t>
            </w:r>
          </w:p>
          <w:p>
            <w:pPr>
              <w:rPr>
                <w:rFonts w:ascii="宋体" w:hAnsi="宋体" w:eastAsia="宋体" w:cs="宋体"/>
                <w:szCs w:val="21"/>
              </w:rPr>
            </w:pPr>
            <w:r>
              <w:rPr>
                <w:rFonts w:ascii="宋体" w:hAnsi="宋体" w:eastAsia="宋体" w:cs="宋体"/>
                <w:szCs w:val="21"/>
              </w:rPr>
              <w:t>7.全部的加工件均采用模具成型，激光切加工而成、配合优良的焊接</w:t>
            </w:r>
            <w:r>
              <w:rPr>
                <w:rFonts w:hint="eastAsia" w:ascii="宋体" w:hAnsi="宋体" w:eastAsia="宋体" w:cs="宋体"/>
                <w:szCs w:val="21"/>
              </w:rPr>
              <w:t>工艺，保障尺寸精度及各部件一致性，保证安装的方便快捷。</w:t>
            </w:r>
          </w:p>
          <w:p>
            <w:pPr>
              <w:pStyle w:val="1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喷涂要求：塑粉采用优质环保型高附着力的金属表面纳米抗菌热固性粉末，表面涂层高温固化而成，提高其防锈蚀和抗菌性能。金属表面纳米抗菌静电喷涂膜（喷涂钢板）满足或优于国家标准。</w:t>
            </w:r>
          </w:p>
          <w:p>
            <w:pPr>
              <w:pStyle w:val="10"/>
              <w:rPr>
                <w:rFonts w:ascii="宋体" w:hAnsi="宋体" w:eastAsia="宋体" w:cs="宋体"/>
                <w:sz w:val="21"/>
                <w:szCs w:val="21"/>
              </w:rPr>
            </w:pPr>
            <w:r>
              <w:rPr>
                <w:rFonts w:hint="eastAsia" w:ascii="宋体" w:hAnsi="宋体" w:eastAsia="宋体" w:cs="宋体"/>
                <w:sz w:val="21"/>
                <w:szCs w:val="21"/>
              </w:rPr>
              <w:t>参考样图：</w:t>
            </w:r>
          </w:p>
          <w:p>
            <w:pPr>
              <w:pStyle w:val="10"/>
              <w:rPr>
                <w:rFonts w:ascii="宋体" w:hAnsi="宋体" w:eastAsia="宋体" w:cs="宋体"/>
                <w:sz w:val="21"/>
                <w:szCs w:val="21"/>
              </w:rPr>
            </w:pPr>
            <w:r>
              <w:rPr>
                <w:rFonts w:ascii="宋体" w:hAnsi="宋体" w:eastAsia="宋体" w:cs="宋体"/>
                <w:sz w:val="18"/>
                <w:szCs w:val="18"/>
              </w:rPr>
              <w:drawing>
                <wp:inline distT="0" distB="0" distL="114300" distR="114300">
                  <wp:extent cx="2379980" cy="2382520"/>
                  <wp:effectExtent l="0" t="0" r="1270" b="17780"/>
                  <wp:docPr id="8" name="图片 8" descr="iwEdAqNqcGcDAQTRD8AF0QvQBrCWKa-aHzLBPQZBDiZck_kAB9IATWWNCAAJomltCgAL0gAYRh8.jpg_720x720q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wEdAqNqcGcDAQTRD8AF0QvQBrCWKa-aHzLBPQZBDiZck_kAB9IATWWNCAAJomltCgAL0gAYRh8.jpg_720x720q90"/>
                          <pic:cNvPicPr>
                            <a:picLocks noChangeAspect="1"/>
                          </pic:cNvPicPr>
                        </pic:nvPicPr>
                        <pic:blipFill>
                          <a:blip r:embed="rId7"/>
                          <a:srcRect l="2154" t="24704" r="10409" b="9688"/>
                          <a:stretch>
                            <a:fillRect/>
                          </a:stretch>
                        </pic:blipFill>
                        <pic:spPr>
                          <a:xfrm>
                            <a:off x="0" y="0"/>
                            <a:ext cx="2379980" cy="2382520"/>
                          </a:xfrm>
                          <a:prstGeom prst="rect">
                            <a:avLst/>
                          </a:prstGeom>
                        </pic:spPr>
                      </pic:pic>
                    </a:graphicData>
                  </a:graphic>
                </wp:inline>
              </w:drawing>
            </w:r>
          </w:p>
        </w:tc>
        <w:tc>
          <w:tcPr>
            <w:tcW w:w="846" w:type="dxa"/>
            <w:shd w:val="clear" w:color="auto" w:fill="auto"/>
            <w:vAlign w:val="center"/>
          </w:tcPr>
          <w:p>
            <w:pPr>
              <w:jc w:val="center"/>
              <w:rPr>
                <w:rFonts w:ascii="宋体" w:hAnsi="宋体" w:eastAsia="宋体" w:cs="宋体"/>
                <w:szCs w:val="21"/>
              </w:rPr>
            </w:pPr>
            <w:r>
              <w:rPr>
                <w:rFonts w:ascii="宋体" w:hAnsi="宋体" w:eastAsia="宋体" w:cs="宋体"/>
                <w:szCs w:val="21"/>
              </w:rPr>
              <w:t>38</w:t>
            </w:r>
          </w:p>
        </w:tc>
        <w:tc>
          <w:tcPr>
            <w:tcW w:w="73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张</w:t>
            </w:r>
          </w:p>
        </w:tc>
        <w:tc>
          <w:tcPr>
            <w:tcW w:w="1176" w:type="dxa"/>
            <w:vAlign w:val="center"/>
          </w:tcPr>
          <w:p>
            <w:pPr>
              <w:jc w:val="center"/>
              <w:rPr>
                <w:rFonts w:ascii="宋体" w:hAnsi="宋体" w:eastAsia="宋体" w:cs="宋体"/>
                <w:szCs w:val="21"/>
              </w:rPr>
            </w:pPr>
            <w:r>
              <w:rPr>
                <w:rFonts w:ascii="宋体" w:hAnsi="宋体" w:eastAsia="宋体" w:cs="宋体"/>
                <w:szCs w:val="21"/>
              </w:rPr>
              <w:t>87400</w:t>
            </w:r>
          </w:p>
        </w:tc>
        <w:tc>
          <w:tcPr>
            <w:tcW w:w="1496" w:type="dxa"/>
            <w:vAlign w:val="center"/>
          </w:tcPr>
          <w:p>
            <w:pPr>
              <w:jc w:val="left"/>
              <w:rPr>
                <w:rFonts w:ascii="宋体" w:hAnsi="宋体" w:eastAsia="宋体" w:cs="宋体"/>
                <w:sz w:val="24"/>
              </w:rPr>
            </w:pPr>
            <w:r>
              <w:rPr>
                <w:rFonts w:hint="eastAsia" w:ascii="宋体" w:hAnsi="宋体" w:eastAsia="宋体" w:cs="宋体"/>
                <w:sz w:val="24"/>
              </w:rPr>
              <w:t>参考品牌1：阳光行动</w:t>
            </w:r>
          </w:p>
          <w:p>
            <w:pPr>
              <w:jc w:val="left"/>
              <w:rPr>
                <w:rFonts w:ascii="宋体" w:hAnsi="宋体" w:eastAsia="宋体" w:cs="宋体"/>
                <w:sz w:val="24"/>
              </w:rPr>
            </w:pPr>
            <w:r>
              <w:rPr>
                <w:rFonts w:hint="eastAsia" w:ascii="宋体" w:hAnsi="宋体" w:eastAsia="宋体" w:cs="宋体"/>
                <w:sz w:val="24"/>
              </w:rPr>
              <w:t>参考品牌2：恒巨</w:t>
            </w:r>
          </w:p>
          <w:p>
            <w:pPr>
              <w:rPr>
                <w:rFonts w:ascii="宋体" w:hAnsi="宋体" w:eastAsia="宋体" w:cs="宋体"/>
                <w:szCs w:val="21"/>
              </w:rPr>
            </w:pPr>
            <w:r>
              <w:rPr>
                <w:rFonts w:hint="eastAsia" w:ascii="宋体" w:hAnsi="宋体" w:eastAsia="宋体" w:cs="宋体"/>
                <w:sz w:val="24"/>
              </w:rPr>
              <w:t>参考品牌3：永昶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8" w:type="dxa"/>
            <w:gridSpan w:val="7"/>
            <w:vAlign w:val="center"/>
          </w:tcPr>
          <w:p>
            <w:pPr>
              <w:jc w:val="left"/>
              <w:rPr>
                <w:rFonts w:ascii="宋体" w:hAnsi="宋体" w:eastAsia="宋体" w:cs="宋体"/>
                <w:sz w:val="20"/>
                <w:szCs w:val="20"/>
              </w:rPr>
            </w:pPr>
            <w:r>
              <w:rPr>
                <w:rFonts w:hint="eastAsia" w:ascii="宋体" w:hAnsi="宋体" w:eastAsia="宋体" w:cs="宋体"/>
                <w:b/>
                <w:sz w:val="24"/>
                <w:szCs w:val="20"/>
              </w:rPr>
              <w:t>合计金额：</w:t>
            </w:r>
            <w:r>
              <w:rPr>
                <w:rFonts w:hint="eastAsia" w:ascii="宋体" w:hAnsi="宋体" w:eastAsia="宋体" w:cs="宋体"/>
                <w:sz w:val="24"/>
                <w:szCs w:val="20"/>
              </w:rPr>
              <w:t>人民币伍拾叁万贰仟肆佰贰拾元整</w:t>
            </w:r>
            <w:r>
              <w:rPr>
                <w:rFonts w:ascii="宋体" w:hAnsi="宋体" w:eastAsia="宋体" w:cs="宋体"/>
                <w:sz w:val="24"/>
                <w:szCs w:val="20"/>
              </w:rPr>
              <w:t xml:space="preserve"> （¥532420.00元）</w:t>
            </w:r>
          </w:p>
        </w:tc>
      </w:tr>
    </w:tbl>
    <w:p>
      <w:pPr>
        <w:widowControl/>
        <w:jc w:val="left"/>
        <w:rPr>
          <w:rFonts w:ascii="宋体" w:hAnsi="宋体" w:eastAsia="宋体"/>
          <w:b/>
          <w:sz w:val="28"/>
          <w:szCs w:val="28"/>
        </w:rPr>
      </w:pPr>
      <w:r>
        <w:rPr>
          <w:rFonts w:hint="eastAsia" w:ascii="宋体" w:hAnsi="宋体" w:eastAsia="宋体" w:cs="宋体"/>
          <w:b/>
          <w:kern w:val="0"/>
          <w:sz w:val="28"/>
          <w:szCs w:val="28"/>
        </w:rPr>
        <w:t>二、</w:t>
      </w:r>
      <w:r>
        <w:rPr>
          <w:rFonts w:hint="eastAsia" w:ascii="宋体" w:hAnsi="宋体" w:eastAsia="宋体"/>
          <w:b/>
          <w:sz w:val="28"/>
          <w:szCs w:val="28"/>
        </w:rPr>
        <w:t>商务要求</w:t>
      </w:r>
      <w:r>
        <w:rPr>
          <w:rFonts w:hint="eastAsia" w:ascii="宋体" w:hAnsi="宋体" w:eastAsia="宋体"/>
          <w:b/>
          <w:color w:val="FF0000"/>
          <w:sz w:val="28"/>
          <w:szCs w:val="28"/>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0"/>
        <w:gridCol w:w="1225"/>
        <w:gridCol w:w="14"/>
        <w:gridCol w:w="12073"/>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gridSpan w:val="2"/>
            <w:vAlign w:val="center"/>
          </w:tcPr>
          <w:p>
            <w:pPr>
              <w:pStyle w:val="10"/>
              <w:jc w:val="center"/>
              <w:rPr>
                <w:rFonts w:ascii="宋体" w:hAnsi="宋体" w:eastAsia="宋体"/>
                <w:b/>
                <w:sz w:val="24"/>
                <w:szCs w:val="24"/>
              </w:rPr>
            </w:pPr>
            <w:r>
              <w:rPr>
                <w:rFonts w:hint="eastAsia" w:ascii="宋体" w:hAnsi="宋体" w:eastAsia="宋体"/>
                <w:b/>
                <w:sz w:val="24"/>
                <w:szCs w:val="24"/>
              </w:rPr>
              <w:t>序号</w:t>
            </w:r>
          </w:p>
        </w:tc>
        <w:tc>
          <w:tcPr>
            <w:tcW w:w="1239" w:type="dxa"/>
            <w:gridSpan w:val="2"/>
            <w:vAlign w:val="center"/>
          </w:tcPr>
          <w:p>
            <w:pPr>
              <w:pStyle w:val="10"/>
              <w:jc w:val="both"/>
              <w:rPr>
                <w:rFonts w:ascii="宋体" w:hAnsi="宋体" w:eastAsia="宋体"/>
                <w:sz w:val="24"/>
                <w:szCs w:val="24"/>
              </w:rPr>
            </w:pPr>
            <w:r>
              <w:rPr>
                <w:rFonts w:hint="eastAsia" w:ascii="宋体" w:hAnsi="宋体" w:eastAsia="宋体"/>
                <w:b/>
                <w:sz w:val="24"/>
                <w:szCs w:val="24"/>
              </w:rPr>
              <w:t>商务名称</w:t>
            </w:r>
          </w:p>
        </w:tc>
        <w:tc>
          <w:tcPr>
            <w:tcW w:w="12087" w:type="dxa"/>
            <w:gridSpan w:val="2"/>
            <w:vAlign w:val="center"/>
          </w:tcPr>
          <w:p>
            <w:pPr>
              <w:pStyle w:val="10"/>
              <w:jc w:val="both"/>
              <w:rPr>
                <w:rFonts w:ascii="宋体" w:hAnsi="宋体" w:eastAsia="宋体"/>
                <w:sz w:val="24"/>
                <w:szCs w:val="24"/>
              </w:rPr>
            </w:pPr>
            <w:r>
              <w:rPr>
                <w:rFonts w:hint="eastAsia" w:ascii="宋体" w:hAnsi="宋体" w:eastAsia="宋体"/>
                <w:b/>
                <w:sz w:val="24"/>
                <w:szCs w:val="24"/>
              </w:rPr>
              <w:t>商务内容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gridSpan w:val="2"/>
            <w:vAlign w:val="center"/>
          </w:tcPr>
          <w:p>
            <w:pPr>
              <w:jc w:val="center"/>
            </w:pPr>
            <w:r>
              <w:rPr>
                <w:rFonts w:hint="eastAsia"/>
              </w:rPr>
              <w:t>1</w:t>
            </w:r>
          </w:p>
        </w:tc>
        <w:tc>
          <w:tcPr>
            <w:tcW w:w="123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资质要求</w:t>
            </w:r>
          </w:p>
        </w:tc>
        <w:tc>
          <w:tcPr>
            <w:tcW w:w="12087" w:type="dxa"/>
            <w:gridSpan w:val="2"/>
            <w:vAlign w:val="center"/>
          </w:tcPr>
          <w:p>
            <w:pPr>
              <w:rPr>
                <w:rFonts w:hint="eastAsia" w:ascii="宋体" w:hAnsi="宋体" w:eastAsia="宋体" w:cs="宋体"/>
                <w:sz w:val="21"/>
                <w:szCs w:val="21"/>
              </w:rPr>
            </w:pPr>
            <w:r>
              <w:rPr>
                <w:rFonts w:hint="eastAsia" w:ascii="宋体" w:hAnsi="宋体" w:eastAsia="宋体" w:cs="宋体"/>
                <w:b/>
                <w:color w:val="FF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gridSpan w:val="2"/>
            <w:vAlign w:val="center"/>
          </w:tcPr>
          <w:p>
            <w:pPr>
              <w:jc w:val="center"/>
            </w:pPr>
            <w:r>
              <w:rPr>
                <w:rFonts w:hint="eastAsia"/>
              </w:rPr>
              <w:t>2</w:t>
            </w:r>
          </w:p>
        </w:tc>
        <w:tc>
          <w:tcPr>
            <w:tcW w:w="123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报价要求</w:t>
            </w:r>
          </w:p>
        </w:tc>
        <w:tc>
          <w:tcPr>
            <w:tcW w:w="12087" w:type="dxa"/>
            <w:gridSpan w:val="2"/>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1.本次报价须为人民币报价，包含：产品价、运输费（含装卸费）、保险费、安装调试费、税费、培训费、产品检测费、产品质保期内维护。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pStyle w:val="8"/>
              <w:rPr>
                <w:rFonts w:hint="eastAsia" w:ascii="宋体" w:hAnsi="宋体" w:eastAsia="宋体" w:cs="宋体"/>
                <w:sz w:val="21"/>
                <w:szCs w:val="21"/>
                <w:highlight w:val="none"/>
              </w:rPr>
            </w:pPr>
            <w:r>
              <w:rPr>
                <w:rFonts w:hint="eastAsia" w:ascii="宋体" w:hAnsi="宋体" w:eastAsia="宋体" w:cs="宋体"/>
                <w:sz w:val="21"/>
                <w:szCs w:val="21"/>
                <w:highlight w:val="none"/>
              </w:rPr>
              <w:t>2.报价提供的设备、材料、服务、工艺等，不低于所列参考品牌及型号技术、服务、工艺标准。</w:t>
            </w:r>
          </w:p>
          <w:p>
            <w:pPr>
              <w:pStyle w:val="7"/>
              <w:rPr>
                <w:rFonts w:hint="eastAsia" w:ascii="宋体" w:hAnsi="宋体" w:eastAsia="宋体" w:cs="宋体"/>
                <w:sz w:val="21"/>
                <w:szCs w:val="21"/>
                <w:highlight w:val="none"/>
              </w:rPr>
            </w:pPr>
            <w:r>
              <w:rPr>
                <w:rFonts w:hint="eastAsia" w:ascii="宋体" w:hAnsi="宋体" w:eastAsia="宋体" w:cs="宋体"/>
                <w:sz w:val="21"/>
                <w:szCs w:val="21"/>
                <w:highlight w:val="none"/>
              </w:rPr>
              <w:t>▲3.采购需求及供应商报价文件，作为合同附件。</w:t>
            </w:r>
          </w:p>
          <w:p>
            <w:pPr>
              <w:pStyle w:val="8"/>
              <w:rPr>
                <w:rFonts w:hint="eastAsia" w:ascii="宋体" w:hAnsi="宋体" w:eastAsia="宋体" w:cs="宋体"/>
                <w:sz w:val="21"/>
                <w:szCs w:val="21"/>
                <w:highlight w:val="none"/>
              </w:rPr>
            </w:pPr>
            <w:r>
              <w:rPr>
                <w:rFonts w:hint="eastAsia" w:ascii="宋体" w:hAnsi="宋体" w:eastAsia="宋体" w:cs="宋体"/>
                <w:sz w:val="21"/>
                <w:szCs w:val="21"/>
                <w:highlight w:val="none"/>
              </w:rPr>
              <w:t>4.自中标通知书发出之日起5日内签订合同。</w:t>
            </w:r>
          </w:p>
          <w:p>
            <w:pPr>
              <w:pStyle w:val="7"/>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color w:val="000000" w:themeColor="text1"/>
                <w:sz w:val="21"/>
                <w:szCs w:val="21"/>
                <w:highlight w:val="none"/>
                <w14:textFill>
                  <w14:solidFill>
                    <w14:schemeClr w14:val="tx1"/>
                  </w14:solidFill>
                </w14:textFill>
              </w:rPr>
              <w:t xml:space="preserve"> 本项目在交付安装过程涉及与广西经贸职业技术学院五合新校区建设项目工程总承包方（中铁建设集团有限公司）的交叉施工、配合施工等工作，供应商投标时应充分考虑，并自行与总承包方协商解决；交付安装、施工配合费、水电费、电梯使用费等相关费用包含在投标报价中，由供应商承担。具体金额由成交供应商与工程总承包方（中铁建设集团有限公司）协商确定;</w:t>
            </w:r>
            <w:r>
              <w:rPr>
                <w:rFonts w:hint="eastAsia" w:ascii="宋体" w:hAnsi="宋体" w:eastAsia="宋体" w:cs="宋体"/>
                <w:sz w:val="21"/>
                <w:szCs w:val="21"/>
                <w:highlight w:val="none"/>
              </w:rPr>
              <w:t xml:space="preserve"> 安全文明</w:t>
            </w:r>
            <w:r>
              <w:rPr>
                <w:rFonts w:hint="eastAsia" w:ascii="宋体" w:hAnsi="宋体" w:eastAsia="宋体" w:cs="宋体"/>
                <w:color w:val="000000" w:themeColor="text1"/>
                <w:sz w:val="21"/>
                <w:szCs w:val="21"/>
                <w:highlight w:val="none"/>
                <w14:textFill>
                  <w14:solidFill>
                    <w14:schemeClr w14:val="tx1"/>
                  </w14:solidFill>
                </w14:textFill>
              </w:rPr>
              <w:t>施工</w:t>
            </w:r>
            <w:r>
              <w:rPr>
                <w:rFonts w:hint="eastAsia" w:ascii="宋体" w:hAnsi="宋体" w:eastAsia="宋体" w:cs="宋体"/>
                <w:sz w:val="21"/>
                <w:szCs w:val="21"/>
                <w:highlight w:val="none"/>
              </w:rPr>
              <w:t>保证金按合同金额2%，由成交供应商向工程总承包方（中铁建设集团有限公司）缴纳，项目安装完成后，经总承包方检查复核完毕没有问题或者损坏工作修复完毕，由总承包方无息退还</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gridSpan w:val="2"/>
            <w:vAlign w:val="center"/>
          </w:tcPr>
          <w:p>
            <w:pPr>
              <w:jc w:val="center"/>
            </w:pPr>
            <w:r>
              <w:rPr>
                <w:rFonts w:hint="eastAsia"/>
              </w:rPr>
              <w:t>3</w:t>
            </w:r>
          </w:p>
        </w:tc>
        <w:tc>
          <w:tcPr>
            <w:tcW w:w="1239"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交货（实施）时间、地点</w:t>
            </w:r>
          </w:p>
        </w:tc>
        <w:tc>
          <w:tcPr>
            <w:tcW w:w="12087"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 xml:space="preserve">▲1.签订合同后15个日历日内必须全部供货并安装调试完毕，逾期交货导致影响项目正常投入使用的，采购人有权终止合同，并上报相关部门处理。 </w:t>
            </w:r>
          </w:p>
          <w:p>
            <w:pPr>
              <w:rPr>
                <w:rFonts w:hint="eastAsia" w:ascii="宋体" w:hAnsi="宋体" w:eastAsia="宋体" w:cs="宋体"/>
                <w:sz w:val="21"/>
                <w:szCs w:val="21"/>
              </w:rPr>
            </w:pPr>
            <w:r>
              <w:rPr>
                <w:rFonts w:hint="eastAsia" w:ascii="宋体" w:hAnsi="宋体" w:eastAsia="宋体" w:cs="宋体"/>
                <w:sz w:val="21"/>
                <w:szCs w:val="21"/>
              </w:rPr>
              <w:t>2.交货地点：南宁市内采购人指定地点。</w:t>
            </w:r>
          </w:p>
          <w:p>
            <w:pPr>
              <w:rPr>
                <w:rFonts w:hint="eastAsia" w:ascii="宋体" w:hAnsi="宋体" w:eastAsia="宋体" w:cs="宋体"/>
                <w:sz w:val="21"/>
                <w:szCs w:val="21"/>
              </w:rPr>
            </w:pPr>
            <w:r>
              <w:rPr>
                <w:rFonts w:hint="eastAsia" w:ascii="宋体" w:hAnsi="宋体" w:eastAsia="宋体" w:cs="宋体"/>
                <w:sz w:val="21"/>
                <w:szCs w:val="21"/>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gridSpan w:val="2"/>
            <w:vAlign w:val="center"/>
          </w:tcPr>
          <w:p>
            <w:pPr>
              <w:jc w:val="center"/>
            </w:pPr>
            <w:r>
              <w:rPr>
                <w:rFonts w:hint="eastAsia" w:ascii="宋体" w:hAnsi="宋体" w:eastAsia="宋体"/>
              </w:rPr>
              <w:t>4</w:t>
            </w:r>
          </w:p>
        </w:tc>
        <w:tc>
          <w:tcPr>
            <w:tcW w:w="1239" w:type="dxa"/>
            <w:gridSpan w:val="2"/>
            <w:vAlign w:val="center"/>
          </w:tcPr>
          <w:p>
            <w:pPr>
              <w:rPr>
                <w:rFonts w:hint="eastAsia" w:ascii="宋体" w:hAnsi="宋体" w:eastAsia="宋体" w:cs="宋体"/>
                <w:sz w:val="21"/>
                <w:szCs w:val="21"/>
                <w:highlight w:val="none"/>
              </w:rPr>
            </w:pPr>
            <w:r>
              <w:rPr>
                <w:rFonts w:hint="eastAsia" w:ascii="宋体" w:hAnsi="宋体" w:eastAsia="宋体" w:cs="宋体"/>
                <w:sz w:val="21"/>
                <w:szCs w:val="21"/>
              </w:rPr>
              <w:t>▲</w:t>
            </w:r>
            <w:r>
              <w:rPr>
                <w:rFonts w:hint="eastAsia" w:ascii="宋体" w:hAnsi="宋体" w:eastAsia="宋体" w:cs="宋体"/>
                <w:sz w:val="21"/>
                <w:szCs w:val="21"/>
                <w:highlight w:val="none"/>
              </w:rPr>
              <w:t>产品要求</w:t>
            </w:r>
          </w:p>
        </w:tc>
        <w:tc>
          <w:tcPr>
            <w:tcW w:w="12087" w:type="dxa"/>
            <w:gridSpan w:val="2"/>
            <w:vAlign w:val="center"/>
          </w:tcPr>
          <w:p>
            <w:pPr>
              <w:pStyle w:val="7"/>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投标时</w:t>
            </w:r>
            <w:r>
              <w:rPr>
                <w:rStyle w:val="30"/>
                <w:rFonts w:hint="eastAsia" w:ascii="宋体" w:hAnsi="宋体" w:eastAsia="宋体" w:cs="宋体"/>
                <w:b w:val="0"/>
                <w:bCs w:val="0"/>
                <w:color w:val="auto"/>
                <w:sz w:val="21"/>
                <w:szCs w:val="21"/>
                <w:highlight w:val="none"/>
                <w:shd w:val="clear" w:color="auto" w:fill="auto"/>
              </w:rPr>
              <w:t>需</w:t>
            </w:r>
            <w:r>
              <w:rPr>
                <w:rFonts w:hint="eastAsia" w:ascii="宋体" w:hAnsi="宋体" w:eastAsia="宋体" w:cs="宋体"/>
                <w:color w:val="auto"/>
                <w:sz w:val="21"/>
                <w:szCs w:val="21"/>
                <w:highlight w:val="none"/>
                <w:shd w:val="clear" w:color="auto" w:fill="auto"/>
              </w:rPr>
              <w:t>提供自2022年1月1日以来国家认可的第三方检测机构出具符合国家标准并合格的“封边胶、刨花板、粉末、金属表面纳米抗菌静电喷涂膜（喷涂钢板）、层板、防潮可调脚”的检测报告扫描件或其他电子文件，并加盖报价人公章，原件备查，且检测报告必须能在全国认证认可信息公共服务平台（http：//cx.cnca.cn）上查询，若存在虚假应标，采购人有权追究其法律责任并向</w:t>
            </w:r>
            <w:r>
              <w:rPr>
                <w:rFonts w:hint="eastAsia" w:ascii="宋体" w:hAnsi="宋体" w:eastAsia="宋体" w:cs="宋体"/>
                <w:i w:val="0"/>
                <w:iCs w:val="0"/>
                <w:caps w:val="0"/>
                <w:color w:val="auto"/>
                <w:spacing w:val="0"/>
                <w:sz w:val="21"/>
                <w:szCs w:val="21"/>
                <w:highlight w:val="none"/>
                <w:shd w:val="clear" w:color="auto" w:fill="auto"/>
              </w:rPr>
              <w:t>平台或政府采购管理部门</w:t>
            </w:r>
            <w:r>
              <w:rPr>
                <w:rFonts w:hint="eastAsia" w:ascii="宋体" w:hAnsi="宋体" w:eastAsia="宋体" w:cs="宋体"/>
                <w:color w:val="auto"/>
                <w:sz w:val="21"/>
                <w:szCs w:val="21"/>
                <w:highlight w:val="none"/>
                <w:shd w:val="clear" w:color="auto" w:fill="auto"/>
              </w:rPr>
              <w:t>举报</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i w:val="0"/>
                <w:iCs w:val="0"/>
                <w:caps w:val="0"/>
                <w:color w:val="auto"/>
                <w:spacing w:val="0"/>
                <w:sz w:val="21"/>
                <w:szCs w:val="21"/>
                <w:highlight w:val="none"/>
                <w:shd w:val="clear" w:color="auto" w:fill="auto"/>
              </w:rPr>
              <w:t>违约处理将在政采云全平台各区划联动生效</w:t>
            </w:r>
            <w:r>
              <w:rPr>
                <w:rFonts w:hint="eastAsia" w:ascii="宋体" w:hAnsi="宋体" w:eastAsia="宋体" w:cs="宋体"/>
                <w:i w:val="0"/>
                <w:iCs w:val="0"/>
                <w:caps w:val="0"/>
                <w:color w:val="auto"/>
                <w:spacing w:val="0"/>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gridSpan w:val="2"/>
            <w:vAlign w:val="center"/>
          </w:tcPr>
          <w:p>
            <w:pPr>
              <w:jc w:val="center"/>
              <w:rPr>
                <w:rFonts w:ascii="宋体" w:hAnsi="宋体" w:eastAsia="宋体"/>
              </w:rPr>
            </w:pPr>
            <w:r>
              <w:rPr>
                <w:rFonts w:hint="eastAsia" w:ascii="宋体" w:hAnsi="宋体" w:eastAsia="宋体"/>
              </w:rPr>
              <w:t>5</w:t>
            </w:r>
          </w:p>
        </w:tc>
        <w:tc>
          <w:tcPr>
            <w:tcW w:w="123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▲履约保证金</w:t>
            </w:r>
          </w:p>
        </w:tc>
        <w:tc>
          <w:tcPr>
            <w:tcW w:w="12087" w:type="dxa"/>
            <w:gridSpan w:val="2"/>
          </w:tcPr>
          <w:p>
            <w:pPr>
              <w:rPr>
                <w:rFonts w:hint="eastAsia" w:ascii="宋体" w:hAnsi="宋体" w:eastAsia="宋体" w:cs="宋体"/>
                <w:sz w:val="21"/>
                <w:szCs w:val="21"/>
              </w:rPr>
            </w:pPr>
            <w:r>
              <w:rPr>
                <w:rFonts w:hint="eastAsia" w:ascii="宋体" w:hAnsi="宋体" w:eastAsia="宋体" w:cs="宋体"/>
                <w:sz w:val="21"/>
                <w:szCs w:val="21"/>
              </w:rPr>
              <w:t>1.中标公告发出后5个日历日内，合同签订之前，供应商按合同金额的5%向采购人提交履约保证金(中标供应商为中小微企业的按合同金额的2%提交履约保证金，投标时提供中小企业声明函)，履约保证金在本项目货物履约期满后中标供应商提交退还履约保证金函之日起5个工作日内无息返还。</w:t>
            </w:r>
          </w:p>
          <w:p>
            <w:pPr>
              <w:rPr>
                <w:rFonts w:hint="eastAsia" w:ascii="宋体" w:hAnsi="宋体" w:eastAsia="宋体" w:cs="宋体"/>
                <w:sz w:val="21"/>
                <w:szCs w:val="21"/>
              </w:rPr>
            </w:pPr>
            <w:r>
              <w:rPr>
                <w:rFonts w:hint="eastAsia" w:ascii="宋体" w:hAnsi="宋体" w:eastAsia="宋体" w:cs="宋体"/>
                <w:sz w:val="21"/>
                <w:szCs w:val="21"/>
              </w:rPr>
              <w:t>（注：供应商采用转账方式提交履约保证金的，须从供应商基本账户汇出到达指定账户，并持银行转账凭证到采购人财务处开具收据。）</w:t>
            </w:r>
          </w:p>
          <w:p>
            <w:pPr>
              <w:rPr>
                <w:rFonts w:hint="eastAsia" w:ascii="宋体" w:hAnsi="宋体" w:eastAsia="宋体" w:cs="宋体"/>
                <w:sz w:val="21"/>
                <w:szCs w:val="21"/>
              </w:rPr>
            </w:pPr>
            <w:r>
              <w:rPr>
                <w:rFonts w:hint="eastAsia" w:ascii="宋体" w:hAnsi="宋体" w:eastAsia="宋体" w:cs="宋体"/>
                <w:sz w:val="21"/>
                <w:szCs w:val="21"/>
              </w:rPr>
              <w:t>2.履约保证金不予退还情况，包括但不限于。</w:t>
            </w:r>
          </w:p>
          <w:p>
            <w:pPr>
              <w:rPr>
                <w:rFonts w:hint="eastAsia" w:ascii="宋体" w:hAnsi="宋体" w:eastAsia="宋体" w:cs="宋体"/>
                <w:sz w:val="21"/>
                <w:szCs w:val="21"/>
              </w:rPr>
            </w:pPr>
            <w:r>
              <w:rPr>
                <w:rFonts w:hint="eastAsia" w:ascii="宋体" w:hAnsi="宋体" w:eastAsia="宋体" w:cs="宋体"/>
                <w:sz w:val="21"/>
                <w:szCs w:val="21"/>
              </w:rPr>
              <w:t>（1）供应商不按文件要求签订合同的。</w:t>
            </w:r>
          </w:p>
          <w:p>
            <w:pPr>
              <w:rPr>
                <w:rFonts w:hint="eastAsia" w:ascii="宋体" w:hAnsi="宋体" w:eastAsia="宋体" w:cs="宋体"/>
                <w:sz w:val="21"/>
                <w:szCs w:val="21"/>
              </w:rPr>
            </w:pPr>
            <w:r>
              <w:rPr>
                <w:rFonts w:hint="eastAsia" w:ascii="宋体" w:hAnsi="宋体" w:eastAsia="宋体" w:cs="宋体"/>
                <w:sz w:val="21"/>
                <w:szCs w:val="21"/>
              </w:rPr>
              <w:t>（2）若验收结果不合格的，履约保证金将不予退还，并按合同约定处理，还可能会报告本项目同级财政部门并按照政府采购法律法规及有关规定给予行政处罚或者以失信行为记入诚信档案。</w:t>
            </w:r>
          </w:p>
          <w:p>
            <w:pPr>
              <w:rPr>
                <w:rFonts w:hint="eastAsia" w:ascii="宋体" w:hAnsi="宋体" w:eastAsia="宋体" w:cs="宋体"/>
                <w:sz w:val="21"/>
                <w:szCs w:val="21"/>
              </w:rPr>
            </w:pPr>
            <w:r>
              <w:rPr>
                <w:rFonts w:hint="eastAsia" w:ascii="宋体" w:hAnsi="宋体" w:eastAsia="宋体" w:cs="宋体"/>
                <w:sz w:val="21"/>
                <w:szCs w:val="21"/>
              </w:rPr>
              <w:t>（3）成交供应商不履行合同约定的义务或其履行不符合合同的约定，采购人有权扣划全部或相应金额的履约保证金。</w:t>
            </w:r>
          </w:p>
          <w:p>
            <w:pPr>
              <w:rPr>
                <w:rFonts w:hint="eastAsia" w:ascii="宋体" w:hAnsi="宋体" w:eastAsia="宋体" w:cs="宋体"/>
                <w:sz w:val="21"/>
                <w:szCs w:val="21"/>
              </w:rPr>
            </w:pPr>
            <w:r>
              <w:rPr>
                <w:rFonts w:hint="eastAsia" w:ascii="宋体" w:hAnsi="宋体" w:eastAsia="宋体" w:cs="宋体"/>
                <w:sz w:val="21"/>
                <w:szCs w:val="21"/>
              </w:rPr>
              <w:t>3..账户信息</w:t>
            </w:r>
          </w:p>
          <w:p>
            <w:pPr>
              <w:rPr>
                <w:rFonts w:hint="eastAsia" w:ascii="宋体" w:hAnsi="宋体" w:eastAsia="宋体" w:cs="宋体"/>
                <w:sz w:val="21"/>
                <w:szCs w:val="21"/>
              </w:rPr>
            </w:pPr>
            <w:r>
              <w:rPr>
                <w:rFonts w:hint="eastAsia" w:ascii="宋体" w:hAnsi="宋体" w:eastAsia="宋体" w:cs="宋体"/>
                <w:sz w:val="21"/>
                <w:szCs w:val="21"/>
              </w:rPr>
              <w:t>开户名称：广西经贸职业技术学院；</w:t>
            </w:r>
          </w:p>
          <w:p>
            <w:pPr>
              <w:rPr>
                <w:rFonts w:hint="eastAsia" w:ascii="宋体" w:hAnsi="宋体" w:eastAsia="宋体" w:cs="宋体"/>
                <w:sz w:val="21"/>
                <w:szCs w:val="21"/>
              </w:rPr>
            </w:pPr>
            <w:r>
              <w:rPr>
                <w:rFonts w:hint="eastAsia" w:ascii="宋体" w:hAnsi="宋体" w:eastAsia="宋体" w:cs="宋体"/>
                <w:sz w:val="21"/>
                <w:szCs w:val="21"/>
              </w:rPr>
              <w:t>开户银行：中国建设银行南宁青山路支行；</w:t>
            </w:r>
          </w:p>
          <w:p>
            <w:pPr>
              <w:rPr>
                <w:rFonts w:hint="eastAsia" w:ascii="宋体" w:hAnsi="宋体" w:eastAsia="宋体" w:cs="宋体"/>
                <w:sz w:val="21"/>
                <w:szCs w:val="21"/>
              </w:rPr>
            </w:pPr>
            <w:r>
              <w:rPr>
                <w:rFonts w:hint="eastAsia" w:ascii="宋体" w:hAnsi="宋体" w:eastAsia="宋体" w:cs="宋体"/>
                <w:sz w:val="21"/>
                <w:szCs w:val="21"/>
              </w:rPr>
              <w:t>银行账号：45001604556050701379；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gridSpan w:val="2"/>
            <w:vAlign w:val="center"/>
          </w:tcPr>
          <w:p>
            <w:pPr>
              <w:jc w:val="center"/>
              <w:rPr>
                <w:rFonts w:ascii="宋体" w:hAnsi="宋体" w:eastAsia="宋体"/>
              </w:rPr>
            </w:pPr>
            <w:r>
              <w:rPr>
                <w:rFonts w:hint="eastAsia" w:ascii="宋体" w:hAnsi="宋体" w:eastAsia="宋体"/>
              </w:rPr>
              <w:t>6</w:t>
            </w:r>
          </w:p>
        </w:tc>
        <w:tc>
          <w:tcPr>
            <w:tcW w:w="123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付款方式、时间及条件</w:t>
            </w:r>
          </w:p>
        </w:tc>
        <w:tc>
          <w:tcPr>
            <w:tcW w:w="12087"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1．供应商按采购合同服务、交货并安装调试完成后或服务完成后，经采购人验收合格；</w:t>
            </w:r>
          </w:p>
          <w:p>
            <w:pPr>
              <w:rPr>
                <w:rFonts w:hint="eastAsia" w:ascii="宋体" w:hAnsi="宋体" w:eastAsia="宋体" w:cs="宋体"/>
                <w:sz w:val="21"/>
                <w:szCs w:val="21"/>
              </w:rPr>
            </w:pPr>
            <w:r>
              <w:rPr>
                <w:rFonts w:hint="eastAsia" w:ascii="宋体" w:hAnsi="宋体" w:eastAsia="宋体" w:cs="宋体"/>
                <w:sz w:val="21"/>
                <w:szCs w:val="21"/>
              </w:rPr>
              <w:t>2．票据要求：付款前成交供应商必须按照合同要求提供真实、有效、合法的正式发票。一旦发现成交供应商提供虚假发票，除须向采购人补开合法发票外，须赔偿采购人发票票面金额一倍的违约金，且采购人有权终止合同，因终止合同而产生的一切损失均由供应商承担。</w:t>
            </w:r>
          </w:p>
          <w:p>
            <w:pPr>
              <w:rPr>
                <w:rFonts w:hint="eastAsia" w:ascii="宋体" w:hAnsi="宋体" w:eastAsia="宋体" w:cs="宋体"/>
                <w:sz w:val="21"/>
                <w:szCs w:val="21"/>
              </w:rPr>
            </w:pPr>
            <w:r>
              <w:rPr>
                <w:rFonts w:hint="eastAsia" w:ascii="宋体" w:hAnsi="宋体" w:eastAsia="宋体" w:cs="宋体"/>
                <w:sz w:val="21"/>
                <w:szCs w:val="21"/>
              </w:rPr>
              <w:t>3．采购人经检查票据合格后，15个工作日内支付100%合同价款。</w:t>
            </w:r>
          </w:p>
          <w:p>
            <w:pPr>
              <w:pStyle w:val="7"/>
              <w:rPr>
                <w:rFonts w:hint="eastAsia" w:ascii="宋体" w:hAnsi="宋体" w:eastAsia="宋体" w:cs="宋体"/>
                <w:sz w:val="21"/>
                <w:szCs w:val="21"/>
              </w:rPr>
            </w:pPr>
            <w:r>
              <w:rPr>
                <w:rFonts w:hint="eastAsia" w:ascii="宋体" w:hAnsi="宋体" w:eastAsia="宋体" w:cs="宋体"/>
                <w:sz w:val="21"/>
                <w:szCs w:val="21"/>
              </w:rPr>
              <w:t>4．本合同使用货币币制如未作特别说明均为人民币。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gridSpan w:val="2"/>
            <w:vAlign w:val="center"/>
          </w:tcPr>
          <w:p>
            <w:pPr>
              <w:jc w:val="center"/>
              <w:rPr>
                <w:rFonts w:ascii="宋体" w:hAnsi="宋体" w:eastAsia="宋体"/>
              </w:rPr>
            </w:pPr>
            <w:r>
              <w:rPr>
                <w:rFonts w:hint="eastAsia" w:ascii="宋体" w:hAnsi="宋体" w:eastAsia="宋体"/>
              </w:rPr>
              <w:t>7</w:t>
            </w:r>
          </w:p>
        </w:tc>
        <w:tc>
          <w:tcPr>
            <w:tcW w:w="123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验收、交付要求：</w:t>
            </w:r>
          </w:p>
        </w:tc>
        <w:tc>
          <w:tcPr>
            <w:tcW w:w="12087" w:type="dxa"/>
            <w:gridSpan w:val="2"/>
            <w:vAlign w:val="center"/>
          </w:tcPr>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初步验收：货物运抵采购人指定地点后，采购人对成交供应商提交的货物依据本合同及在线询价文件上的技术规格要求和国家有关质量标准进行现场初步验收，外观、说明书符合在线询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10 日内予以补救，所产生的费用及法律后果由成交供应商承担。</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最终验收：货物经安装完成且符合技术要求后，采购人进行最终验收。验收时成交供应商必须在现场。货物符合合同约定的技术规范要求和验收标准的，采购人签署验收合格证明。如货物不符合合同约定的要求的，成交供应商应当在 10 日内采取措施消除缺陷后重新申请终验，并承担由此产生的费用。</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▲3.供货时提供自2022年1月1日以来国家认可的第三方检测机构出具符合国家标准并合格的“金属表面纳米抗菌静电喷涂膜（喷涂钢板）” 检测报告</w:t>
            </w:r>
            <w:r>
              <w:rPr>
                <w:rFonts w:hint="eastAsia" w:ascii="宋体" w:hAnsi="宋体" w:eastAsia="宋体" w:cs="宋体"/>
                <w:color w:val="auto"/>
                <w:sz w:val="21"/>
                <w:szCs w:val="21"/>
                <w:highlight w:val="none"/>
                <w:lang w:val="en-US" w:eastAsia="zh-CN"/>
              </w:rPr>
              <w:t>原件</w:t>
            </w:r>
            <w:r>
              <w:rPr>
                <w:rFonts w:hint="eastAsia" w:ascii="宋体" w:hAnsi="宋体" w:eastAsia="宋体" w:cs="宋体"/>
                <w:color w:val="auto"/>
                <w:sz w:val="21"/>
                <w:szCs w:val="21"/>
                <w:highlight w:val="none"/>
              </w:rPr>
              <w:t>，检测报告包含但不限于以下内容：硬度、干附着力、耐冲击、金黄色葡萄球菌抗菌率≥99.99%、大肠杆菌抗菌率≥99.99%等。“层板”检测报告</w:t>
            </w:r>
            <w:r>
              <w:rPr>
                <w:rFonts w:hint="eastAsia" w:ascii="宋体" w:hAnsi="宋体" w:eastAsia="宋体" w:cs="宋体"/>
                <w:color w:val="auto"/>
                <w:sz w:val="21"/>
                <w:szCs w:val="21"/>
                <w:highlight w:val="none"/>
                <w:lang w:val="en-US" w:eastAsia="zh-CN"/>
              </w:rPr>
              <w:t>原件</w:t>
            </w:r>
            <w:r>
              <w:rPr>
                <w:rFonts w:hint="eastAsia" w:ascii="宋体" w:hAnsi="宋体" w:eastAsia="宋体" w:cs="宋体"/>
                <w:color w:val="auto"/>
                <w:sz w:val="21"/>
                <w:szCs w:val="21"/>
                <w:highlight w:val="none"/>
              </w:rPr>
              <w:t>，检测报告包含但不限于以下内容：粗糙度、表面电阻率、抗拉强度、硬度、附着力等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检测报告，采购人有权向出具报告或证书的单位进行查验复核，且报告必须能在全国认证认可信息公共服务平台（http：//cx.cnca.cn）上查询，如提供的原件与报价时提供的检测报告复印件不一致，采购人有权取消中标供应商的资格并上报平台或政府采购管理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检测报告包含但不限于需求内容，检测报告需是投标人自己送检的合格检测报告，加盖投标人公章，如未提供上述检测报告，</w:t>
            </w:r>
            <w:r>
              <w:rPr>
                <w:rFonts w:hint="eastAsia" w:ascii="宋体" w:hAnsi="宋体" w:eastAsia="宋体" w:cs="宋体"/>
                <w:b w:val="0"/>
                <w:bCs w:val="0"/>
                <w:i w:val="0"/>
                <w:iCs w:val="0"/>
                <w:caps w:val="0"/>
                <w:color w:val="auto"/>
                <w:spacing w:val="0"/>
                <w:sz w:val="21"/>
                <w:szCs w:val="21"/>
                <w:highlight w:val="none"/>
                <w:shd w:val="clear" w:fill="FFFFFF"/>
              </w:rPr>
              <w:t>则视为货物</w:t>
            </w:r>
            <w:r>
              <w:rPr>
                <w:rFonts w:hint="eastAsia" w:ascii="宋体" w:hAnsi="宋体" w:eastAsia="宋体" w:cs="宋体"/>
                <w:color w:val="auto"/>
                <w:sz w:val="21"/>
                <w:szCs w:val="21"/>
                <w:highlight w:val="none"/>
              </w:rPr>
              <w:t>检测</w:t>
            </w:r>
            <w:r>
              <w:rPr>
                <w:rFonts w:hint="eastAsia" w:ascii="宋体" w:hAnsi="宋体" w:eastAsia="宋体" w:cs="宋体"/>
                <w:b w:val="0"/>
                <w:bCs w:val="0"/>
                <w:i w:val="0"/>
                <w:iCs w:val="0"/>
                <w:caps w:val="0"/>
                <w:color w:val="auto"/>
                <w:spacing w:val="0"/>
                <w:sz w:val="21"/>
                <w:szCs w:val="21"/>
                <w:highlight w:val="none"/>
                <w:shd w:val="clear" w:fill="FFFFFF"/>
              </w:rPr>
              <w:t>不合格</w:t>
            </w:r>
            <w:r>
              <w:rPr>
                <w:rFonts w:hint="eastAsia" w:ascii="宋体" w:hAnsi="宋体" w:eastAsia="宋体" w:cs="宋体"/>
                <w:b w:val="0"/>
                <w:bCs w:val="0"/>
                <w:i w:val="0"/>
                <w:iCs w:val="0"/>
                <w:caps w:val="0"/>
                <w:color w:val="auto"/>
                <w:spacing w:val="0"/>
                <w:sz w:val="21"/>
                <w:szCs w:val="21"/>
                <w:highlight w:val="none"/>
                <w:shd w:val="clear" w:fill="FFFFFF"/>
                <w:lang w:eastAsia="zh-CN"/>
              </w:rPr>
              <w:t>，</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不予验收。</w:t>
            </w:r>
            <w:r>
              <w:rPr>
                <w:rFonts w:hint="eastAsia" w:ascii="宋体" w:hAnsi="宋体" w:eastAsia="宋体" w:cs="宋体"/>
                <w:b w:val="0"/>
                <w:bCs w:val="0"/>
                <w:i w:val="0"/>
                <w:iCs w:val="0"/>
                <w:caps w:val="0"/>
                <w:color w:val="000000"/>
                <w:spacing w:val="0"/>
                <w:sz w:val="21"/>
                <w:szCs w:val="21"/>
                <w:highlight w:val="none"/>
                <w:shd w:val="clear" w:fill="FFFFFF"/>
              </w:rPr>
              <w:t>如因此过程耽误交货时间导致采购人不能及时接受货物、安装货物、使用货物造成损失的，中标人承担由此所造成全部损失。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2" w:type="dxa"/>
            <w:vAlign w:val="center"/>
          </w:tcPr>
          <w:p>
            <w:pPr>
              <w:jc w:val="center"/>
              <w:rPr>
                <w:rFonts w:ascii="宋体" w:hAnsi="宋体" w:eastAsia="宋体"/>
              </w:rPr>
            </w:pPr>
            <w:r>
              <w:rPr>
                <w:rFonts w:hint="eastAsia" w:ascii="宋体" w:hAnsi="宋体" w:eastAsia="宋体"/>
              </w:rPr>
              <w:t>8</w:t>
            </w:r>
          </w:p>
        </w:tc>
        <w:tc>
          <w:tcPr>
            <w:tcW w:w="1245" w:type="dxa"/>
            <w:gridSpan w:val="2"/>
            <w:vAlign w:val="center"/>
          </w:tcPr>
          <w:p>
            <w:pPr>
              <w:jc w:val="center"/>
              <w:rPr>
                <w:rFonts w:ascii="宋体" w:hAnsi="宋体" w:eastAsia="宋体"/>
              </w:rPr>
            </w:pPr>
            <w:r>
              <w:rPr>
                <w:rFonts w:hint="eastAsia" w:ascii="宋体" w:hAnsi="宋体" w:eastAsia="宋体"/>
              </w:rPr>
              <w:t>售后服务要求</w:t>
            </w:r>
          </w:p>
        </w:tc>
        <w:tc>
          <w:tcPr>
            <w:tcW w:w="12087" w:type="dxa"/>
            <w:gridSpan w:val="2"/>
            <w:vAlign w:val="center"/>
          </w:tcPr>
          <w:p>
            <w:pPr>
              <w:pStyle w:val="21"/>
              <w:numPr>
                <w:ilvl w:val="255"/>
                <w:numId w:val="0"/>
              </w:numPr>
              <w:tabs>
                <w:tab w:val="center" w:pos="4153"/>
                <w:tab w:val="right" w:pos="8306"/>
              </w:tabs>
              <w:snapToGrid w:val="0"/>
              <w:rPr>
                <w:rFonts w:ascii="宋体" w:hAnsi="宋体" w:eastAsia="宋体"/>
              </w:rPr>
            </w:pPr>
            <w:r>
              <w:rPr>
                <w:rFonts w:hint="eastAsia" w:ascii="宋体" w:hAnsi="宋体" w:eastAsia="宋体"/>
              </w:rPr>
              <w:t>1.为确保货物质量，中标人签订合同时必须提供售后服务承诺书原件（加盖公章），如无法提供的，视为虚假应标，取消成交资格。</w:t>
            </w:r>
          </w:p>
          <w:p>
            <w:pPr>
              <w:pStyle w:val="21"/>
              <w:numPr>
                <w:ilvl w:val="255"/>
                <w:numId w:val="0"/>
              </w:numPr>
              <w:tabs>
                <w:tab w:val="center" w:pos="4153"/>
                <w:tab w:val="right" w:pos="8306"/>
              </w:tabs>
              <w:snapToGrid w:val="0"/>
              <w:rPr>
                <w:rFonts w:ascii="宋体" w:hAnsi="宋体" w:eastAsia="宋体"/>
              </w:rPr>
            </w:pPr>
            <w:r>
              <w:rPr>
                <w:rFonts w:hint="eastAsia" w:ascii="宋体" w:hAnsi="宋体" w:eastAsia="宋体"/>
              </w:rPr>
              <w:t>2.项目整体安装完毕，最终验收合格之日起，质保期内所有货物免费上门维修服务、免费更换零部件，更换所用货物不得低于竞标标准。质保期满后，如需更换货物零部件，成交供应商须保证提供优惠价格的配件和服务。</w:t>
            </w:r>
          </w:p>
          <w:p>
            <w:pPr>
              <w:pStyle w:val="21"/>
              <w:numPr>
                <w:ilvl w:val="255"/>
                <w:numId w:val="0"/>
              </w:numPr>
              <w:tabs>
                <w:tab w:val="center" w:pos="4153"/>
                <w:tab w:val="right" w:pos="8306"/>
              </w:tabs>
              <w:snapToGrid w:val="0"/>
              <w:rPr>
                <w:rFonts w:ascii="宋体" w:hAnsi="宋体" w:eastAsia="宋体"/>
              </w:rPr>
            </w:pPr>
            <w:r>
              <w:rPr>
                <w:rFonts w:hint="eastAsia" w:ascii="宋体" w:hAnsi="宋体" w:eastAsia="宋体"/>
              </w:rPr>
              <w:t>3.在质保期内货物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pPr>
              <w:rPr>
                <w:rFonts w:ascii="宋体" w:hAnsi="宋体" w:eastAsia="宋体"/>
              </w:rPr>
            </w:pPr>
            <w:r>
              <w:rPr>
                <w:rFonts w:hint="eastAsia" w:ascii="宋体" w:hAnsi="宋体" w:eastAsia="宋体"/>
              </w:rPr>
              <w:t>投标人应充分考虑供货成本及参数要求再进行报价，如投标人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2" w:type="dxa"/>
            <w:vAlign w:val="center"/>
          </w:tcPr>
          <w:p>
            <w:pPr>
              <w:jc w:val="center"/>
              <w:rPr>
                <w:rFonts w:ascii="宋体" w:hAnsi="宋体" w:eastAsia="宋体"/>
              </w:rPr>
            </w:pPr>
            <w:r>
              <w:rPr>
                <w:rFonts w:hint="eastAsia" w:ascii="宋体" w:hAnsi="宋体" w:eastAsia="宋体"/>
              </w:rPr>
              <w:t>9</w:t>
            </w:r>
          </w:p>
        </w:tc>
        <w:tc>
          <w:tcPr>
            <w:tcW w:w="1245" w:type="dxa"/>
            <w:gridSpan w:val="2"/>
            <w:vAlign w:val="center"/>
          </w:tcPr>
          <w:p>
            <w:pPr>
              <w:jc w:val="center"/>
              <w:rPr>
                <w:rFonts w:ascii="宋体" w:hAnsi="宋体" w:eastAsia="宋体"/>
              </w:rPr>
            </w:pPr>
            <w:r>
              <w:rPr>
                <w:rFonts w:hint="eastAsia" w:ascii="宋体" w:hAnsi="宋体" w:eastAsia="宋体"/>
              </w:rPr>
              <w:t>培训</w:t>
            </w:r>
          </w:p>
        </w:tc>
        <w:tc>
          <w:tcPr>
            <w:tcW w:w="12087" w:type="dxa"/>
            <w:gridSpan w:val="2"/>
            <w:vAlign w:val="center"/>
          </w:tcPr>
          <w:p>
            <w:pPr>
              <w:rPr>
                <w:rFonts w:ascii="宋体" w:hAnsi="宋体" w:eastAsia="宋体"/>
              </w:rPr>
            </w:pPr>
            <w:r>
              <w:rPr>
                <w:rFonts w:hint="eastAsia" w:ascii="宋体" w:hAnsi="宋体" w:eastAsia="宋体"/>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2" w:type="dxa"/>
            <w:vAlign w:val="center"/>
          </w:tcPr>
          <w:p>
            <w:pPr>
              <w:jc w:val="center"/>
              <w:rPr>
                <w:rFonts w:ascii="宋体" w:hAnsi="宋体" w:eastAsia="宋体"/>
              </w:rPr>
            </w:pPr>
            <w:r>
              <w:rPr>
                <w:rFonts w:hint="eastAsia" w:ascii="宋体" w:hAnsi="宋体" w:eastAsia="宋体"/>
              </w:rPr>
              <w:t>10</w:t>
            </w:r>
          </w:p>
        </w:tc>
        <w:tc>
          <w:tcPr>
            <w:tcW w:w="1245" w:type="dxa"/>
            <w:gridSpan w:val="2"/>
            <w:vAlign w:val="center"/>
          </w:tcPr>
          <w:p>
            <w:pPr>
              <w:jc w:val="center"/>
              <w:rPr>
                <w:rFonts w:ascii="宋体" w:hAnsi="宋体" w:eastAsia="宋体"/>
              </w:rPr>
            </w:pPr>
            <w:r>
              <w:rPr>
                <w:rFonts w:hint="eastAsia" w:ascii="宋体" w:hAnsi="宋体" w:eastAsia="宋体" w:cs="宋体"/>
                <w:szCs w:val="21"/>
              </w:rPr>
              <w:t>▲</w:t>
            </w:r>
            <w:r>
              <w:rPr>
                <w:rFonts w:hint="eastAsia" w:ascii="宋体" w:hAnsi="宋体" w:eastAsia="宋体"/>
              </w:rPr>
              <w:t>知识产权</w:t>
            </w:r>
          </w:p>
        </w:tc>
        <w:tc>
          <w:tcPr>
            <w:tcW w:w="12087" w:type="dxa"/>
            <w:gridSpan w:val="2"/>
            <w:vAlign w:val="center"/>
          </w:tcPr>
          <w:p>
            <w:pPr>
              <w:rPr>
                <w:rFonts w:ascii="宋体" w:hAnsi="宋体" w:eastAsia="宋体"/>
              </w:rPr>
            </w:pPr>
            <w:r>
              <w:rPr>
                <w:rFonts w:hint="eastAsia" w:ascii="宋体" w:hAnsi="宋体" w:eastAsia="宋体"/>
              </w:rPr>
              <w:t>采购人在中华人民共和国境内使用供应商提供的产品、服务、推广平台、课程教学设计、制作的课程、微课、PPT文稿及文本、视频、使用的题库，不受第三方提出的侵犯其专利权或其它知识产权的起诉。如果第三方提出侵权指控，中标人应承担由此而引起的一切法律责任和费用。成交供应商按成交金额的10%赔偿采购人，并支付采购人5万元每次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2" w:type="dxa"/>
            <w:vAlign w:val="center"/>
          </w:tcPr>
          <w:p>
            <w:pPr>
              <w:jc w:val="center"/>
              <w:rPr>
                <w:rFonts w:ascii="宋体" w:hAnsi="宋体" w:eastAsia="宋体"/>
              </w:rPr>
            </w:pPr>
            <w:r>
              <w:rPr>
                <w:rFonts w:hint="eastAsia" w:ascii="宋体" w:hAnsi="宋体" w:eastAsia="宋体"/>
              </w:rPr>
              <w:t>11</w:t>
            </w:r>
          </w:p>
        </w:tc>
        <w:tc>
          <w:tcPr>
            <w:tcW w:w="1245" w:type="dxa"/>
            <w:gridSpan w:val="2"/>
            <w:vAlign w:val="center"/>
          </w:tcPr>
          <w:p>
            <w:pPr>
              <w:pStyle w:val="10"/>
              <w:jc w:val="both"/>
              <w:rPr>
                <w:rFonts w:ascii="宋体" w:hAnsi="宋体" w:eastAsia="宋体" w:cs="仿宋"/>
                <w:color w:val="000000"/>
                <w:kern w:val="0"/>
                <w:sz w:val="21"/>
                <w:szCs w:val="21"/>
              </w:rPr>
            </w:pPr>
            <w:r>
              <w:rPr>
                <w:rFonts w:hint="eastAsia" w:ascii="宋体" w:hAnsi="宋体" w:eastAsia="宋体" w:cs="宋体"/>
                <w:szCs w:val="21"/>
              </w:rPr>
              <w:t>▲</w:t>
            </w:r>
            <w:r>
              <w:rPr>
                <w:rFonts w:hint="eastAsia" w:ascii="宋体" w:hAnsi="宋体" w:eastAsia="宋体" w:cs="仿宋"/>
                <w:color w:val="000000"/>
                <w:kern w:val="0"/>
                <w:sz w:val="21"/>
                <w:szCs w:val="21"/>
              </w:rPr>
              <w:t>诚信要求</w:t>
            </w:r>
          </w:p>
        </w:tc>
        <w:tc>
          <w:tcPr>
            <w:tcW w:w="12087" w:type="dxa"/>
            <w:gridSpan w:val="2"/>
          </w:tcPr>
          <w:p>
            <w:pPr>
              <w:jc w:val="left"/>
              <w:rPr>
                <w:rFonts w:ascii="宋体" w:hAnsi="宋体" w:eastAsia="宋体"/>
                <w:szCs w:val="21"/>
              </w:rPr>
            </w:pPr>
            <w:r>
              <w:rPr>
                <w:rFonts w:hint="eastAsia" w:ascii="宋体" w:hAnsi="宋体" w:eastAsia="宋体" w:cs="仿宋"/>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2" w:type="dxa"/>
            <w:vAlign w:val="center"/>
          </w:tcPr>
          <w:p>
            <w:pPr>
              <w:jc w:val="center"/>
              <w:rPr>
                <w:rFonts w:ascii="宋体" w:hAnsi="宋体" w:eastAsia="宋体"/>
              </w:rPr>
            </w:pPr>
            <w:r>
              <w:rPr>
                <w:rFonts w:hint="eastAsia" w:ascii="宋体" w:hAnsi="宋体" w:eastAsia="宋体"/>
              </w:rPr>
              <w:t>12</w:t>
            </w:r>
          </w:p>
        </w:tc>
        <w:tc>
          <w:tcPr>
            <w:tcW w:w="1245" w:type="dxa"/>
            <w:gridSpan w:val="2"/>
            <w:vAlign w:val="center"/>
          </w:tcPr>
          <w:p>
            <w:pPr>
              <w:jc w:val="center"/>
              <w:rPr>
                <w:rFonts w:ascii="宋体" w:hAnsi="宋体" w:eastAsia="宋体"/>
              </w:rPr>
            </w:pPr>
            <w:r>
              <w:rPr>
                <w:rFonts w:hint="eastAsia" w:ascii="宋体" w:hAnsi="宋体" w:eastAsia="宋体"/>
              </w:rPr>
              <w:t>其它</w:t>
            </w:r>
          </w:p>
        </w:tc>
        <w:tc>
          <w:tcPr>
            <w:tcW w:w="12087" w:type="dxa"/>
            <w:gridSpan w:val="2"/>
            <w:vAlign w:val="center"/>
          </w:tcPr>
          <w:p>
            <w:pPr>
              <w:rPr>
                <w:rFonts w:ascii="宋体" w:hAnsi="宋体" w:eastAsia="宋体"/>
              </w:rPr>
            </w:pPr>
            <w:r>
              <w:rPr>
                <w:rFonts w:hint="eastAsia" w:ascii="宋体" w:hAnsi="宋体" w:eastAsia="宋体"/>
              </w:rPr>
              <w:t>1.标注</w:t>
            </w:r>
            <w:r>
              <w:rPr>
                <w:rFonts w:hint="eastAsia" w:ascii="宋体" w:hAnsi="宋体" w:eastAsia="宋体" w:cs="宋体"/>
                <w:szCs w:val="21"/>
              </w:rPr>
              <w:t>▲</w:t>
            </w:r>
            <w:r>
              <w:rPr>
                <w:rFonts w:hint="eastAsia" w:ascii="宋体" w:hAnsi="宋体" w:eastAsia="宋体"/>
              </w:rPr>
              <w:t>的技术要求为实质性技术要求，供应商必须实质性满足，否则在线询价将视为无效，采购方有权不予接受报价，不予验收通过。</w:t>
            </w:r>
          </w:p>
          <w:p>
            <w:pPr>
              <w:rPr>
                <w:rFonts w:ascii="宋体" w:hAnsi="宋体" w:eastAsia="宋体"/>
              </w:rPr>
            </w:pPr>
            <w:r>
              <w:rPr>
                <w:rFonts w:hint="eastAsia" w:ascii="宋体" w:hAnsi="宋体" w:eastAsia="宋体"/>
              </w:rPr>
              <w:t>▲2.为了确保采购质量和维护公平的竞争，根据《中华人民共和国政府采购法》和《中华人民共和国反垄断法》，没有正当理由，</w:t>
            </w:r>
            <w:r>
              <w:rPr>
                <w:rFonts w:hint="eastAsia" w:ascii="宋体" w:hAnsi="宋体" w:eastAsia="宋体"/>
                <w:szCs w:val="21"/>
              </w:rPr>
              <w:t>不得以低于成本的价格销售商品。</w:t>
            </w:r>
            <w:r>
              <w:rPr>
                <w:rFonts w:hint="eastAsia" w:ascii="宋体" w:hAnsi="宋体" w:eastAsia="宋体"/>
              </w:rPr>
              <w:t xml:space="preserve"> </w:t>
            </w:r>
          </w:p>
          <w:p>
            <w:pPr>
              <w:widowControl/>
              <w:ind w:firstLine="0"/>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成交供应商在收到成交结果通知之日起</w:t>
            </w:r>
            <w:r>
              <w:rPr>
                <w:rFonts w:ascii="宋体" w:hAnsi="宋体" w:eastAsia="宋体"/>
              </w:rPr>
              <w:t>5个工作日内必须向采购人提供询价货物的以</w:t>
            </w:r>
            <w:r>
              <w:rPr>
                <w:rFonts w:hint="eastAsia" w:ascii="宋体" w:hAnsi="宋体" w:eastAsia="宋体"/>
              </w:rPr>
              <w:t>下纸质资料及产品样品：</w:t>
            </w:r>
          </w:p>
          <w:p>
            <w:pPr>
              <w:widowControl/>
              <w:rPr>
                <w:rFonts w:ascii="宋体" w:hAnsi="宋体" w:eastAsia="宋体"/>
              </w:rPr>
            </w:pPr>
            <w:r>
              <w:rPr>
                <w:rFonts w:hint="eastAsia" w:ascii="宋体" w:hAnsi="宋体" w:eastAsia="宋体"/>
              </w:rPr>
              <w:t>（</w:t>
            </w:r>
            <w:r>
              <w:rPr>
                <w:rFonts w:ascii="宋体" w:hAnsi="宋体" w:eastAsia="宋体"/>
              </w:rPr>
              <w:t>1）商标注册证复印件及商品合格证，并加盖厂家公章。</w:t>
            </w:r>
          </w:p>
          <w:p>
            <w:pPr>
              <w:widowControl/>
              <w:rPr>
                <w:rFonts w:ascii="宋体" w:hAnsi="宋体" w:eastAsia="宋体"/>
              </w:rPr>
            </w:pPr>
            <w:r>
              <w:rPr>
                <w:rFonts w:hint="eastAsia" w:ascii="宋体" w:hAnsi="宋体" w:eastAsia="宋体"/>
              </w:rPr>
              <w:t>（</w:t>
            </w:r>
            <w:r>
              <w:rPr>
                <w:rFonts w:ascii="宋体" w:hAnsi="宋体" w:eastAsia="宋体"/>
              </w:rPr>
              <w:t>2）产品样品：电脑桌一张。</w:t>
            </w:r>
          </w:p>
          <w:p>
            <w:pPr>
              <w:widowControl/>
              <w:rPr>
                <w:rFonts w:ascii="宋体" w:hAnsi="宋体" w:eastAsia="宋体"/>
              </w:rPr>
            </w:pPr>
            <w:r>
              <w:rPr>
                <w:rFonts w:hint="eastAsia" w:ascii="宋体" w:hAnsi="宋体" w:eastAsia="宋体"/>
              </w:rPr>
              <w:t>（</w:t>
            </w:r>
            <w:r>
              <w:rPr>
                <w:rFonts w:ascii="宋体" w:hAnsi="宋体" w:eastAsia="宋体"/>
              </w:rPr>
              <w:t xml:space="preserve">3）本项目采购任务急，现特向潜在供应商作出相关提醒：供应商存在不按要求竞标、不按要求提供审查资料、货物样品或资料、产品样品审查不合格、成交后无故放弃、不按合同履行等违约行为的， </w:t>
            </w:r>
            <w:r>
              <w:rPr>
                <w:rFonts w:hint="eastAsia" w:ascii="宋体" w:hAnsi="宋体" w:eastAsia="宋体"/>
              </w:rPr>
              <w:t>采购人有权向成交供应商追偿其所造成的损失。</w:t>
            </w:r>
          </w:p>
          <w:p>
            <w:pPr>
              <w:widowControl/>
              <w:rPr>
                <w:rFonts w:ascii="宋体" w:hAnsi="宋体" w:eastAsia="宋体"/>
              </w:rPr>
            </w:pPr>
            <w:r>
              <w:rPr>
                <w:rFonts w:hint="eastAsia" w:ascii="宋体" w:hAnsi="宋体" w:eastAsia="宋体"/>
              </w:rPr>
              <w:t>4.投标人在响应文件中需提供品牌授权委托书（加盖投标人公章），并按响应文件中的品牌型号供货，供货时提供和响应文件一致的品牌授权书原件核查。</w:t>
            </w:r>
          </w:p>
          <w:p>
            <w:pPr>
              <w:pStyle w:val="2"/>
              <w:ind w:left="0" w:leftChars="0" w:firstLine="0" w:firstLineChars="0"/>
              <w:rPr>
                <w:rFonts w:ascii="宋体" w:hAnsi="宋体" w:eastAsia="宋体"/>
              </w:rPr>
            </w:pPr>
          </w:p>
        </w:tc>
      </w:tr>
    </w:tbl>
    <w:p>
      <w:pPr>
        <w:pStyle w:val="2"/>
        <w:ind w:left="0" w:leftChars="0" w:firstLine="0" w:firstLineChars="0"/>
        <w:rPr>
          <w:rFonts w:eastAsia="宋体"/>
        </w:rPr>
      </w:pPr>
    </w:p>
    <w:p>
      <w:pPr>
        <w:jc w:val="right"/>
        <w:rPr>
          <w:rFonts w:ascii="宋体" w:hAnsi="宋体" w:eastAsia="宋体"/>
          <w:sz w:val="28"/>
          <w:szCs w:val="28"/>
        </w:rPr>
      </w:pPr>
    </w:p>
    <w:p>
      <w:pPr>
        <w:pStyle w:val="10"/>
      </w:pPr>
    </w:p>
    <w:p>
      <w:pPr>
        <w:pStyle w:val="10"/>
      </w:pPr>
    </w:p>
    <w:p>
      <w:pPr>
        <w:pStyle w:val="10"/>
        <w:ind w:left="9520" w:hanging="6120" w:hangingChars="3400"/>
      </w:pPr>
      <w:r>
        <w:rPr>
          <w:rFonts w:hint="eastAsia"/>
        </w:rPr>
        <w:t xml:space="preserve">                                                                                                    </w:t>
      </w:r>
      <w:bookmarkStart w:id="0" w:name="_GoBack"/>
      <w:bookmarkEnd w:id="0"/>
      <w:r>
        <w:rPr>
          <w:rFonts w:hint="eastAsia"/>
        </w:rPr>
        <w:t xml:space="preserve"> </w:t>
      </w:r>
    </w:p>
    <w:p>
      <w:pPr>
        <w:pStyle w:val="8"/>
        <w:sectPr>
          <w:footerReference r:id="rId3" w:type="default"/>
          <w:pgSz w:w="16838" w:h="11906" w:orient="landscape"/>
          <w:pgMar w:top="1134" w:right="1134" w:bottom="1134" w:left="1440" w:header="851" w:footer="992" w:gutter="0"/>
          <w:cols w:space="425" w:num="1"/>
          <w:docGrid w:type="lines" w:linePitch="312" w:charSpace="0"/>
        </w:sectPr>
      </w:pPr>
    </w:p>
    <w:p>
      <w:pPr>
        <w:jc w:val="left"/>
        <w:rPr>
          <w:rFonts w:ascii="Times New Roman" w:hAnsi="Times New Roman" w:eastAsia="宋体" w:cs="Times New Roman"/>
          <w:b/>
          <w:szCs w:val="21"/>
        </w:rPr>
      </w:pPr>
      <w:r>
        <w:rPr>
          <w:rFonts w:hint="eastAsia" w:ascii="Times New Roman" w:hAnsi="Times New Roman" w:eastAsia="宋体" w:cs="Times New Roman"/>
          <w:b/>
          <w:szCs w:val="21"/>
        </w:rPr>
        <w:t>附件1：</w:t>
      </w:r>
    </w:p>
    <w:p>
      <w:pPr>
        <w:jc w:val="center"/>
        <w:rPr>
          <w:rFonts w:ascii="宋体" w:hAnsi="宋体" w:eastAsia="宋体" w:cs="Times New Roman"/>
          <w:b/>
          <w:szCs w:val="21"/>
        </w:rPr>
      </w:pPr>
      <w:r>
        <w:rPr>
          <w:rFonts w:ascii="Times New Roman" w:hAnsi="Times New Roman" w:eastAsia="宋体" w:cs="Times New Roman"/>
          <w:b/>
          <w:szCs w:val="21"/>
        </w:rPr>
        <w:t>报价明细表</w:t>
      </w:r>
      <w:r>
        <w:rPr>
          <w:rFonts w:hint="eastAsia" w:ascii="宋体" w:hAnsi="宋体" w:eastAsia="宋体" w:cs="Times New Roman"/>
          <w:b/>
          <w:szCs w:val="21"/>
        </w:rPr>
        <w:t>（必须提供）</w:t>
      </w:r>
    </w:p>
    <w:p>
      <w:pPr>
        <w:spacing w:line="300" w:lineRule="auto"/>
        <w:rPr>
          <w:rFonts w:ascii="宋体" w:hAnsi="宋体" w:eastAsia="宋体" w:cs="Times New Roman"/>
          <w:szCs w:val="21"/>
        </w:rPr>
      </w:pPr>
      <w:r>
        <w:rPr>
          <w:rFonts w:hint="eastAsia" w:ascii="宋体" w:hAnsi="宋体" w:eastAsia="宋体" w:cs="Times New Roman"/>
          <w:szCs w:val="21"/>
        </w:rPr>
        <w:t>采购项目名称:</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spacing w:line="300" w:lineRule="auto"/>
        <w:rPr>
          <w:rFonts w:ascii="宋体" w:hAnsi="宋体" w:eastAsia="宋体" w:cs="Times New Roman"/>
          <w:szCs w:val="21"/>
        </w:rPr>
      </w:pPr>
      <w:r>
        <w:rPr>
          <w:rFonts w:hint="eastAsia" w:ascii="宋体" w:hAnsi="宋体" w:eastAsia="宋体" w:cs="Times New Roman"/>
          <w:szCs w:val="21"/>
        </w:rPr>
        <w:t>采购项目编号:</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ind w:firstLine="2415" w:firstLineChars="1150"/>
        <w:rPr>
          <w:rFonts w:ascii="Times New Roman" w:hAnsi="Times New Roman" w:eastAsia="宋体" w:cs="Times New Roman"/>
          <w:szCs w:val="21"/>
        </w:rPr>
      </w:pPr>
      <w:r>
        <w:rPr>
          <w:rFonts w:ascii="Times New Roman" w:hAnsi="Times New Roman" w:eastAsia="宋体" w:cs="Times New Roman"/>
          <w:szCs w:val="21"/>
        </w:rPr>
        <w:t xml:space="preserve">                            金额单位：人民币（元）</w:t>
      </w:r>
    </w:p>
    <w:tbl>
      <w:tblPr>
        <w:tblStyle w:val="14"/>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694"/>
        <w:gridCol w:w="708"/>
        <w:gridCol w:w="2977"/>
        <w:gridCol w:w="1276"/>
        <w:gridCol w:w="1134"/>
        <w:gridCol w:w="709"/>
        <w:gridCol w:w="1134"/>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vAlign w:val="center"/>
          </w:tcPr>
          <w:p>
            <w:pPr>
              <w:jc w:val="center"/>
              <w:rPr>
                <w:rFonts w:ascii="宋体" w:hAnsi="宋体" w:eastAsia="宋体" w:cs="Courier New"/>
                <w:spacing w:val="-20"/>
                <w:szCs w:val="21"/>
              </w:rPr>
            </w:pPr>
            <w:r>
              <w:rPr>
                <w:rFonts w:hint="eastAsia" w:ascii="宋体" w:hAnsi="宋体" w:eastAsia="宋体" w:cs="Courier New"/>
                <w:spacing w:val="-20"/>
                <w:szCs w:val="21"/>
              </w:rPr>
              <w:t>序号</w:t>
            </w:r>
          </w:p>
        </w:tc>
        <w:tc>
          <w:tcPr>
            <w:tcW w:w="1011" w:type="dxa"/>
            <w:tcBorders>
              <w:bottom w:val="single" w:color="auto" w:sz="4" w:space="0"/>
            </w:tcBorders>
            <w:vAlign w:val="center"/>
          </w:tcPr>
          <w:p>
            <w:pPr>
              <w:tabs>
                <w:tab w:val="left" w:pos="180"/>
                <w:tab w:val="left" w:pos="1620"/>
              </w:tabs>
              <w:spacing w:line="500" w:lineRule="exact"/>
              <w:jc w:val="center"/>
              <w:rPr>
                <w:rFonts w:ascii="宋体" w:hAnsi="宋体" w:eastAsia="宋体" w:cs="Times New Roman"/>
                <w:szCs w:val="21"/>
              </w:rPr>
            </w:pPr>
            <w:r>
              <w:rPr>
                <w:rFonts w:hint="eastAsia" w:ascii="宋体" w:hAnsi="宋体" w:eastAsia="宋体" w:cs="Times New Roman"/>
                <w:szCs w:val="21"/>
              </w:rPr>
              <w:t>货物(服务)名称</w:t>
            </w:r>
          </w:p>
        </w:tc>
        <w:tc>
          <w:tcPr>
            <w:tcW w:w="694" w:type="dxa"/>
            <w:tcBorders>
              <w:bottom w:val="single" w:color="auto" w:sz="4" w:space="0"/>
            </w:tcBorders>
            <w:vAlign w:val="center"/>
          </w:tcPr>
          <w:p>
            <w:pPr>
              <w:tabs>
                <w:tab w:val="left" w:pos="180"/>
                <w:tab w:val="left" w:pos="1620"/>
              </w:tabs>
              <w:spacing w:line="500" w:lineRule="exact"/>
              <w:jc w:val="center"/>
              <w:rPr>
                <w:rFonts w:ascii="宋体" w:hAnsi="宋体" w:eastAsia="宋体" w:cs="Times New Roman"/>
                <w:szCs w:val="21"/>
              </w:rPr>
            </w:pPr>
            <w:r>
              <w:rPr>
                <w:rFonts w:hint="eastAsia" w:ascii="宋体" w:hAnsi="宋体" w:eastAsia="宋体" w:cs="Times New Roman"/>
                <w:szCs w:val="21"/>
              </w:rPr>
              <w:t>数量</w:t>
            </w:r>
            <w:r>
              <w:rPr>
                <w:rFonts w:hint="eastAsia" w:ascii="Times New Roman" w:hAnsi="宋体" w:eastAsia="宋体" w:cs="Times New Roman"/>
                <w:szCs w:val="24"/>
              </w:rPr>
              <w:t>①</w:t>
            </w:r>
          </w:p>
        </w:tc>
        <w:tc>
          <w:tcPr>
            <w:tcW w:w="708" w:type="dxa"/>
            <w:tcBorders>
              <w:bottom w:val="single" w:color="auto" w:sz="4" w:space="0"/>
            </w:tcBorders>
            <w:vAlign w:val="center"/>
          </w:tcPr>
          <w:p>
            <w:pPr>
              <w:tabs>
                <w:tab w:val="left" w:pos="180"/>
                <w:tab w:val="left" w:pos="1620"/>
              </w:tabs>
              <w:spacing w:line="500" w:lineRule="exact"/>
              <w:jc w:val="center"/>
              <w:rPr>
                <w:rFonts w:ascii="宋体" w:hAnsi="宋体" w:eastAsia="宋体" w:cs="Times New Roman"/>
                <w:szCs w:val="21"/>
              </w:rPr>
            </w:pPr>
            <w:r>
              <w:rPr>
                <w:rFonts w:hint="eastAsia" w:ascii="宋体" w:hAnsi="宋体" w:eastAsia="宋体" w:cs="Times New Roman"/>
                <w:szCs w:val="21"/>
              </w:rPr>
              <w:t>单位</w:t>
            </w:r>
          </w:p>
        </w:tc>
        <w:tc>
          <w:tcPr>
            <w:tcW w:w="2977" w:type="dxa"/>
            <w:tcBorders>
              <w:bottom w:val="single" w:color="auto" w:sz="4" w:space="0"/>
            </w:tcBorders>
            <w:vAlign w:val="center"/>
          </w:tcPr>
          <w:p>
            <w:pPr>
              <w:tabs>
                <w:tab w:val="left" w:pos="180"/>
                <w:tab w:val="left" w:pos="1620"/>
              </w:tabs>
              <w:spacing w:line="500" w:lineRule="exact"/>
              <w:jc w:val="center"/>
              <w:rPr>
                <w:rFonts w:ascii="宋体" w:hAnsi="宋体" w:eastAsia="宋体" w:cs="Times New Roman"/>
                <w:szCs w:val="21"/>
              </w:rPr>
            </w:pPr>
            <w:r>
              <w:rPr>
                <w:rFonts w:hint="eastAsia" w:ascii="宋体" w:hAnsi="宋体" w:eastAsia="宋体" w:cs="Times New Roman"/>
                <w:szCs w:val="21"/>
              </w:rPr>
              <w:t>技术参数及性能配置要求</w:t>
            </w:r>
          </w:p>
        </w:tc>
        <w:tc>
          <w:tcPr>
            <w:tcW w:w="1276" w:type="dxa"/>
            <w:tcBorders>
              <w:bottom w:val="single" w:color="auto" w:sz="4" w:space="0"/>
            </w:tcBorders>
            <w:vAlign w:val="center"/>
          </w:tcPr>
          <w:p>
            <w:pPr>
              <w:tabs>
                <w:tab w:val="left" w:pos="180"/>
                <w:tab w:val="left" w:pos="1620"/>
              </w:tabs>
              <w:spacing w:line="500" w:lineRule="exact"/>
              <w:jc w:val="center"/>
              <w:rPr>
                <w:rFonts w:ascii="宋体" w:hAnsi="宋体" w:eastAsia="宋体" w:cs="Times New Roman"/>
                <w:szCs w:val="21"/>
              </w:rPr>
            </w:pPr>
            <w:r>
              <w:rPr>
                <w:rFonts w:hint="eastAsia" w:ascii="宋体" w:hAnsi="宋体" w:eastAsia="宋体" w:cs="Times New Roman"/>
                <w:szCs w:val="21"/>
              </w:rPr>
              <w:t>品牌、型号规格</w:t>
            </w:r>
          </w:p>
        </w:tc>
        <w:tc>
          <w:tcPr>
            <w:tcW w:w="1134" w:type="dxa"/>
            <w:tcBorders>
              <w:bottom w:val="single" w:color="auto" w:sz="4" w:space="0"/>
            </w:tcBorders>
            <w:vAlign w:val="center"/>
          </w:tcPr>
          <w:p>
            <w:pPr>
              <w:tabs>
                <w:tab w:val="left" w:pos="180"/>
                <w:tab w:val="left" w:pos="1620"/>
              </w:tabs>
              <w:spacing w:line="500" w:lineRule="exact"/>
              <w:jc w:val="center"/>
              <w:rPr>
                <w:rFonts w:ascii="宋体" w:hAnsi="宋体" w:eastAsia="宋体" w:cs="Times New Roman"/>
                <w:szCs w:val="21"/>
              </w:rPr>
            </w:pPr>
            <w:r>
              <w:rPr>
                <w:rFonts w:hint="eastAsia" w:ascii="宋体" w:hAnsi="宋体" w:eastAsia="宋体" w:cs="Times New Roman"/>
                <w:szCs w:val="21"/>
              </w:rPr>
              <w:t>生产厂家及产地</w:t>
            </w:r>
          </w:p>
        </w:tc>
        <w:tc>
          <w:tcPr>
            <w:tcW w:w="709" w:type="dxa"/>
            <w:tcBorders>
              <w:bottom w:val="single" w:color="auto" w:sz="4" w:space="0"/>
            </w:tcBorders>
            <w:vAlign w:val="center"/>
          </w:tcPr>
          <w:p>
            <w:pPr>
              <w:tabs>
                <w:tab w:val="left" w:pos="180"/>
                <w:tab w:val="left" w:pos="1620"/>
              </w:tabs>
              <w:spacing w:line="500" w:lineRule="exact"/>
              <w:jc w:val="center"/>
              <w:rPr>
                <w:rFonts w:ascii="宋体" w:hAnsi="宋体" w:eastAsia="宋体" w:cs="Times New Roman"/>
                <w:szCs w:val="21"/>
              </w:rPr>
            </w:pPr>
            <w:r>
              <w:rPr>
                <w:rFonts w:hint="eastAsia" w:ascii="宋体" w:hAnsi="宋体" w:eastAsia="宋体" w:cs="Times New Roman"/>
                <w:szCs w:val="21"/>
              </w:rPr>
              <w:t>单价</w:t>
            </w:r>
            <w:r>
              <w:rPr>
                <w:rFonts w:hint="eastAsia" w:ascii="Times New Roman" w:hAnsi="宋体" w:eastAsia="宋体" w:cs="Times New Roman"/>
                <w:szCs w:val="24"/>
              </w:rPr>
              <w:t>②</w:t>
            </w:r>
          </w:p>
        </w:tc>
        <w:tc>
          <w:tcPr>
            <w:tcW w:w="1134" w:type="dxa"/>
            <w:tcBorders>
              <w:bottom w:val="single" w:color="auto" w:sz="4" w:space="0"/>
            </w:tcBorders>
            <w:vAlign w:val="center"/>
          </w:tcPr>
          <w:p>
            <w:pPr>
              <w:jc w:val="center"/>
              <w:rPr>
                <w:rFonts w:ascii="宋体" w:hAnsi="宋体" w:eastAsia="宋体" w:cs="Courier New"/>
                <w:szCs w:val="21"/>
              </w:rPr>
            </w:pPr>
            <w:r>
              <w:rPr>
                <w:rFonts w:hint="eastAsia" w:ascii="宋体" w:hAnsi="宋体" w:eastAsia="宋体" w:cs="Courier New"/>
                <w:szCs w:val="21"/>
              </w:rPr>
              <w:t>单项合价</w:t>
            </w:r>
          </w:p>
          <w:p>
            <w:pPr>
              <w:jc w:val="center"/>
              <w:rPr>
                <w:rFonts w:ascii="宋体" w:hAnsi="宋体" w:eastAsia="宋体" w:cs="Courier New"/>
                <w:szCs w:val="21"/>
              </w:rPr>
            </w:pPr>
            <w:r>
              <w:rPr>
                <w:rFonts w:hint="eastAsia" w:ascii="宋体" w:hAnsi="宋体" w:eastAsia="宋体" w:cs="Courier New"/>
                <w:szCs w:val="21"/>
              </w:rPr>
              <w:t>（元）</w:t>
            </w:r>
          </w:p>
          <w:p>
            <w:pPr>
              <w:jc w:val="center"/>
              <w:rPr>
                <w:rFonts w:ascii="宋体" w:hAnsi="宋体" w:eastAsia="宋体" w:cs="Courier New"/>
                <w:szCs w:val="21"/>
              </w:rPr>
            </w:pPr>
            <w:r>
              <w:rPr>
                <w:rFonts w:hint="eastAsia" w:ascii="宋体" w:hAnsi="宋体" w:eastAsia="宋体" w:cs="Courier New"/>
                <w:szCs w:val="21"/>
              </w:rPr>
              <w:t>③</w:t>
            </w:r>
            <w:r>
              <w:rPr>
                <w:rFonts w:ascii="宋体" w:hAnsi="宋体" w:eastAsia="宋体" w:cs="Courier New"/>
                <w:szCs w:val="21"/>
              </w:rPr>
              <w:t>=</w:t>
            </w:r>
            <w:r>
              <w:rPr>
                <w:rFonts w:hint="eastAsia" w:ascii="宋体" w:hAnsi="宋体" w:eastAsia="宋体" w:cs="Courier New"/>
                <w:szCs w:val="21"/>
              </w:rPr>
              <w:t>①×②</w:t>
            </w:r>
          </w:p>
        </w:tc>
        <w:tc>
          <w:tcPr>
            <w:tcW w:w="504" w:type="dxa"/>
            <w:tcBorders>
              <w:bottom w:val="single" w:color="auto" w:sz="4" w:space="0"/>
            </w:tcBorders>
            <w:vAlign w:val="center"/>
          </w:tcPr>
          <w:p>
            <w:pPr>
              <w:jc w:val="center"/>
              <w:rPr>
                <w:rFonts w:ascii="宋体" w:hAnsi="宋体" w:eastAsia="宋体" w:cs="Courier New"/>
                <w:szCs w:val="21"/>
              </w:rPr>
            </w:pPr>
            <w:r>
              <w:rPr>
                <w:rFonts w:hint="eastAsia" w:ascii="宋体" w:hAnsi="宋体" w:eastAsia="宋体" w:cs="Courier New"/>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011" w:type="dxa"/>
            <w:vAlign w:val="center"/>
          </w:tcPr>
          <w:p>
            <w:pPr>
              <w:jc w:val="center"/>
              <w:rPr>
                <w:rFonts w:ascii="宋体" w:hAnsi="宋体" w:eastAsia="宋体" w:cs="Times New Roman"/>
                <w:szCs w:val="24"/>
              </w:rPr>
            </w:pPr>
          </w:p>
        </w:tc>
        <w:tc>
          <w:tcPr>
            <w:tcW w:w="694" w:type="dxa"/>
            <w:vAlign w:val="center"/>
          </w:tcPr>
          <w:p>
            <w:pPr>
              <w:jc w:val="center"/>
              <w:rPr>
                <w:rFonts w:ascii="宋体" w:hAnsi="宋体" w:eastAsia="宋体" w:cs="Times New Roman"/>
                <w:szCs w:val="24"/>
              </w:rPr>
            </w:pPr>
          </w:p>
        </w:tc>
        <w:tc>
          <w:tcPr>
            <w:tcW w:w="708" w:type="dxa"/>
            <w:vAlign w:val="center"/>
          </w:tcPr>
          <w:p>
            <w:pPr>
              <w:rPr>
                <w:rFonts w:ascii="宋体" w:hAnsi="宋体" w:eastAsia="宋体" w:cs="Courier New"/>
                <w:szCs w:val="21"/>
              </w:rPr>
            </w:pPr>
          </w:p>
        </w:tc>
        <w:tc>
          <w:tcPr>
            <w:tcW w:w="2977" w:type="dxa"/>
            <w:vAlign w:val="center"/>
          </w:tcPr>
          <w:p>
            <w:pPr>
              <w:rPr>
                <w:rFonts w:ascii="宋体" w:hAnsi="宋体" w:eastAsia="宋体" w:cs="Courier New"/>
                <w:szCs w:val="21"/>
              </w:rPr>
            </w:pPr>
          </w:p>
        </w:tc>
        <w:tc>
          <w:tcPr>
            <w:tcW w:w="1276" w:type="dxa"/>
            <w:vAlign w:val="center"/>
          </w:tcPr>
          <w:p>
            <w:pPr>
              <w:rPr>
                <w:rFonts w:ascii="宋体" w:hAnsi="宋体" w:eastAsia="宋体" w:cs="Courier New"/>
                <w:szCs w:val="21"/>
              </w:rPr>
            </w:pPr>
          </w:p>
        </w:tc>
        <w:tc>
          <w:tcPr>
            <w:tcW w:w="1134" w:type="dxa"/>
            <w:vAlign w:val="center"/>
          </w:tcPr>
          <w:p>
            <w:pPr>
              <w:rPr>
                <w:rFonts w:ascii="宋体" w:hAnsi="宋体" w:eastAsia="宋体" w:cs="Courier New"/>
                <w:szCs w:val="21"/>
              </w:rPr>
            </w:pPr>
          </w:p>
        </w:tc>
        <w:tc>
          <w:tcPr>
            <w:tcW w:w="709" w:type="dxa"/>
            <w:vAlign w:val="center"/>
          </w:tcPr>
          <w:p>
            <w:pPr>
              <w:rPr>
                <w:rFonts w:ascii="宋体" w:hAnsi="宋体" w:eastAsia="宋体" w:cs="Courier New"/>
                <w:szCs w:val="21"/>
              </w:rPr>
            </w:pPr>
          </w:p>
        </w:tc>
        <w:tc>
          <w:tcPr>
            <w:tcW w:w="1134" w:type="dxa"/>
            <w:vAlign w:val="center"/>
          </w:tcPr>
          <w:p>
            <w:pPr>
              <w:rPr>
                <w:rFonts w:ascii="宋体" w:hAnsi="宋体" w:eastAsia="宋体" w:cs="Courier New"/>
                <w:szCs w:val="21"/>
              </w:rPr>
            </w:pPr>
          </w:p>
        </w:tc>
        <w:tc>
          <w:tcPr>
            <w:tcW w:w="504" w:type="dxa"/>
            <w:vAlign w:val="center"/>
          </w:tcPr>
          <w:p>
            <w:pPr>
              <w:rPr>
                <w:rFonts w:ascii="宋体" w:hAnsi="宋体" w:eastAsia="宋体"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011" w:type="dxa"/>
            <w:vAlign w:val="center"/>
          </w:tcPr>
          <w:p>
            <w:pPr>
              <w:jc w:val="center"/>
              <w:rPr>
                <w:rFonts w:ascii="宋体" w:hAnsi="宋体" w:eastAsia="宋体" w:cs="Times New Roman"/>
                <w:szCs w:val="24"/>
              </w:rPr>
            </w:pPr>
          </w:p>
        </w:tc>
        <w:tc>
          <w:tcPr>
            <w:tcW w:w="694" w:type="dxa"/>
            <w:vAlign w:val="center"/>
          </w:tcPr>
          <w:p>
            <w:pPr>
              <w:jc w:val="center"/>
              <w:rPr>
                <w:rFonts w:ascii="宋体" w:hAnsi="宋体" w:eastAsia="宋体" w:cs="Times New Roman"/>
                <w:szCs w:val="24"/>
              </w:rPr>
            </w:pPr>
          </w:p>
        </w:tc>
        <w:tc>
          <w:tcPr>
            <w:tcW w:w="708" w:type="dxa"/>
            <w:vAlign w:val="center"/>
          </w:tcPr>
          <w:p>
            <w:pPr>
              <w:rPr>
                <w:rFonts w:ascii="宋体" w:hAnsi="宋体" w:eastAsia="宋体" w:cs="Courier New"/>
                <w:szCs w:val="21"/>
              </w:rPr>
            </w:pPr>
          </w:p>
        </w:tc>
        <w:tc>
          <w:tcPr>
            <w:tcW w:w="2977" w:type="dxa"/>
            <w:vAlign w:val="center"/>
          </w:tcPr>
          <w:p>
            <w:pPr>
              <w:rPr>
                <w:rFonts w:ascii="宋体" w:hAnsi="宋体" w:eastAsia="宋体" w:cs="Courier New"/>
                <w:szCs w:val="21"/>
              </w:rPr>
            </w:pPr>
          </w:p>
        </w:tc>
        <w:tc>
          <w:tcPr>
            <w:tcW w:w="1276" w:type="dxa"/>
            <w:vAlign w:val="center"/>
          </w:tcPr>
          <w:p>
            <w:pPr>
              <w:rPr>
                <w:rFonts w:ascii="宋体" w:hAnsi="宋体" w:eastAsia="宋体" w:cs="Courier New"/>
                <w:szCs w:val="21"/>
              </w:rPr>
            </w:pPr>
          </w:p>
        </w:tc>
        <w:tc>
          <w:tcPr>
            <w:tcW w:w="1134" w:type="dxa"/>
            <w:vAlign w:val="center"/>
          </w:tcPr>
          <w:p>
            <w:pPr>
              <w:rPr>
                <w:rFonts w:ascii="宋体" w:hAnsi="宋体" w:eastAsia="宋体" w:cs="Courier New"/>
                <w:szCs w:val="21"/>
              </w:rPr>
            </w:pPr>
          </w:p>
        </w:tc>
        <w:tc>
          <w:tcPr>
            <w:tcW w:w="709" w:type="dxa"/>
            <w:vAlign w:val="center"/>
          </w:tcPr>
          <w:p>
            <w:pPr>
              <w:rPr>
                <w:rFonts w:ascii="宋体" w:hAnsi="宋体" w:eastAsia="宋体" w:cs="Courier New"/>
                <w:szCs w:val="21"/>
              </w:rPr>
            </w:pPr>
          </w:p>
        </w:tc>
        <w:tc>
          <w:tcPr>
            <w:tcW w:w="1134" w:type="dxa"/>
            <w:vAlign w:val="center"/>
          </w:tcPr>
          <w:p>
            <w:pPr>
              <w:rPr>
                <w:rFonts w:ascii="宋体" w:hAnsi="宋体" w:eastAsia="宋体" w:cs="Courier New"/>
                <w:szCs w:val="21"/>
              </w:rPr>
            </w:pPr>
          </w:p>
        </w:tc>
        <w:tc>
          <w:tcPr>
            <w:tcW w:w="504" w:type="dxa"/>
            <w:vAlign w:val="center"/>
          </w:tcPr>
          <w:p>
            <w:pPr>
              <w:rPr>
                <w:rFonts w:ascii="宋体" w:hAnsi="宋体" w:eastAsia="宋体"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eastAsia="宋体" w:cs="Times New Roman"/>
                <w:sz w:val="24"/>
                <w:szCs w:val="24"/>
              </w:rPr>
            </w:pPr>
            <w:r>
              <w:rPr>
                <w:rFonts w:ascii="宋体" w:hAnsi="宋体" w:eastAsia="宋体" w:cs="Times New Roman"/>
                <w:sz w:val="24"/>
                <w:szCs w:val="24"/>
              </w:rPr>
              <w:t>N</w:t>
            </w:r>
          </w:p>
        </w:tc>
        <w:tc>
          <w:tcPr>
            <w:tcW w:w="1011" w:type="dxa"/>
            <w:vAlign w:val="center"/>
          </w:tcPr>
          <w:p>
            <w:pPr>
              <w:jc w:val="center"/>
              <w:rPr>
                <w:rFonts w:ascii="宋体" w:hAnsi="宋体" w:eastAsia="宋体" w:cs="Times New Roman"/>
                <w:szCs w:val="24"/>
              </w:rPr>
            </w:pPr>
          </w:p>
        </w:tc>
        <w:tc>
          <w:tcPr>
            <w:tcW w:w="694" w:type="dxa"/>
            <w:vAlign w:val="center"/>
          </w:tcPr>
          <w:p>
            <w:pPr>
              <w:jc w:val="center"/>
              <w:rPr>
                <w:rFonts w:ascii="宋体" w:hAnsi="宋体" w:eastAsia="宋体" w:cs="Times New Roman"/>
                <w:szCs w:val="24"/>
              </w:rPr>
            </w:pPr>
          </w:p>
        </w:tc>
        <w:tc>
          <w:tcPr>
            <w:tcW w:w="708" w:type="dxa"/>
            <w:vAlign w:val="center"/>
          </w:tcPr>
          <w:p>
            <w:pPr>
              <w:rPr>
                <w:rFonts w:ascii="宋体" w:hAnsi="宋体" w:eastAsia="宋体" w:cs="Courier New"/>
                <w:szCs w:val="21"/>
              </w:rPr>
            </w:pPr>
          </w:p>
        </w:tc>
        <w:tc>
          <w:tcPr>
            <w:tcW w:w="2977" w:type="dxa"/>
            <w:vAlign w:val="center"/>
          </w:tcPr>
          <w:p>
            <w:pPr>
              <w:rPr>
                <w:rFonts w:ascii="宋体" w:hAnsi="宋体" w:eastAsia="宋体" w:cs="Courier New"/>
                <w:szCs w:val="21"/>
              </w:rPr>
            </w:pPr>
          </w:p>
        </w:tc>
        <w:tc>
          <w:tcPr>
            <w:tcW w:w="1276" w:type="dxa"/>
            <w:vAlign w:val="center"/>
          </w:tcPr>
          <w:p>
            <w:pPr>
              <w:rPr>
                <w:rFonts w:ascii="宋体" w:hAnsi="宋体" w:eastAsia="宋体" w:cs="Courier New"/>
                <w:szCs w:val="21"/>
              </w:rPr>
            </w:pPr>
          </w:p>
        </w:tc>
        <w:tc>
          <w:tcPr>
            <w:tcW w:w="1134" w:type="dxa"/>
            <w:vAlign w:val="center"/>
          </w:tcPr>
          <w:p>
            <w:pPr>
              <w:rPr>
                <w:rFonts w:ascii="宋体" w:hAnsi="宋体" w:eastAsia="宋体" w:cs="Courier New"/>
                <w:szCs w:val="21"/>
              </w:rPr>
            </w:pPr>
          </w:p>
        </w:tc>
        <w:tc>
          <w:tcPr>
            <w:tcW w:w="709" w:type="dxa"/>
            <w:vAlign w:val="center"/>
          </w:tcPr>
          <w:p>
            <w:pPr>
              <w:rPr>
                <w:rFonts w:ascii="宋体" w:hAnsi="宋体" w:eastAsia="宋体" w:cs="Courier New"/>
                <w:szCs w:val="21"/>
              </w:rPr>
            </w:pPr>
          </w:p>
        </w:tc>
        <w:tc>
          <w:tcPr>
            <w:tcW w:w="1134" w:type="dxa"/>
            <w:vAlign w:val="center"/>
          </w:tcPr>
          <w:p>
            <w:pPr>
              <w:rPr>
                <w:rFonts w:ascii="宋体" w:hAnsi="宋体" w:eastAsia="宋体" w:cs="Courier New"/>
                <w:szCs w:val="21"/>
              </w:rPr>
            </w:pPr>
          </w:p>
        </w:tc>
        <w:tc>
          <w:tcPr>
            <w:tcW w:w="504" w:type="dxa"/>
            <w:vAlign w:val="center"/>
          </w:tcPr>
          <w:p>
            <w:pPr>
              <w:rPr>
                <w:rFonts w:ascii="宋体" w:hAnsi="宋体" w:eastAsia="宋体"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pPr>
              <w:rPr>
                <w:rFonts w:ascii="宋体" w:hAnsi="宋体" w:eastAsia="宋体" w:cs="Courier New"/>
                <w:spacing w:val="-6"/>
                <w:szCs w:val="21"/>
              </w:rPr>
            </w:pPr>
            <w:r>
              <w:rPr>
                <w:rFonts w:hint="eastAsia" w:ascii="宋体" w:hAnsi="宋体" w:eastAsia="宋体" w:cs="Courier New"/>
                <w:spacing w:val="-6"/>
                <w:szCs w:val="21"/>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pPr>
              <w:tabs>
                <w:tab w:val="left" w:pos="721"/>
              </w:tabs>
              <w:rPr>
                <w:rFonts w:ascii="宋体" w:hAnsi="宋体" w:eastAsia="宋体" w:cs="Courier New"/>
                <w:spacing w:val="-6"/>
                <w:szCs w:val="21"/>
              </w:rPr>
            </w:pPr>
            <w:r>
              <w:rPr>
                <w:rFonts w:hint="eastAsia" w:ascii="宋体" w:hAnsi="宋体" w:eastAsia="宋体" w:cs="Courier New"/>
                <w:spacing w:val="-6"/>
                <w:szCs w:val="21"/>
              </w:rPr>
              <w:t>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pPr>
              <w:tabs>
                <w:tab w:val="left" w:pos="721"/>
              </w:tabs>
              <w:rPr>
                <w:rFonts w:ascii="宋体" w:hAnsi="宋体" w:eastAsia="宋体" w:cs="Courier New"/>
                <w:spacing w:val="-6"/>
                <w:szCs w:val="21"/>
              </w:rPr>
            </w:pPr>
            <w:r>
              <w:rPr>
                <w:rFonts w:hint="eastAsia" w:ascii="宋体" w:hAnsi="宋体" w:eastAsia="宋体" w:cs="Courier New"/>
                <w:spacing w:val="-6"/>
                <w:szCs w:val="21"/>
              </w:rPr>
              <w:t>交付使用地点:</w:t>
            </w:r>
          </w:p>
        </w:tc>
      </w:tr>
    </w:tbl>
    <w:p>
      <w:pPr>
        <w:ind w:firstLine="2415" w:firstLineChars="1150"/>
        <w:rPr>
          <w:rFonts w:ascii="Times New Roman" w:hAnsi="Times New Roman" w:eastAsia="宋体" w:cs="Times New Roman"/>
          <w:szCs w:val="21"/>
        </w:rPr>
      </w:pPr>
    </w:p>
    <w:p>
      <w:pPr>
        <w:rPr>
          <w:rFonts w:ascii="Times New Roman" w:hAnsi="Times New Roman" w:eastAsia="宋体" w:cs="Times New Roman"/>
          <w:spacing w:val="20"/>
          <w:szCs w:val="21"/>
          <w:u w:val="single"/>
        </w:rPr>
      </w:pPr>
    </w:p>
    <w:p>
      <w:pPr>
        <w:spacing w:line="360" w:lineRule="auto"/>
        <w:rPr>
          <w:rFonts w:ascii="Times New Roman" w:hAnsi="Times New Roman" w:eastAsia="宋体" w:cs="Times New Roman"/>
          <w:spacing w:val="20"/>
          <w:szCs w:val="21"/>
        </w:rPr>
      </w:pPr>
    </w:p>
    <w:p>
      <w:pPr>
        <w:jc w:val="left"/>
        <w:rPr>
          <w:rFonts w:ascii="Times New Roman" w:hAnsi="Times New Roman" w:eastAsia="宋体" w:cs="Times New Roman"/>
          <w:szCs w:val="21"/>
        </w:rPr>
      </w:pPr>
      <w:r>
        <w:rPr>
          <w:rFonts w:ascii="Times New Roman" w:hAnsi="Times New Roman" w:eastAsia="宋体" w:cs="Times New Roman"/>
          <w:szCs w:val="21"/>
        </w:rPr>
        <w:t>注：</w:t>
      </w:r>
    </w:p>
    <w:p>
      <w:pPr>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宋体" w:hAnsi="宋体" w:eastAsia="宋体" w:cs="Times New Roman"/>
          <w:szCs w:val="21"/>
        </w:rPr>
        <w:t>供应商的首次报价与最后报价均不能超过采购预算，否则报价无效。</w:t>
      </w:r>
    </w:p>
    <w:p>
      <w:pPr>
        <w:jc w:val="left"/>
        <w:rPr>
          <w:rFonts w:ascii="Times New Roman" w:hAnsi="Times New Roman" w:eastAsia="宋体" w:cs="Times New Roman"/>
          <w:szCs w:val="21"/>
        </w:rPr>
      </w:pPr>
      <w:r>
        <w:rPr>
          <w:rFonts w:hint="eastAsia" w:ascii="Times New Roman" w:hAnsi="Times New Roman" w:eastAsia="宋体" w:cs="Times New Roman"/>
          <w:szCs w:val="21"/>
        </w:rPr>
        <w:t>2.所有价格均用人民币表示，单位为元，精确到个数位。</w:t>
      </w:r>
    </w:p>
    <w:p>
      <w:pPr>
        <w:spacing w:line="500" w:lineRule="exact"/>
        <w:rPr>
          <w:rFonts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竞标报价指货物、服务、随配附件、备品备件、工具、货物运抵指定交货地点、安装调试的各种费用和售后服务、税金及其它所有成本、费用的总和。</w:t>
      </w:r>
    </w:p>
    <w:p>
      <w:pPr>
        <w:jc w:val="left"/>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 xml:space="preserve"> 自然人参加谈判的无需盖章，需要签字。</w:t>
      </w:r>
    </w:p>
    <w:p>
      <w:pPr>
        <w:jc w:val="left"/>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本表可扩展，并逐页签字及盖章</w:t>
      </w:r>
      <w:r>
        <w:rPr>
          <w:rFonts w:hint="eastAsia" w:ascii="Times New Roman" w:hAnsi="Times New Roman" w:eastAsia="宋体" w:cs="Times New Roman"/>
          <w:szCs w:val="21"/>
        </w:rPr>
        <w:t>，否则其报价无效并作无效响应处理。</w:t>
      </w:r>
    </w:p>
    <w:p>
      <w:pPr>
        <w:jc w:val="left"/>
        <w:rPr>
          <w:rFonts w:ascii="Times New Roman" w:hAnsi="Times New Roman" w:eastAsia="宋体" w:cs="Times New Roman"/>
          <w:szCs w:val="21"/>
        </w:rPr>
      </w:pPr>
    </w:p>
    <w:p>
      <w:pPr>
        <w:spacing w:line="360" w:lineRule="auto"/>
        <w:rPr>
          <w:rFonts w:ascii="Times New Roman" w:hAnsi="Times New Roman" w:eastAsia="宋体" w:cs="Times New Roman"/>
          <w:spacing w:val="20"/>
          <w:szCs w:val="21"/>
        </w:rPr>
      </w:pPr>
    </w:p>
    <w:p>
      <w:pPr>
        <w:spacing w:line="360" w:lineRule="auto"/>
        <w:rPr>
          <w:rFonts w:ascii="Times New Roman" w:hAnsi="Times New Roman" w:eastAsia="宋体" w:cs="Times New Roman"/>
          <w:spacing w:val="20"/>
          <w:szCs w:val="21"/>
          <w:u w:val="single"/>
        </w:rPr>
      </w:pPr>
      <w:r>
        <w:rPr>
          <w:rFonts w:ascii="Times New Roman" w:hAnsi="Times New Roman" w:eastAsia="宋体" w:cs="Times New Roman"/>
          <w:szCs w:val="21"/>
        </w:rPr>
        <w:t>法定代表人或授权代表（签名或盖章）</w:t>
      </w:r>
      <w:r>
        <w:rPr>
          <w:rFonts w:ascii="Times New Roman" w:hAnsi="Times New Roman" w:eastAsia="宋体" w:cs="Times New Roman"/>
          <w:spacing w:val="20"/>
          <w:szCs w:val="21"/>
        </w:rPr>
        <w:t>：</w:t>
      </w:r>
      <w:r>
        <w:rPr>
          <w:rFonts w:ascii="Times New Roman" w:hAnsi="Times New Roman" w:eastAsia="宋体" w:cs="Times New Roman"/>
          <w:spacing w:val="20"/>
          <w:szCs w:val="21"/>
          <w:u w:val="single"/>
        </w:rPr>
        <w:t xml:space="preserv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供应商名称（公章）：</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pacing w:val="20"/>
          <w:szCs w:val="21"/>
          <w:u w:val="single"/>
        </w:rPr>
      </w:pPr>
      <w:r>
        <w:rPr>
          <w:rFonts w:ascii="Times New Roman" w:hAnsi="Times New Roman" w:eastAsia="宋体" w:cs="Times New Roman"/>
          <w:szCs w:val="21"/>
        </w:rPr>
        <w:t>日  期：：</w:t>
      </w: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日 </w:t>
      </w:r>
    </w:p>
    <w:p>
      <w:pPr>
        <w:rPr>
          <w:rFonts w:ascii="Times New Roman" w:hAnsi="Times New Roman" w:eastAsia="宋体" w:cs="Times New Roman"/>
          <w:szCs w:val="24"/>
        </w:rPr>
      </w:pPr>
      <w:r>
        <w:rPr>
          <w:rFonts w:ascii="Times New Roman" w:hAnsi="Times New Roman" w:eastAsia="宋体" w:cs="Times New Roman"/>
          <w:szCs w:val="24"/>
        </w:rPr>
        <w:br w:type="page"/>
      </w:r>
    </w:p>
    <w:p>
      <w:pPr>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附件2：</w:t>
      </w:r>
    </w:p>
    <w:p>
      <w:pPr>
        <w:spacing w:line="300" w:lineRule="auto"/>
        <w:jc w:val="center"/>
        <w:rPr>
          <w:rFonts w:ascii="宋体" w:hAnsi="宋体" w:eastAsia="宋体" w:cs="Times New Roman"/>
          <w:b/>
          <w:color w:val="auto"/>
          <w:szCs w:val="21"/>
        </w:rPr>
      </w:pPr>
      <w:r>
        <w:rPr>
          <w:rFonts w:hint="eastAsia" w:ascii="宋体" w:hAnsi="宋体" w:eastAsia="宋体" w:cs="Times New Roman"/>
          <w:b/>
          <w:color w:val="auto"/>
          <w:szCs w:val="21"/>
        </w:rPr>
        <w:t>商务、技术响应、偏离情况说明表（必须提供）</w:t>
      </w:r>
    </w:p>
    <w:p>
      <w:pPr>
        <w:spacing w:line="300" w:lineRule="auto"/>
        <w:rPr>
          <w:rFonts w:ascii="宋体" w:hAnsi="宋体" w:eastAsia="宋体" w:cs="Times New Roman"/>
          <w:color w:val="auto"/>
          <w:szCs w:val="21"/>
        </w:rPr>
      </w:pPr>
    </w:p>
    <w:p>
      <w:pPr>
        <w:spacing w:line="300" w:lineRule="auto"/>
        <w:rPr>
          <w:rFonts w:ascii="宋体" w:hAnsi="宋体" w:eastAsia="宋体" w:cs="Times New Roman"/>
          <w:color w:val="auto"/>
          <w:szCs w:val="21"/>
        </w:rPr>
      </w:pPr>
      <w:r>
        <w:rPr>
          <w:rFonts w:hint="eastAsia" w:ascii="宋体" w:hAnsi="宋体" w:eastAsia="宋体" w:cs="Times New Roman"/>
          <w:color w:val="auto"/>
          <w:szCs w:val="21"/>
        </w:rPr>
        <w:t>采购项目名称:</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w:t>
      </w:r>
    </w:p>
    <w:p>
      <w:pPr>
        <w:spacing w:line="300" w:lineRule="auto"/>
        <w:rPr>
          <w:rFonts w:ascii="宋体" w:hAnsi="宋体" w:eastAsia="宋体" w:cs="Times New Roman"/>
          <w:color w:val="auto"/>
          <w:szCs w:val="21"/>
          <w:u w:val="single"/>
        </w:rPr>
      </w:pPr>
      <w:r>
        <w:rPr>
          <w:rFonts w:hint="eastAsia" w:ascii="宋体" w:hAnsi="宋体" w:eastAsia="宋体" w:cs="Times New Roman"/>
          <w:color w:val="auto"/>
          <w:szCs w:val="21"/>
        </w:rPr>
        <w:t>采购项目编号:</w:t>
      </w:r>
      <w:r>
        <w:rPr>
          <w:rFonts w:hint="eastAsia" w:ascii="宋体" w:hAnsi="宋体" w:eastAsia="宋体" w:cs="Times New Roman"/>
          <w:color w:val="auto"/>
          <w:szCs w:val="21"/>
          <w:u w:val="single"/>
        </w:rPr>
        <w:t xml:space="preserve">                 </w:t>
      </w:r>
    </w:p>
    <w:p>
      <w:pPr>
        <w:spacing w:line="300" w:lineRule="auto"/>
        <w:rPr>
          <w:rFonts w:ascii="宋体" w:hAnsi="宋体" w:eastAsia="宋体" w:cs="Times New Roman"/>
          <w:color w:val="auto"/>
          <w:szCs w:val="21"/>
        </w:rPr>
      </w:pPr>
    </w:p>
    <w:tbl>
      <w:tblPr>
        <w:tblStyle w:val="14"/>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序号</w:t>
            </w:r>
          </w:p>
        </w:tc>
        <w:tc>
          <w:tcPr>
            <w:tcW w:w="1316" w:type="dxa"/>
            <w:vAlign w:val="center"/>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 xml:space="preserve">名称                    </w:t>
            </w:r>
          </w:p>
        </w:tc>
        <w:tc>
          <w:tcPr>
            <w:tcW w:w="2268" w:type="dxa"/>
            <w:vAlign w:val="center"/>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采购文件要求</w:t>
            </w:r>
          </w:p>
        </w:tc>
        <w:tc>
          <w:tcPr>
            <w:tcW w:w="3087" w:type="dxa"/>
            <w:vAlign w:val="center"/>
          </w:tcPr>
          <w:p>
            <w:pPr>
              <w:adjustRightInd w:val="0"/>
              <w:snapToGrid w:val="0"/>
              <w:spacing w:line="300" w:lineRule="auto"/>
              <w:ind w:left="-107" w:leftChars="-51" w:firstLine="107" w:firstLineChars="51"/>
              <w:jc w:val="center"/>
              <w:outlineLvl w:val="0"/>
              <w:rPr>
                <w:rFonts w:ascii="宋体" w:hAnsi="宋体" w:eastAsia="宋体" w:cs="Times New Roman"/>
                <w:color w:val="auto"/>
                <w:szCs w:val="21"/>
              </w:rPr>
            </w:pPr>
            <w:r>
              <w:rPr>
                <w:rFonts w:hint="eastAsia" w:ascii="宋体" w:hAnsi="宋体" w:eastAsia="宋体" w:cs="Times New Roman"/>
                <w:color w:val="auto"/>
                <w:szCs w:val="21"/>
              </w:rPr>
              <w:t>报价响应文件具体响应</w:t>
            </w:r>
          </w:p>
        </w:tc>
        <w:tc>
          <w:tcPr>
            <w:tcW w:w="1198" w:type="dxa"/>
            <w:vAlign w:val="center"/>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响应/偏离</w:t>
            </w:r>
          </w:p>
        </w:tc>
        <w:tc>
          <w:tcPr>
            <w:tcW w:w="939" w:type="dxa"/>
            <w:vAlign w:val="center"/>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pPr>
              <w:adjustRightInd w:val="0"/>
              <w:snapToGrid w:val="0"/>
              <w:spacing w:line="300" w:lineRule="auto"/>
              <w:jc w:val="center"/>
              <w:outlineLvl w:val="0"/>
              <w:rPr>
                <w:rFonts w:ascii="宋体" w:hAnsi="宋体" w:eastAsia="宋体" w:cs="Times New Roman"/>
                <w:color w:val="auto"/>
                <w:szCs w:val="21"/>
              </w:rPr>
            </w:pPr>
          </w:p>
        </w:tc>
        <w:tc>
          <w:tcPr>
            <w:tcW w:w="8808" w:type="dxa"/>
            <w:gridSpan w:val="5"/>
            <w:vAlign w:val="center"/>
          </w:tcPr>
          <w:p>
            <w:pPr>
              <w:adjustRightInd w:val="0"/>
              <w:snapToGrid w:val="0"/>
              <w:spacing w:line="300" w:lineRule="auto"/>
              <w:jc w:val="center"/>
              <w:outlineLvl w:val="0"/>
              <w:rPr>
                <w:rFonts w:ascii="宋体" w:hAnsi="宋体" w:eastAsia="宋体" w:cs="Times New Roman"/>
                <w:b/>
                <w:color w:val="auto"/>
                <w:szCs w:val="21"/>
              </w:rPr>
            </w:pPr>
            <w:r>
              <w:rPr>
                <w:rFonts w:hint="eastAsia" w:ascii="宋体" w:hAnsi="宋体" w:eastAsia="宋体" w:cs="Times New Roman"/>
                <w:b/>
                <w:color w:val="auto"/>
                <w:szCs w:val="21"/>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1</w:t>
            </w:r>
          </w:p>
        </w:tc>
        <w:tc>
          <w:tcPr>
            <w:tcW w:w="1316"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2268"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3087"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1198"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939" w:type="dxa"/>
            <w:vAlign w:val="center"/>
          </w:tcPr>
          <w:p>
            <w:pPr>
              <w:adjustRightInd w:val="0"/>
              <w:snapToGrid w:val="0"/>
              <w:spacing w:line="300" w:lineRule="auto"/>
              <w:jc w:val="center"/>
              <w:outlineLvl w:val="0"/>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2</w:t>
            </w:r>
          </w:p>
        </w:tc>
        <w:tc>
          <w:tcPr>
            <w:tcW w:w="1316"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2268"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3087"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1198"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939" w:type="dxa"/>
            <w:vAlign w:val="center"/>
          </w:tcPr>
          <w:p>
            <w:pPr>
              <w:adjustRightInd w:val="0"/>
              <w:snapToGrid w:val="0"/>
              <w:spacing w:line="300" w:lineRule="auto"/>
              <w:jc w:val="center"/>
              <w:outlineLvl w:val="0"/>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w:t>
            </w:r>
          </w:p>
        </w:tc>
        <w:tc>
          <w:tcPr>
            <w:tcW w:w="1316"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2268"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3087"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1198"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939" w:type="dxa"/>
            <w:vAlign w:val="center"/>
          </w:tcPr>
          <w:p>
            <w:pPr>
              <w:adjustRightInd w:val="0"/>
              <w:snapToGrid w:val="0"/>
              <w:spacing w:line="300" w:lineRule="auto"/>
              <w:jc w:val="center"/>
              <w:outlineLvl w:val="0"/>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pPr>
              <w:adjustRightInd w:val="0"/>
              <w:snapToGrid w:val="0"/>
              <w:spacing w:line="300" w:lineRule="auto"/>
              <w:jc w:val="center"/>
              <w:outlineLvl w:val="0"/>
              <w:rPr>
                <w:rFonts w:ascii="宋体" w:hAnsi="宋体" w:eastAsia="宋体" w:cs="Times New Roman"/>
                <w:color w:val="auto"/>
                <w:szCs w:val="21"/>
              </w:rPr>
            </w:pPr>
          </w:p>
        </w:tc>
        <w:tc>
          <w:tcPr>
            <w:tcW w:w="8808" w:type="dxa"/>
            <w:gridSpan w:val="5"/>
          </w:tcPr>
          <w:p>
            <w:pPr>
              <w:adjustRightInd w:val="0"/>
              <w:snapToGrid w:val="0"/>
              <w:spacing w:line="300" w:lineRule="auto"/>
              <w:jc w:val="center"/>
              <w:outlineLvl w:val="0"/>
              <w:rPr>
                <w:rFonts w:ascii="宋体" w:hAnsi="宋体" w:eastAsia="宋体" w:cs="Times New Roman"/>
                <w:b/>
                <w:color w:val="auto"/>
                <w:szCs w:val="21"/>
              </w:rPr>
            </w:pPr>
            <w:r>
              <w:rPr>
                <w:rFonts w:hint="eastAsia" w:ascii="宋体" w:hAnsi="宋体" w:eastAsia="宋体" w:cs="Times New Roman"/>
                <w:b/>
                <w:color w:val="auto"/>
                <w:szCs w:val="21"/>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1</w:t>
            </w:r>
          </w:p>
        </w:tc>
        <w:tc>
          <w:tcPr>
            <w:tcW w:w="1316" w:type="dxa"/>
          </w:tcPr>
          <w:p>
            <w:pPr>
              <w:adjustRightInd w:val="0"/>
              <w:snapToGrid w:val="0"/>
              <w:spacing w:line="300" w:lineRule="auto"/>
              <w:jc w:val="center"/>
              <w:outlineLvl w:val="0"/>
              <w:rPr>
                <w:rFonts w:ascii="宋体" w:hAnsi="宋体" w:eastAsia="宋体" w:cs="Times New Roman"/>
                <w:color w:val="auto"/>
                <w:szCs w:val="21"/>
              </w:rPr>
            </w:pPr>
          </w:p>
        </w:tc>
        <w:tc>
          <w:tcPr>
            <w:tcW w:w="2268" w:type="dxa"/>
          </w:tcPr>
          <w:p>
            <w:pPr>
              <w:adjustRightInd w:val="0"/>
              <w:snapToGrid w:val="0"/>
              <w:spacing w:line="300" w:lineRule="auto"/>
              <w:jc w:val="center"/>
              <w:outlineLvl w:val="0"/>
              <w:rPr>
                <w:rFonts w:ascii="宋体" w:hAnsi="宋体" w:eastAsia="宋体" w:cs="Times New Roman"/>
                <w:color w:val="auto"/>
                <w:szCs w:val="21"/>
              </w:rPr>
            </w:pPr>
          </w:p>
        </w:tc>
        <w:tc>
          <w:tcPr>
            <w:tcW w:w="3087" w:type="dxa"/>
          </w:tcPr>
          <w:p>
            <w:pPr>
              <w:adjustRightInd w:val="0"/>
              <w:snapToGrid w:val="0"/>
              <w:spacing w:line="300" w:lineRule="auto"/>
              <w:jc w:val="center"/>
              <w:outlineLvl w:val="0"/>
              <w:rPr>
                <w:rFonts w:ascii="宋体" w:hAnsi="宋体" w:eastAsia="宋体" w:cs="Times New Roman"/>
                <w:color w:val="auto"/>
                <w:szCs w:val="21"/>
              </w:rPr>
            </w:pPr>
          </w:p>
        </w:tc>
        <w:tc>
          <w:tcPr>
            <w:tcW w:w="1198" w:type="dxa"/>
          </w:tcPr>
          <w:p>
            <w:pPr>
              <w:adjustRightInd w:val="0"/>
              <w:snapToGrid w:val="0"/>
              <w:spacing w:line="300" w:lineRule="auto"/>
              <w:jc w:val="center"/>
              <w:outlineLvl w:val="0"/>
              <w:rPr>
                <w:rFonts w:ascii="宋体" w:hAnsi="宋体" w:eastAsia="宋体" w:cs="Times New Roman"/>
                <w:color w:val="auto"/>
                <w:szCs w:val="21"/>
              </w:rPr>
            </w:pPr>
          </w:p>
        </w:tc>
        <w:tc>
          <w:tcPr>
            <w:tcW w:w="939" w:type="dxa"/>
          </w:tcPr>
          <w:p>
            <w:pPr>
              <w:adjustRightInd w:val="0"/>
              <w:snapToGrid w:val="0"/>
              <w:spacing w:line="300" w:lineRule="auto"/>
              <w:jc w:val="center"/>
              <w:outlineLvl w:val="0"/>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2</w:t>
            </w:r>
          </w:p>
        </w:tc>
        <w:tc>
          <w:tcPr>
            <w:tcW w:w="1316" w:type="dxa"/>
          </w:tcPr>
          <w:p>
            <w:pPr>
              <w:adjustRightInd w:val="0"/>
              <w:snapToGrid w:val="0"/>
              <w:spacing w:line="300" w:lineRule="auto"/>
              <w:jc w:val="center"/>
              <w:outlineLvl w:val="0"/>
              <w:rPr>
                <w:rFonts w:ascii="宋体" w:hAnsi="宋体" w:eastAsia="宋体" w:cs="Times New Roman"/>
                <w:color w:val="auto"/>
                <w:szCs w:val="21"/>
              </w:rPr>
            </w:pPr>
          </w:p>
        </w:tc>
        <w:tc>
          <w:tcPr>
            <w:tcW w:w="2268" w:type="dxa"/>
          </w:tcPr>
          <w:p>
            <w:pPr>
              <w:adjustRightInd w:val="0"/>
              <w:snapToGrid w:val="0"/>
              <w:spacing w:line="300" w:lineRule="auto"/>
              <w:jc w:val="center"/>
              <w:outlineLvl w:val="0"/>
              <w:rPr>
                <w:rFonts w:ascii="宋体" w:hAnsi="宋体" w:eastAsia="宋体" w:cs="Times New Roman"/>
                <w:color w:val="auto"/>
                <w:szCs w:val="21"/>
              </w:rPr>
            </w:pPr>
          </w:p>
        </w:tc>
        <w:tc>
          <w:tcPr>
            <w:tcW w:w="3087" w:type="dxa"/>
          </w:tcPr>
          <w:p>
            <w:pPr>
              <w:adjustRightInd w:val="0"/>
              <w:snapToGrid w:val="0"/>
              <w:spacing w:line="300" w:lineRule="auto"/>
              <w:jc w:val="center"/>
              <w:outlineLvl w:val="0"/>
              <w:rPr>
                <w:rFonts w:ascii="宋体" w:hAnsi="宋体" w:eastAsia="宋体" w:cs="Times New Roman"/>
                <w:color w:val="auto"/>
                <w:szCs w:val="21"/>
              </w:rPr>
            </w:pPr>
          </w:p>
        </w:tc>
        <w:tc>
          <w:tcPr>
            <w:tcW w:w="1198" w:type="dxa"/>
          </w:tcPr>
          <w:p>
            <w:pPr>
              <w:adjustRightInd w:val="0"/>
              <w:snapToGrid w:val="0"/>
              <w:spacing w:line="300" w:lineRule="auto"/>
              <w:jc w:val="center"/>
              <w:outlineLvl w:val="0"/>
              <w:rPr>
                <w:rFonts w:ascii="宋体" w:hAnsi="宋体" w:eastAsia="宋体" w:cs="Times New Roman"/>
                <w:color w:val="auto"/>
                <w:szCs w:val="21"/>
              </w:rPr>
            </w:pPr>
          </w:p>
        </w:tc>
        <w:tc>
          <w:tcPr>
            <w:tcW w:w="939" w:type="dxa"/>
          </w:tcPr>
          <w:p>
            <w:pPr>
              <w:adjustRightInd w:val="0"/>
              <w:snapToGrid w:val="0"/>
              <w:spacing w:line="300" w:lineRule="auto"/>
              <w:jc w:val="center"/>
              <w:outlineLvl w:val="0"/>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vAlign w:val="center"/>
          </w:tcPr>
          <w:p>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w:t>
            </w:r>
          </w:p>
        </w:tc>
        <w:tc>
          <w:tcPr>
            <w:tcW w:w="1316"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2268"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3087" w:type="dxa"/>
            <w:vAlign w:val="center"/>
          </w:tcPr>
          <w:p>
            <w:pPr>
              <w:adjustRightInd w:val="0"/>
              <w:snapToGrid w:val="0"/>
              <w:spacing w:line="300" w:lineRule="auto"/>
              <w:jc w:val="center"/>
              <w:outlineLvl w:val="0"/>
              <w:rPr>
                <w:rFonts w:ascii="宋体" w:hAnsi="宋体" w:eastAsia="宋体" w:cs="Times New Roman"/>
                <w:color w:val="auto"/>
                <w:szCs w:val="21"/>
              </w:rPr>
            </w:pPr>
          </w:p>
        </w:tc>
        <w:tc>
          <w:tcPr>
            <w:tcW w:w="1198" w:type="dxa"/>
            <w:tcBorders>
              <w:right w:val="single" w:color="auto" w:sz="4" w:space="0"/>
            </w:tcBorders>
            <w:vAlign w:val="center"/>
          </w:tcPr>
          <w:p>
            <w:pPr>
              <w:adjustRightInd w:val="0"/>
              <w:snapToGrid w:val="0"/>
              <w:spacing w:line="300" w:lineRule="auto"/>
              <w:jc w:val="center"/>
              <w:outlineLvl w:val="0"/>
              <w:rPr>
                <w:rFonts w:ascii="宋体" w:hAnsi="宋体" w:eastAsia="宋体" w:cs="Times New Roman"/>
                <w:color w:val="auto"/>
                <w:szCs w:val="21"/>
              </w:rPr>
            </w:pPr>
          </w:p>
        </w:tc>
        <w:tc>
          <w:tcPr>
            <w:tcW w:w="939" w:type="dxa"/>
            <w:tcBorders>
              <w:left w:val="single" w:color="auto" w:sz="4" w:space="0"/>
            </w:tcBorders>
            <w:vAlign w:val="center"/>
          </w:tcPr>
          <w:p>
            <w:pPr>
              <w:adjustRightInd w:val="0"/>
              <w:snapToGrid w:val="0"/>
              <w:spacing w:line="300" w:lineRule="auto"/>
              <w:jc w:val="center"/>
              <w:outlineLvl w:val="0"/>
              <w:rPr>
                <w:rFonts w:ascii="宋体" w:hAnsi="宋体" w:eastAsia="宋体" w:cs="Times New Roman"/>
                <w:color w:val="auto"/>
                <w:szCs w:val="21"/>
              </w:rPr>
            </w:pPr>
          </w:p>
        </w:tc>
      </w:tr>
    </w:tbl>
    <w:p>
      <w:pPr>
        <w:spacing w:line="300" w:lineRule="auto"/>
        <w:rPr>
          <w:rFonts w:ascii="宋体" w:hAnsi="宋体" w:eastAsia="宋体" w:cs="Times New Roman"/>
          <w:color w:val="auto"/>
          <w:szCs w:val="21"/>
        </w:rPr>
      </w:pPr>
    </w:p>
    <w:p>
      <w:pPr>
        <w:adjustRightInd w:val="0"/>
        <w:snapToGrid w:val="0"/>
        <w:spacing w:line="300" w:lineRule="auto"/>
        <w:rPr>
          <w:rFonts w:ascii="宋体" w:hAnsi="宋体" w:eastAsia="宋体" w:cs="Times New Roman"/>
          <w:color w:val="auto"/>
          <w:szCs w:val="21"/>
        </w:rPr>
      </w:pPr>
    </w:p>
    <w:p>
      <w:pPr>
        <w:adjustRightInd w:val="0"/>
        <w:snapToGrid w:val="0"/>
        <w:spacing w:line="360" w:lineRule="exact"/>
        <w:rPr>
          <w:rFonts w:ascii="Times New Roman" w:hAnsi="宋体" w:eastAsia="宋体" w:cs="Times New Roman"/>
          <w:color w:val="auto"/>
          <w:szCs w:val="21"/>
        </w:rPr>
      </w:pPr>
      <w:r>
        <w:rPr>
          <w:rFonts w:hint="eastAsia" w:ascii="宋体" w:hAnsi="宋体" w:eastAsia="宋体" w:cs="Times New Roman"/>
          <w:color w:val="auto"/>
          <w:szCs w:val="21"/>
        </w:rPr>
        <w:t>说明：</w:t>
      </w:r>
      <w:r>
        <w:rPr>
          <w:rFonts w:hint="eastAsia" w:ascii="Times New Roman" w:hAnsi="宋体" w:eastAsia="宋体" w:cs="Times New Roman"/>
          <w:color w:val="auto"/>
          <w:szCs w:val="24"/>
        </w:rPr>
        <w:t>1、应写明报价响应文件对商务与技术要求的响应和偏离情况；</w:t>
      </w:r>
    </w:p>
    <w:p>
      <w:pPr>
        <w:spacing w:line="500" w:lineRule="exact"/>
        <w:ind w:firstLine="630" w:firstLineChars="300"/>
        <w:rPr>
          <w:rFonts w:ascii="宋体" w:hAnsi="宋体" w:eastAsia="宋体" w:cs="Times New Roman"/>
          <w:b/>
          <w:color w:val="auto"/>
          <w:szCs w:val="21"/>
        </w:rPr>
      </w:pPr>
      <w:r>
        <w:rPr>
          <w:rFonts w:hint="eastAsia" w:ascii="宋体" w:hAnsi="宋体" w:eastAsia="宋体" w:cs="Times New Roman"/>
          <w:color w:val="auto"/>
          <w:szCs w:val="21"/>
        </w:rPr>
        <w:t>2、应对照询价文件</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u w:val="single"/>
          <w:lang w:eastAsia="zh-CN"/>
        </w:rPr>
        <w:t>“</w:t>
      </w:r>
      <w:r>
        <w:rPr>
          <w:rFonts w:hint="eastAsia" w:ascii="宋体" w:hAnsi="宋体" w:eastAsia="宋体" w:cs="Times New Roman"/>
          <w:b/>
          <w:color w:val="auto"/>
          <w:szCs w:val="21"/>
          <w:u w:val="single"/>
        </w:rPr>
        <w:t xml:space="preserve">采购需求”，逐条说明 </w:t>
      </w:r>
      <w:r>
        <w:rPr>
          <w:rFonts w:hint="eastAsia" w:ascii="宋体" w:hAnsi="宋体" w:eastAsia="宋体" w:cs="Times New Roman"/>
          <w:color w:val="auto"/>
          <w:szCs w:val="21"/>
        </w:rPr>
        <w:t>所提供货物和服务已对询价文件的技术规格做出了实质性的响应，并申明与技术规格条文的响应和偏离。特别对有具体参数要求的指标，报价供应商必须提供所供设备的具体参数值。</w:t>
      </w:r>
      <w:r>
        <w:rPr>
          <w:rFonts w:hint="eastAsia" w:ascii="宋体" w:hAnsi="宋体" w:eastAsia="宋体" w:cs="Times New Roman"/>
          <w:b/>
          <w:color w:val="auto"/>
          <w:szCs w:val="21"/>
        </w:rPr>
        <w:t>如果仅注明“符合”、“满足”或简单复制询价需求文件要求，将导致报价被拒绝。</w:t>
      </w:r>
    </w:p>
    <w:p>
      <w:pPr>
        <w:spacing w:line="500" w:lineRule="exact"/>
        <w:ind w:firstLine="630" w:firstLineChars="300"/>
        <w:rPr>
          <w:rFonts w:ascii="宋体" w:hAnsi="宋体" w:eastAsia="宋体" w:cs="Times New Roman"/>
          <w:color w:val="auto"/>
          <w:szCs w:val="21"/>
        </w:rPr>
      </w:pPr>
      <w:r>
        <w:rPr>
          <w:rFonts w:hint="eastAsia" w:ascii="宋体" w:hAnsi="宋体" w:eastAsia="宋体" w:cs="Times New Roman"/>
          <w:color w:val="auto"/>
          <w:szCs w:val="21"/>
        </w:rPr>
        <w:t>3、自然人参加报价的无需盖章，需要签字。</w:t>
      </w:r>
    </w:p>
    <w:p>
      <w:pPr>
        <w:spacing w:line="300" w:lineRule="auto"/>
        <w:rPr>
          <w:rFonts w:ascii="宋体" w:hAnsi="宋体" w:eastAsia="宋体" w:cs="Courier New"/>
          <w:color w:val="auto"/>
          <w:szCs w:val="21"/>
        </w:rPr>
      </w:pPr>
    </w:p>
    <w:p>
      <w:pPr>
        <w:spacing w:line="300" w:lineRule="auto"/>
        <w:rPr>
          <w:rFonts w:ascii="宋体" w:hAnsi="宋体" w:eastAsia="宋体" w:cs="Courier New"/>
          <w:color w:val="auto"/>
          <w:szCs w:val="21"/>
        </w:rPr>
      </w:pPr>
    </w:p>
    <w:p>
      <w:pPr>
        <w:spacing w:line="300" w:lineRule="auto"/>
        <w:ind w:firstLine="1470" w:firstLineChars="700"/>
        <w:rPr>
          <w:rFonts w:ascii="宋体" w:hAnsi="宋体" w:eastAsia="宋体" w:cs="Courier New"/>
          <w:color w:val="auto"/>
          <w:szCs w:val="21"/>
        </w:rPr>
      </w:pPr>
      <w:r>
        <w:rPr>
          <w:rFonts w:hint="eastAsia" w:ascii="宋体" w:hAnsi="宋体" w:eastAsia="宋体" w:cs="Courier New"/>
          <w:color w:val="auto"/>
          <w:szCs w:val="21"/>
        </w:rPr>
        <w:t>法定代表人或法定代表人授权代表签字（或盖章）:</w:t>
      </w:r>
      <w:r>
        <w:rPr>
          <w:rFonts w:hint="eastAsia" w:ascii="宋体" w:hAnsi="宋体" w:eastAsia="宋体" w:cs="Courier New"/>
          <w:color w:val="auto"/>
          <w:szCs w:val="21"/>
          <w:u w:val="single"/>
        </w:rPr>
        <w:t xml:space="preserve">                </w:t>
      </w:r>
      <w:r>
        <w:rPr>
          <w:rFonts w:hint="eastAsia" w:ascii="宋体" w:hAnsi="宋体" w:eastAsia="宋体" w:cs="Courier New"/>
          <w:color w:val="auto"/>
          <w:szCs w:val="21"/>
        </w:rPr>
        <w:t xml:space="preserve">  </w:t>
      </w:r>
    </w:p>
    <w:p>
      <w:pPr>
        <w:spacing w:line="300" w:lineRule="auto"/>
        <w:ind w:firstLine="4935" w:firstLineChars="2350"/>
        <w:rPr>
          <w:rFonts w:ascii="宋体" w:hAnsi="宋体" w:eastAsia="宋体" w:cs="Courier New"/>
          <w:color w:val="auto"/>
          <w:szCs w:val="21"/>
        </w:rPr>
      </w:pPr>
      <w:r>
        <w:rPr>
          <w:rFonts w:hint="eastAsia" w:ascii="宋体" w:hAnsi="宋体" w:eastAsia="宋体" w:cs="Courier New"/>
          <w:color w:val="auto"/>
          <w:szCs w:val="21"/>
          <w:u w:val="single"/>
        </w:rPr>
        <w:t xml:space="preserve">      </w:t>
      </w:r>
      <w:r>
        <w:rPr>
          <w:rFonts w:hint="eastAsia" w:ascii="宋体" w:hAnsi="宋体" w:eastAsia="宋体" w:cs="Courier New"/>
          <w:color w:val="auto"/>
          <w:szCs w:val="21"/>
        </w:rPr>
        <w:t>年</w:t>
      </w:r>
      <w:r>
        <w:rPr>
          <w:rFonts w:hint="eastAsia" w:ascii="宋体" w:hAnsi="宋体" w:eastAsia="宋体" w:cs="Courier New"/>
          <w:color w:val="auto"/>
          <w:szCs w:val="21"/>
          <w:u w:val="single"/>
        </w:rPr>
        <w:t xml:space="preserve">   </w:t>
      </w:r>
      <w:r>
        <w:rPr>
          <w:rFonts w:hint="eastAsia" w:ascii="宋体" w:hAnsi="宋体" w:eastAsia="宋体" w:cs="Courier New"/>
          <w:color w:val="auto"/>
          <w:szCs w:val="21"/>
        </w:rPr>
        <w:t>月</w:t>
      </w:r>
      <w:r>
        <w:rPr>
          <w:rFonts w:hint="eastAsia" w:ascii="宋体" w:hAnsi="宋体" w:eastAsia="宋体" w:cs="Courier New"/>
          <w:color w:val="auto"/>
          <w:szCs w:val="21"/>
          <w:u w:val="single"/>
        </w:rPr>
        <w:t xml:space="preserve">   </w:t>
      </w:r>
      <w:r>
        <w:rPr>
          <w:rFonts w:hint="eastAsia" w:ascii="宋体" w:hAnsi="宋体" w:eastAsia="宋体" w:cs="Courier New"/>
          <w:color w:val="auto"/>
          <w:szCs w:val="21"/>
        </w:rPr>
        <w:t>日</w:t>
      </w:r>
    </w:p>
    <w:p>
      <w:pPr>
        <w:rPr>
          <w:rFonts w:ascii="Times New Roman" w:hAnsi="Times New Roman" w:eastAsia="宋体" w:cs="Times New Roman"/>
          <w:color w:val="auto"/>
          <w:szCs w:val="24"/>
        </w:rPr>
      </w:pP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030842"/>
    </w:sdtPr>
    <w:sdtContent>
      <w:sdt>
        <w:sdtPr>
          <w:id w:val="-1669238322"/>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YjNjOTE1Y2JiZDE5YWM1ZmYxM2IwNTM4YjZlNTAifQ=="/>
  </w:docVars>
  <w:rsids>
    <w:rsidRoot w:val="009F3B1C"/>
    <w:rsid w:val="00011EB7"/>
    <w:rsid w:val="0001393D"/>
    <w:rsid w:val="0001472A"/>
    <w:rsid w:val="000168B8"/>
    <w:rsid w:val="00016907"/>
    <w:rsid w:val="00016B1D"/>
    <w:rsid w:val="00017080"/>
    <w:rsid w:val="00026150"/>
    <w:rsid w:val="000315B2"/>
    <w:rsid w:val="00032397"/>
    <w:rsid w:val="0003720F"/>
    <w:rsid w:val="00061DBF"/>
    <w:rsid w:val="0006276A"/>
    <w:rsid w:val="000718B1"/>
    <w:rsid w:val="00075CB0"/>
    <w:rsid w:val="0007670C"/>
    <w:rsid w:val="0008186C"/>
    <w:rsid w:val="00085153"/>
    <w:rsid w:val="00085B72"/>
    <w:rsid w:val="00086E66"/>
    <w:rsid w:val="00097111"/>
    <w:rsid w:val="000A1494"/>
    <w:rsid w:val="000A5538"/>
    <w:rsid w:val="000B092C"/>
    <w:rsid w:val="000B4417"/>
    <w:rsid w:val="000D147F"/>
    <w:rsid w:val="000D412A"/>
    <w:rsid w:val="000E7A7D"/>
    <w:rsid w:val="00106387"/>
    <w:rsid w:val="00107E3F"/>
    <w:rsid w:val="001103F4"/>
    <w:rsid w:val="00112FB7"/>
    <w:rsid w:val="0011700C"/>
    <w:rsid w:val="00123514"/>
    <w:rsid w:val="00123A28"/>
    <w:rsid w:val="00124753"/>
    <w:rsid w:val="00126117"/>
    <w:rsid w:val="00127DA5"/>
    <w:rsid w:val="00146EAD"/>
    <w:rsid w:val="00146EF6"/>
    <w:rsid w:val="00150579"/>
    <w:rsid w:val="00150D5D"/>
    <w:rsid w:val="00163327"/>
    <w:rsid w:val="00165273"/>
    <w:rsid w:val="0016613E"/>
    <w:rsid w:val="0017448A"/>
    <w:rsid w:val="00180C11"/>
    <w:rsid w:val="0018512F"/>
    <w:rsid w:val="0019273B"/>
    <w:rsid w:val="00194443"/>
    <w:rsid w:val="00197EB0"/>
    <w:rsid w:val="001A0F2D"/>
    <w:rsid w:val="001A3486"/>
    <w:rsid w:val="001A67E5"/>
    <w:rsid w:val="001B08C0"/>
    <w:rsid w:val="001C0428"/>
    <w:rsid w:val="001C2F6E"/>
    <w:rsid w:val="001C72C6"/>
    <w:rsid w:val="001D2165"/>
    <w:rsid w:val="001E2B65"/>
    <w:rsid w:val="001E4BC5"/>
    <w:rsid w:val="001E6B4E"/>
    <w:rsid w:val="001F598C"/>
    <w:rsid w:val="002006E1"/>
    <w:rsid w:val="00200F88"/>
    <w:rsid w:val="0020362F"/>
    <w:rsid w:val="00211140"/>
    <w:rsid w:val="00212A17"/>
    <w:rsid w:val="0021695B"/>
    <w:rsid w:val="00216A65"/>
    <w:rsid w:val="00216F83"/>
    <w:rsid w:val="00222C08"/>
    <w:rsid w:val="00230735"/>
    <w:rsid w:val="00231643"/>
    <w:rsid w:val="00246701"/>
    <w:rsid w:val="00251591"/>
    <w:rsid w:val="002547BA"/>
    <w:rsid w:val="0025584A"/>
    <w:rsid w:val="0025785F"/>
    <w:rsid w:val="00270D5F"/>
    <w:rsid w:val="00275FB6"/>
    <w:rsid w:val="00277C2B"/>
    <w:rsid w:val="002A552D"/>
    <w:rsid w:val="002B4886"/>
    <w:rsid w:val="002C7374"/>
    <w:rsid w:val="002D4EB9"/>
    <w:rsid w:val="002D5C2A"/>
    <w:rsid w:val="002F1849"/>
    <w:rsid w:val="002F2410"/>
    <w:rsid w:val="002F5AC6"/>
    <w:rsid w:val="00316C4B"/>
    <w:rsid w:val="003272BA"/>
    <w:rsid w:val="00332B68"/>
    <w:rsid w:val="0033315D"/>
    <w:rsid w:val="003359C9"/>
    <w:rsid w:val="003369CE"/>
    <w:rsid w:val="003372B2"/>
    <w:rsid w:val="00341D0C"/>
    <w:rsid w:val="00342BA8"/>
    <w:rsid w:val="003452A2"/>
    <w:rsid w:val="003464CA"/>
    <w:rsid w:val="003516DA"/>
    <w:rsid w:val="00385AA5"/>
    <w:rsid w:val="003929A6"/>
    <w:rsid w:val="00393A03"/>
    <w:rsid w:val="003A37C2"/>
    <w:rsid w:val="003B24DA"/>
    <w:rsid w:val="003C08C7"/>
    <w:rsid w:val="003C6939"/>
    <w:rsid w:val="003E4672"/>
    <w:rsid w:val="003E61BA"/>
    <w:rsid w:val="003F11EB"/>
    <w:rsid w:val="003F5682"/>
    <w:rsid w:val="0040048B"/>
    <w:rsid w:val="004004C6"/>
    <w:rsid w:val="00403DAF"/>
    <w:rsid w:val="004062BB"/>
    <w:rsid w:val="00415EDC"/>
    <w:rsid w:val="004178AC"/>
    <w:rsid w:val="00422122"/>
    <w:rsid w:val="00423EA5"/>
    <w:rsid w:val="0043482F"/>
    <w:rsid w:val="00434C3B"/>
    <w:rsid w:val="0044299C"/>
    <w:rsid w:val="00444DDC"/>
    <w:rsid w:val="00445DEA"/>
    <w:rsid w:val="00457304"/>
    <w:rsid w:val="004604FF"/>
    <w:rsid w:val="00466B80"/>
    <w:rsid w:val="00471483"/>
    <w:rsid w:val="004731C6"/>
    <w:rsid w:val="00480008"/>
    <w:rsid w:val="00484204"/>
    <w:rsid w:val="0049408E"/>
    <w:rsid w:val="00495195"/>
    <w:rsid w:val="004A2A96"/>
    <w:rsid w:val="004B42F0"/>
    <w:rsid w:val="004B6F5C"/>
    <w:rsid w:val="004B78C4"/>
    <w:rsid w:val="004C0424"/>
    <w:rsid w:val="004C1903"/>
    <w:rsid w:val="004C649F"/>
    <w:rsid w:val="004D1988"/>
    <w:rsid w:val="004D3683"/>
    <w:rsid w:val="004D7B8B"/>
    <w:rsid w:val="004E323E"/>
    <w:rsid w:val="004E35E7"/>
    <w:rsid w:val="004E7F04"/>
    <w:rsid w:val="004F5780"/>
    <w:rsid w:val="004F5E9D"/>
    <w:rsid w:val="004F62AE"/>
    <w:rsid w:val="005049DE"/>
    <w:rsid w:val="00504A65"/>
    <w:rsid w:val="00507A4D"/>
    <w:rsid w:val="00511169"/>
    <w:rsid w:val="00526C09"/>
    <w:rsid w:val="00527FAF"/>
    <w:rsid w:val="005365C0"/>
    <w:rsid w:val="00536B3A"/>
    <w:rsid w:val="005419CE"/>
    <w:rsid w:val="00541BAA"/>
    <w:rsid w:val="00543F0C"/>
    <w:rsid w:val="00551724"/>
    <w:rsid w:val="005569D5"/>
    <w:rsid w:val="00557CEA"/>
    <w:rsid w:val="0056115B"/>
    <w:rsid w:val="00562B42"/>
    <w:rsid w:val="005666C6"/>
    <w:rsid w:val="00575078"/>
    <w:rsid w:val="00580D05"/>
    <w:rsid w:val="00583A19"/>
    <w:rsid w:val="00587509"/>
    <w:rsid w:val="00595967"/>
    <w:rsid w:val="005A1CA6"/>
    <w:rsid w:val="005B2946"/>
    <w:rsid w:val="005B6F7D"/>
    <w:rsid w:val="005B7B78"/>
    <w:rsid w:val="005C5515"/>
    <w:rsid w:val="005D37AB"/>
    <w:rsid w:val="005D4A80"/>
    <w:rsid w:val="005E1CE9"/>
    <w:rsid w:val="005E1D6F"/>
    <w:rsid w:val="005E2742"/>
    <w:rsid w:val="005E606E"/>
    <w:rsid w:val="005E6D8B"/>
    <w:rsid w:val="005F22E7"/>
    <w:rsid w:val="005F2984"/>
    <w:rsid w:val="005F4015"/>
    <w:rsid w:val="005F41B3"/>
    <w:rsid w:val="005F44C2"/>
    <w:rsid w:val="005F7548"/>
    <w:rsid w:val="00610076"/>
    <w:rsid w:val="0061208F"/>
    <w:rsid w:val="0061486C"/>
    <w:rsid w:val="00622495"/>
    <w:rsid w:val="00627373"/>
    <w:rsid w:val="00631775"/>
    <w:rsid w:val="00632F81"/>
    <w:rsid w:val="006371D9"/>
    <w:rsid w:val="00637FA3"/>
    <w:rsid w:val="006411FC"/>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5021"/>
    <w:rsid w:val="006E497E"/>
    <w:rsid w:val="006E4B22"/>
    <w:rsid w:val="006E7444"/>
    <w:rsid w:val="006E75F6"/>
    <w:rsid w:val="006F4459"/>
    <w:rsid w:val="006F7AFC"/>
    <w:rsid w:val="007046C4"/>
    <w:rsid w:val="00726C0A"/>
    <w:rsid w:val="007312D9"/>
    <w:rsid w:val="0073275D"/>
    <w:rsid w:val="00744A9F"/>
    <w:rsid w:val="007472FA"/>
    <w:rsid w:val="007608AC"/>
    <w:rsid w:val="00761F99"/>
    <w:rsid w:val="00763BB2"/>
    <w:rsid w:val="00771687"/>
    <w:rsid w:val="007718D0"/>
    <w:rsid w:val="00772752"/>
    <w:rsid w:val="00774788"/>
    <w:rsid w:val="00774DE5"/>
    <w:rsid w:val="00785633"/>
    <w:rsid w:val="0079364E"/>
    <w:rsid w:val="007A0BC5"/>
    <w:rsid w:val="007A55BA"/>
    <w:rsid w:val="007A6C7D"/>
    <w:rsid w:val="007B2418"/>
    <w:rsid w:val="007C0126"/>
    <w:rsid w:val="007C2CDC"/>
    <w:rsid w:val="007C37FB"/>
    <w:rsid w:val="007C4826"/>
    <w:rsid w:val="007D3C2A"/>
    <w:rsid w:val="007D405B"/>
    <w:rsid w:val="007E6032"/>
    <w:rsid w:val="008010DA"/>
    <w:rsid w:val="0080410C"/>
    <w:rsid w:val="00806BA0"/>
    <w:rsid w:val="0081140F"/>
    <w:rsid w:val="00813205"/>
    <w:rsid w:val="00820206"/>
    <w:rsid w:val="00820500"/>
    <w:rsid w:val="00821A51"/>
    <w:rsid w:val="008227DF"/>
    <w:rsid w:val="008310FD"/>
    <w:rsid w:val="0083454D"/>
    <w:rsid w:val="00834E83"/>
    <w:rsid w:val="008353E6"/>
    <w:rsid w:val="008360E5"/>
    <w:rsid w:val="0083749B"/>
    <w:rsid w:val="008428AB"/>
    <w:rsid w:val="00842F6A"/>
    <w:rsid w:val="00844261"/>
    <w:rsid w:val="00851403"/>
    <w:rsid w:val="00852208"/>
    <w:rsid w:val="00861C51"/>
    <w:rsid w:val="00862F19"/>
    <w:rsid w:val="0086632F"/>
    <w:rsid w:val="008675CA"/>
    <w:rsid w:val="008702D9"/>
    <w:rsid w:val="00872662"/>
    <w:rsid w:val="00891D6F"/>
    <w:rsid w:val="00892F22"/>
    <w:rsid w:val="00896FB5"/>
    <w:rsid w:val="00897E0F"/>
    <w:rsid w:val="008A053F"/>
    <w:rsid w:val="008A19D1"/>
    <w:rsid w:val="008A45BB"/>
    <w:rsid w:val="008A4708"/>
    <w:rsid w:val="008B2ECA"/>
    <w:rsid w:val="008B4E2D"/>
    <w:rsid w:val="008B74F0"/>
    <w:rsid w:val="008C3BCC"/>
    <w:rsid w:val="008D312B"/>
    <w:rsid w:val="008D5688"/>
    <w:rsid w:val="008E51E8"/>
    <w:rsid w:val="008E5474"/>
    <w:rsid w:val="008F75E7"/>
    <w:rsid w:val="008F7F21"/>
    <w:rsid w:val="00904E9A"/>
    <w:rsid w:val="00907345"/>
    <w:rsid w:val="00913242"/>
    <w:rsid w:val="00922FAA"/>
    <w:rsid w:val="009230D9"/>
    <w:rsid w:val="00924B9F"/>
    <w:rsid w:val="0093507E"/>
    <w:rsid w:val="00936139"/>
    <w:rsid w:val="00942545"/>
    <w:rsid w:val="009466FE"/>
    <w:rsid w:val="00947044"/>
    <w:rsid w:val="0095501F"/>
    <w:rsid w:val="00956F32"/>
    <w:rsid w:val="009617E5"/>
    <w:rsid w:val="00964898"/>
    <w:rsid w:val="00971E70"/>
    <w:rsid w:val="009720D9"/>
    <w:rsid w:val="00986D45"/>
    <w:rsid w:val="00990531"/>
    <w:rsid w:val="009A2A15"/>
    <w:rsid w:val="009A7932"/>
    <w:rsid w:val="009B622C"/>
    <w:rsid w:val="009C07EB"/>
    <w:rsid w:val="009C19EF"/>
    <w:rsid w:val="009C35CA"/>
    <w:rsid w:val="009E40C9"/>
    <w:rsid w:val="009E652F"/>
    <w:rsid w:val="009F0566"/>
    <w:rsid w:val="009F3B1C"/>
    <w:rsid w:val="00A052FC"/>
    <w:rsid w:val="00A06186"/>
    <w:rsid w:val="00A14A41"/>
    <w:rsid w:val="00A20E7B"/>
    <w:rsid w:val="00A21B4C"/>
    <w:rsid w:val="00A23349"/>
    <w:rsid w:val="00A31842"/>
    <w:rsid w:val="00A45DC6"/>
    <w:rsid w:val="00A5239A"/>
    <w:rsid w:val="00A57F37"/>
    <w:rsid w:val="00A63416"/>
    <w:rsid w:val="00A6458F"/>
    <w:rsid w:val="00A7168B"/>
    <w:rsid w:val="00A753A9"/>
    <w:rsid w:val="00A86060"/>
    <w:rsid w:val="00A92B71"/>
    <w:rsid w:val="00A95EDB"/>
    <w:rsid w:val="00A961FA"/>
    <w:rsid w:val="00A97799"/>
    <w:rsid w:val="00AA2112"/>
    <w:rsid w:val="00AA3553"/>
    <w:rsid w:val="00AB57D1"/>
    <w:rsid w:val="00AD5BC1"/>
    <w:rsid w:val="00AD64CB"/>
    <w:rsid w:val="00AE3EDB"/>
    <w:rsid w:val="00AE456A"/>
    <w:rsid w:val="00AE5A89"/>
    <w:rsid w:val="00AE6D03"/>
    <w:rsid w:val="00AF286E"/>
    <w:rsid w:val="00AF4907"/>
    <w:rsid w:val="00AF7779"/>
    <w:rsid w:val="00B01E56"/>
    <w:rsid w:val="00B046E7"/>
    <w:rsid w:val="00B12FCB"/>
    <w:rsid w:val="00B13FE0"/>
    <w:rsid w:val="00B17A2E"/>
    <w:rsid w:val="00B31AB9"/>
    <w:rsid w:val="00B3504B"/>
    <w:rsid w:val="00B51AA0"/>
    <w:rsid w:val="00B555AA"/>
    <w:rsid w:val="00B57D0E"/>
    <w:rsid w:val="00B62380"/>
    <w:rsid w:val="00B645D6"/>
    <w:rsid w:val="00B66511"/>
    <w:rsid w:val="00B7042F"/>
    <w:rsid w:val="00B75E26"/>
    <w:rsid w:val="00B77AE4"/>
    <w:rsid w:val="00B83618"/>
    <w:rsid w:val="00B86BBB"/>
    <w:rsid w:val="00B908B0"/>
    <w:rsid w:val="00B91FE0"/>
    <w:rsid w:val="00B93A36"/>
    <w:rsid w:val="00BA376F"/>
    <w:rsid w:val="00BA7FBF"/>
    <w:rsid w:val="00BB0164"/>
    <w:rsid w:val="00BB5749"/>
    <w:rsid w:val="00BC5669"/>
    <w:rsid w:val="00BD144A"/>
    <w:rsid w:val="00BD25EE"/>
    <w:rsid w:val="00BD47C6"/>
    <w:rsid w:val="00BD5B35"/>
    <w:rsid w:val="00BD705C"/>
    <w:rsid w:val="00BD747D"/>
    <w:rsid w:val="00BE65B8"/>
    <w:rsid w:val="00BF0304"/>
    <w:rsid w:val="00BF4CDA"/>
    <w:rsid w:val="00BF4F65"/>
    <w:rsid w:val="00BF746D"/>
    <w:rsid w:val="00C0293E"/>
    <w:rsid w:val="00C03592"/>
    <w:rsid w:val="00C0481B"/>
    <w:rsid w:val="00C057A3"/>
    <w:rsid w:val="00C068CC"/>
    <w:rsid w:val="00C10C84"/>
    <w:rsid w:val="00C155FB"/>
    <w:rsid w:val="00C178AC"/>
    <w:rsid w:val="00C2311E"/>
    <w:rsid w:val="00C2342D"/>
    <w:rsid w:val="00C24B79"/>
    <w:rsid w:val="00C263E3"/>
    <w:rsid w:val="00C32C76"/>
    <w:rsid w:val="00C36FA2"/>
    <w:rsid w:val="00C371AE"/>
    <w:rsid w:val="00C54C91"/>
    <w:rsid w:val="00C56984"/>
    <w:rsid w:val="00C637E3"/>
    <w:rsid w:val="00C669EE"/>
    <w:rsid w:val="00C73746"/>
    <w:rsid w:val="00C76A5A"/>
    <w:rsid w:val="00C81212"/>
    <w:rsid w:val="00C81768"/>
    <w:rsid w:val="00C82CCE"/>
    <w:rsid w:val="00C83398"/>
    <w:rsid w:val="00C847BE"/>
    <w:rsid w:val="00C87FEC"/>
    <w:rsid w:val="00C94953"/>
    <w:rsid w:val="00C963AA"/>
    <w:rsid w:val="00C9688C"/>
    <w:rsid w:val="00CA0C7F"/>
    <w:rsid w:val="00CA49CB"/>
    <w:rsid w:val="00CA69E3"/>
    <w:rsid w:val="00CB2D25"/>
    <w:rsid w:val="00CC3E1C"/>
    <w:rsid w:val="00CC7A36"/>
    <w:rsid w:val="00CD220B"/>
    <w:rsid w:val="00CD2F1E"/>
    <w:rsid w:val="00CE325B"/>
    <w:rsid w:val="00CE32ED"/>
    <w:rsid w:val="00CF00E2"/>
    <w:rsid w:val="00CF6278"/>
    <w:rsid w:val="00D020A6"/>
    <w:rsid w:val="00D1040D"/>
    <w:rsid w:val="00D110F0"/>
    <w:rsid w:val="00D116AD"/>
    <w:rsid w:val="00D124FD"/>
    <w:rsid w:val="00D242EA"/>
    <w:rsid w:val="00D2646A"/>
    <w:rsid w:val="00D30F48"/>
    <w:rsid w:val="00D320F9"/>
    <w:rsid w:val="00D333EE"/>
    <w:rsid w:val="00D4784F"/>
    <w:rsid w:val="00D55656"/>
    <w:rsid w:val="00D70A66"/>
    <w:rsid w:val="00D70DDC"/>
    <w:rsid w:val="00D71EEC"/>
    <w:rsid w:val="00D7420A"/>
    <w:rsid w:val="00D75520"/>
    <w:rsid w:val="00D8340C"/>
    <w:rsid w:val="00D84B4F"/>
    <w:rsid w:val="00D8523A"/>
    <w:rsid w:val="00D91237"/>
    <w:rsid w:val="00D92758"/>
    <w:rsid w:val="00D95AB3"/>
    <w:rsid w:val="00D96034"/>
    <w:rsid w:val="00D96E65"/>
    <w:rsid w:val="00DA2F8E"/>
    <w:rsid w:val="00DA6BEA"/>
    <w:rsid w:val="00DB118B"/>
    <w:rsid w:val="00DC0073"/>
    <w:rsid w:val="00DC0828"/>
    <w:rsid w:val="00DC0FC6"/>
    <w:rsid w:val="00DC2DA0"/>
    <w:rsid w:val="00DC4AF2"/>
    <w:rsid w:val="00DC57F2"/>
    <w:rsid w:val="00DE63EF"/>
    <w:rsid w:val="00DE6432"/>
    <w:rsid w:val="00DF09D1"/>
    <w:rsid w:val="00DF5ED5"/>
    <w:rsid w:val="00DF7123"/>
    <w:rsid w:val="00E01EE5"/>
    <w:rsid w:val="00E021E5"/>
    <w:rsid w:val="00E11E07"/>
    <w:rsid w:val="00E17823"/>
    <w:rsid w:val="00E21E98"/>
    <w:rsid w:val="00E221CE"/>
    <w:rsid w:val="00E36854"/>
    <w:rsid w:val="00E4751B"/>
    <w:rsid w:val="00E57BBC"/>
    <w:rsid w:val="00E62996"/>
    <w:rsid w:val="00E65C1A"/>
    <w:rsid w:val="00E74579"/>
    <w:rsid w:val="00E76885"/>
    <w:rsid w:val="00E84384"/>
    <w:rsid w:val="00E84B33"/>
    <w:rsid w:val="00E85254"/>
    <w:rsid w:val="00E857DE"/>
    <w:rsid w:val="00E85928"/>
    <w:rsid w:val="00E863C1"/>
    <w:rsid w:val="00E91AE5"/>
    <w:rsid w:val="00E9337D"/>
    <w:rsid w:val="00E93EEE"/>
    <w:rsid w:val="00E964D4"/>
    <w:rsid w:val="00EA4DC1"/>
    <w:rsid w:val="00EB3614"/>
    <w:rsid w:val="00EB36CA"/>
    <w:rsid w:val="00EC12E7"/>
    <w:rsid w:val="00EC4498"/>
    <w:rsid w:val="00EC57C8"/>
    <w:rsid w:val="00EC7F4A"/>
    <w:rsid w:val="00ED5420"/>
    <w:rsid w:val="00EE2269"/>
    <w:rsid w:val="00EE3B6A"/>
    <w:rsid w:val="00EE4198"/>
    <w:rsid w:val="00EE704A"/>
    <w:rsid w:val="00EE76AA"/>
    <w:rsid w:val="00EF442F"/>
    <w:rsid w:val="00EF6C08"/>
    <w:rsid w:val="00F02C03"/>
    <w:rsid w:val="00F046E5"/>
    <w:rsid w:val="00F100D4"/>
    <w:rsid w:val="00F11D4B"/>
    <w:rsid w:val="00F1283D"/>
    <w:rsid w:val="00F1458D"/>
    <w:rsid w:val="00F22129"/>
    <w:rsid w:val="00F236DF"/>
    <w:rsid w:val="00F23A21"/>
    <w:rsid w:val="00F34061"/>
    <w:rsid w:val="00F37669"/>
    <w:rsid w:val="00F5093A"/>
    <w:rsid w:val="00F5217E"/>
    <w:rsid w:val="00F607AA"/>
    <w:rsid w:val="00F70B96"/>
    <w:rsid w:val="00F71949"/>
    <w:rsid w:val="00F735A6"/>
    <w:rsid w:val="00F73946"/>
    <w:rsid w:val="00F745FB"/>
    <w:rsid w:val="00F746BC"/>
    <w:rsid w:val="00F76DE4"/>
    <w:rsid w:val="00F821E6"/>
    <w:rsid w:val="00F92128"/>
    <w:rsid w:val="00FA66C2"/>
    <w:rsid w:val="00FA7E11"/>
    <w:rsid w:val="00FB282B"/>
    <w:rsid w:val="00FC30CB"/>
    <w:rsid w:val="00FD1592"/>
    <w:rsid w:val="00FD2EF4"/>
    <w:rsid w:val="00FD318F"/>
    <w:rsid w:val="00FE679F"/>
    <w:rsid w:val="00FF0542"/>
    <w:rsid w:val="00FF2227"/>
    <w:rsid w:val="037B6E56"/>
    <w:rsid w:val="0472574E"/>
    <w:rsid w:val="04743336"/>
    <w:rsid w:val="048823B8"/>
    <w:rsid w:val="050F641A"/>
    <w:rsid w:val="05CE47D7"/>
    <w:rsid w:val="06A52D74"/>
    <w:rsid w:val="06C646AD"/>
    <w:rsid w:val="0700568F"/>
    <w:rsid w:val="070E0E74"/>
    <w:rsid w:val="07162862"/>
    <w:rsid w:val="07426707"/>
    <w:rsid w:val="077F25A1"/>
    <w:rsid w:val="07CA60C0"/>
    <w:rsid w:val="07F20A31"/>
    <w:rsid w:val="09355D1A"/>
    <w:rsid w:val="0940212C"/>
    <w:rsid w:val="09686808"/>
    <w:rsid w:val="0B4F743E"/>
    <w:rsid w:val="0BD52D87"/>
    <w:rsid w:val="0BE549C3"/>
    <w:rsid w:val="0C623AE7"/>
    <w:rsid w:val="0CE26B88"/>
    <w:rsid w:val="0D224A3B"/>
    <w:rsid w:val="0D5F1F7C"/>
    <w:rsid w:val="0E0145AD"/>
    <w:rsid w:val="0E353520"/>
    <w:rsid w:val="0E7A4D7E"/>
    <w:rsid w:val="0F116CC3"/>
    <w:rsid w:val="0F1802C7"/>
    <w:rsid w:val="0F410360"/>
    <w:rsid w:val="0FB43E0B"/>
    <w:rsid w:val="0FFD043C"/>
    <w:rsid w:val="1066377D"/>
    <w:rsid w:val="108A0991"/>
    <w:rsid w:val="10A66963"/>
    <w:rsid w:val="12864833"/>
    <w:rsid w:val="138A0A5A"/>
    <w:rsid w:val="13996542"/>
    <w:rsid w:val="140F411D"/>
    <w:rsid w:val="15070C3B"/>
    <w:rsid w:val="150B30B8"/>
    <w:rsid w:val="1531675B"/>
    <w:rsid w:val="15806149"/>
    <w:rsid w:val="15EC4A0C"/>
    <w:rsid w:val="164C4234"/>
    <w:rsid w:val="16ED0198"/>
    <w:rsid w:val="17973A09"/>
    <w:rsid w:val="18957298"/>
    <w:rsid w:val="1A347EB0"/>
    <w:rsid w:val="1A3E3FFF"/>
    <w:rsid w:val="1A84566A"/>
    <w:rsid w:val="1AD773E3"/>
    <w:rsid w:val="1B5C6656"/>
    <w:rsid w:val="1B8D2D6A"/>
    <w:rsid w:val="1D01492E"/>
    <w:rsid w:val="1D140B78"/>
    <w:rsid w:val="1D1D6A81"/>
    <w:rsid w:val="1E550DAF"/>
    <w:rsid w:val="1EA34D9F"/>
    <w:rsid w:val="1EA35D38"/>
    <w:rsid w:val="1EE82091"/>
    <w:rsid w:val="202C6AA1"/>
    <w:rsid w:val="20DB122E"/>
    <w:rsid w:val="210E23D4"/>
    <w:rsid w:val="21745C90"/>
    <w:rsid w:val="217E3D77"/>
    <w:rsid w:val="21976D6E"/>
    <w:rsid w:val="219E5142"/>
    <w:rsid w:val="21B347DA"/>
    <w:rsid w:val="226E16CE"/>
    <w:rsid w:val="23062FBC"/>
    <w:rsid w:val="23723D94"/>
    <w:rsid w:val="237874E2"/>
    <w:rsid w:val="23D35D25"/>
    <w:rsid w:val="25AE735E"/>
    <w:rsid w:val="26720869"/>
    <w:rsid w:val="27837956"/>
    <w:rsid w:val="27EA0313"/>
    <w:rsid w:val="27ED39A4"/>
    <w:rsid w:val="2AC70583"/>
    <w:rsid w:val="2B1E666D"/>
    <w:rsid w:val="2BD02F57"/>
    <w:rsid w:val="2BF57916"/>
    <w:rsid w:val="2C2A2FAB"/>
    <w:rsid w:val="2C2D4DA9"/>
    <w:rsid w:val="2CED48BB"/>
    <w:rsid w:val="2D2B04C2"/>
    <w:rsid w:val="2DFB36C3"/>
    <w:rsid w:val="2E6833B6"/>
    <w:rsid w:val="303567C7"/>
    <w:rsid w:val="30BD00E7"/>
    <w:rsid w:val="3121449D"/>
    <w:rsid w:val="31F36526"/>
    <w:rsid w:val="32132BEF"/>
    <w:rsid w:val="323728CA"/>
    <w:rsid w:val="33021558"/>
    <w:rsid w:val="332C7D94"/>
    <w:rsid w:val="332F3736"/>
    <w:rsid w:val="341026CA"/>
    <w:rsid w:val="349439D0"/>
    <w:rsid w:val="34A15131"/>
    <w:rsid w:val="34A27104"/>
    <w:rsid w:val="351A50D3"/>
    <w:rsid w:val="354042CC"/>
    <w:rsid w:val="35681FDC"/>
    <w:rsid w:val="35A47F69"/>
    <w:rsid w:val="35B31AFA"/>
    <w:rsid w:val="35DA716E"/>
    <w:rsid w:val="372F2D4E"/>
    <w:rsid w:val="37862989"/>
    <w:rsid w:val="387062F7"/>
    <w:rsid w:val="393B7EE2"/>
    <w:rsid w:val="395D3832"/>
    <w:rsid w:val="39F143D8"/>
    <w:rsid w:val="3A3741E4"/>
    <w:rsid w:val="3BF14EBF"/>
    <w:rsid w:val="3BF233F5"/>
    <w:rsid w:val="3C464A99"/>
    <w:rsid w:val="3C4C3D0A"/>
    <w:rsid w:val="3CB55DDB"/>
    <w:rsid w:val="3CC92171"/>
    <w:rsid w:val="3D251B4A"/>
    <w:rsid w:val="3D9A7390"/>
    <w:rsid w:val="3DB2578D"/>
    <w:rsid w:val="3DF1139C"/>
    <w:rsid w:val="3E6447BA"/>
    <w:rsid w:val="3E940D80"/>
    <w:rsid w:val="3F265FBC"/>
    <w:rsid w:val="3F652DC7"/>
    <w:rsid w:val="3FF102E8"/>
    <w:rsid w:val="406C5358"/>
    <w:rsid w:val="40A07EF6"/>
    <w:rsid w:val="40CD591E"/>
    <w:rsid w:val="40EE1A79"/>
    <w:rsid w:val="41377C8C"/>
    <w:rsid w:val="4149335F"/>
    <w:rsid w:val="414C4C42"/>
    <w:rsid w:val="419B0DFB"/>
    <w:rsid w:val="431335B8"/>
    <w:rsid w:val="43506077"/>
    <w:rsid w:val="435B4DF5"/>
    <w:rsid w:val="4365375A"/>
    <w:rsid w:val="43B4421C"/>
    <w:rsid w:val="443B38CB"/>
    <w:rsid w:val="44D017E5"/>
    <w:rsid w:val="45572E39"/>
    <w:rsid w:val="45B0484B"/>
    <w:rsid w:val="45DB19F4"/>
    <w:rsid w:val="461737AB"/>
    <w:rsid w:val="466F547C"/>
    <w:rsid w:val="46DF1529"/>
    <w:rsid w:val="47037E6D"/>
    <w:rsid w:val="47052ACC"/>
    <w:rsid w:val="475C3CAE"/>
    <w:rsid w:val="4786351D"/>
    <w:rsid w:val="478D3841"/>
    <w:rsid w:val="47A73BB4"/>
    <w:rsid w:val="47EA0B89"/>
    <w:rsid w:val="49B752AC"/>
    <w:rsid w:val="49C435C4"/>
    <w:rsid w:val="49E366D7"/>
    <w:rsid w:val="4A415FF8"/>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F12B2"/>
    <w:rsid w:val="4F80503B"/>
    <w:rsid w:val="4FDA67F6"/>
    <w:rsid w:val="500D442F"/>
    <w:rsid w:val="502675D7"/>
    <w:rsid w:val="502B287F"/>
    <w:rsid w:val="50DD72C1"/>
    <w:rsid w:val="5160593A"/>
    <w:rsid w:val="51712FA4"/>
    <w:rsid w:val="521428E5"/>
    <w:rsid w:val="525F4924"/>
    <w:rsid w:val="534513A2"/>
    <w:rsid w:val="53886CE0"/>
    <w:rsid w:val="54C07F20"/>
    <w:rsid w:val="553E4DFF"/>
    <w:rsid w:val="55907A7D"/>
    <w:rsid w:val="55CB02B5"/>
    <w:rsid w:val="562217B3"/>
    <w:rsid w:val="56957A9F"/>
    <w:rsid w:val="578B6BCB"/>
    <w:rsid w:val="57A62CF9"/>
    <w:rsid w:val="58BF1AE4"/>
    <w:rsid w:val="59AA7A46"/>
    <w:rsid w:val="59EA41D4"/>
    <w:rsid w:val="5A964369"/>
    <w:rsid w:val="5AD841BD"/>
    <w:rsid w:val="5AF36432"/>
    <w:rsid w:val="5BAF3F4A"/>
    <w:rsid w:val="5BC44B03"/>
    <w:rsid w:val="5BD65822"/>
    <w:rsid w:val="5C546394"/>
    <w:rsid w:val="5C5D1991"/>
    <w:rsid w:val="5C6D62EB"/>
    <w:rsid w:val="5CD54DC2"/>
    <w:rsid w:val="5D750FD6"/>
    <w:rsid w:val="5DA932B2"/>
    <w:rsid w:val="5DAF36EB"/>
    <w:rsid w:val="5DB379CC"/>
    <w:rsid w:val="5DE51582"/>
    <w:rsid w:val="5E5B0F4D"/>
    <w:rsid w:val="5EAF5067"/>
    <w:rsid w:val="5EDE3D7A"/>
    <w:rsid w:val="5EFB284C"/>
    <w:rsid w:val="61266857"/>
    <w:rsid w:val="61381D3F"/>
    <w:rsid w:val="61FF4832"/>
    <w:rsid w:val="6230306E"/>
    <w:rsid w:val="62A366F1"/>
    <w:rsid w:val="62F11800"/>
    <w:rsid w:val="62F53A64"/>
    <w:rsid w:val="637314BA"/>
    <w:rsid w:val="63BA28EB"/>
    <w:rsid w:val="64805EB4"/>
    <w:rsid w:val="64E96AA1"/>
    <w:rsid w:val="6505560D"/>
    <w:rsid w:val="65072E81"/>
    <w:rsid w:val="65926B4F"/>
    <w:rsid w:val="66184FC6"/>
    <w:rsid w:val="667F3774"/>
    <w:rsid w:val="669B179F"/>
    <w:rsid w:val="673F6825"/>
    <w:rsid w:val="676F1DFC"/>
    <w:rsid w:val="677B7575"/>
    <w:rsid w:val="67A45DD7"/>
    <w:rsid w:val="68673EB8"/>
    <w:rsid w:val="687A109C"/>
    <w:rsid w:val="69667DCC"/>
    <w:rsid w:val="69EA2AC1"/>
    <w:rsid w:val="6A744B7E"/>
    <w:rsid w:val="6AA4064C"/>
    <w:rsid w:val="6BAF4F3B"/>
    <w:rsid w:val="6BCA2E31"/>
    <w:rsid w:val="6BE73DD7"/>
    <w:rsid w:val="6C3E515E"/>
    <w:rsid w:val="6E797D7C"/>
    <w:rsid w:val="6E981082"/>
    <w:rsid w:val="6E995ADE"/>
    <w:rsid w:val="6EB562FE"/>
    <w:rsid w:val="6EC524A8"/>
    <w:rsid w:val="6FA1019C"/>
    <w:rsid w:val="703133E5"/>
    <w:rsid w:val="70444E71"/>
    <w:rsid w:val="70E16249"/>
    <w:rsid w:val="710D72D1"/>
    <w:rsid w:val="71373C2B"/>
    <w:rsid w:val="71A4289E"/>
    <w:rsid w:val="71BC4378"/>
    <w:rsid w:val="71D818AF"/>
    <w:rsid w:val="727B6713"/>
    <w:rsid w:val="73273DCC"/>
    <w:rsid w:val="733750A3"/>
    <w:rsid w:val="73E16AC8"/>
    <w:rsid w:val="74677C8A"/>
    <w:rsid w:val="749F6ACC"/>
    <w:rsid w:val="75043A80"/>
    <w:rsid w:val="7534591D"/>
    <w:rsid w:val="75D3241B"/>
    <w:rsid w:val="75FC10E6"/>
    <w:rsid w:val="77060544"/>
    <w:rsid w:val="773F1DD6"/>
    <w:rsid w:val="786C3B04"/>
    <w:rsid w:val="78701F84"/>
    <w:rsid w:val="787178BB"/>
    <w:rsid w:val="787633B2"/>
    <w:rsid w:val="78AD2FEC"/>
    <w:rsid w:val="7B160229"/>
    <w:rsid w:val="7BCA4236"/>
    <w:rsid w:val="7D430E23"/>
    <w:rsid w:val="7E74458F"/>
    <w:rsid w:val="7E87347A"/>
    <w:rsid w:val="7EA24FE7"/>
    <w:rsid w:val="7F6E48F8"/>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5">
    <w:name w:val="heading 5"/>
    <w:basedOn w:val="1"/>
    <w:next w:val="1"/>
    <w:autoRedefine/>
    <w:unhideWhenUsed/>
    <w:qFormat/>
    <w:uiPriority w:val="9"/>
    <w:pPr>
      <w:keepNext/>
      <w:keepLines/>
      <w:spacing w:before="280" w:after="290" w:line="372" w:lineRule="auto"/>
      <w:outlineLvl w:val="4"/>
    </w:pPr>
    <w:rPr>
      <w:b/>
      <w:sz w:val="28"/>
    </w:rPr>
  </w:style>
  <w:style w:type="character" w:default="1" w:styleId="16">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420" w:firstLineChars="200"/>
    </w:pPr>
  </w:style>
  <w:style w:type="paragraph" w:styleId="3">
    <w:name w:val="Body Text Indent"/>
    <w:basedOn w:val="1"/>
    <w:autoRedefine/>
    <w:qFormat/>
    <w:uiPriority w:val="0"/>
    <w:pPr>
      <w:ind w:firstLine="830" w:firstLineChars="352"/>
    </w:pPr>
    <w:rPr>
      <w:rFonts w:ascii="仿宋_GB2312" w:eastAsia="仿宋_GB2312"/>
      <w:sz w:val="32"/>
      <w:szCs w:val="20"/>
    </w:rPr>
  </w:style>
  <w:style w:type="paragraph" w:styleId="6">
    <w:name w:val="annotation text"/>
    <w:basedOn w:val="1"/>
    <w:link w:val="18"/>
    <w:autoRedefine/>
    <w:semiHidden/>
    <w:unhideWhenUsed/>
    <w:qFormat/>
    <w:uiPriority w:val="99"/>
    <w:pPr>
      <w:jc w:val="left"/>
    </w:pPr>
  </w:style>
  <w:style w:type="paragraph" w:styleId="7">
    <w:name w:val="Body Text"/>
    <w:basedOn w:val="1"/>
    <w:unhideWhenUsed/>
    <w:qFormat/>
    <w:uiPriority w:val="99"/>
    <w:pPr>
      <w:spacing w:after="120"/>
    </w:pPr>
  </w:style>
  <w:style w:type="paragraph" w:styleId="8">
    <w:name w:val="Plain Text"/>
    <w:basedOn w:val="7"/>
    <w:next w:val="7"/>
    <w:autoRedefine/>
    <w:unhideWhenUsed/>
    <w:qFormat/>
    <w:uiPriority w:val="99"/>
    <w:rPr>
      <w:rFonts w:ascii="宋体" w:hAnsi="宋体" w:eastAsia="宋体"/>
      <w:sz w:val="52"/>
    </w:rPr>
  </w:style>
  <w:style w:type="paragraph" w:styleId="9">
    <w:name w:val="Balloon Text"/>
    <w:basedOn w:val="1"/>
    <w:link w:val="20"/>
    <w:autoRedefine/>
    <w:semiHidden/>
    <w:unhideWhenUsed/>
    <w:qFormat/>
    <w:uiPriority w:val="99"/>
    <w:rPr>
      <w:sz w:val="18"/>
      <w:szCs w:val="18"/>
    </w:rPr>
  </w:style>
  <w:style w:type="paragraph" w:styleId="10">
    <w:name w:val="footer"/>
    <w:basedOn w:val="1"/>
    <w:link w:val="23"/>
    <w:autoRedefine/>
    <w:unhideWhenUsed/>
    <w:qFormat/>
    <w:uiPriority w:val="99"/>
    <w:pPr>
      <w:tabs>
        <w:tab w:val="center" w:pos="4153"/>
        <w:tab w:val="right" w:pos="8306"/>
      </w:tabs>
      <w:snapToGrid w:val="0"/>
      <w:jc w:val="left"/>
    </w:pPr>
    <w:rPr>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13">
    <w:name w:val="annotation subject"/>
    <w:basedOn w:val="6"/>
    <w:next w:val="6"/>
    <w:link w:val="19"/>
    <w:autoRedefine/>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autoRedefine/>
    <w:semiHidden/>
    <w:unhideWhenUsed/>
    <w:qFormat/>
    <w:uiPriority w:val="99"/>
    <w:rPr>
      <w:sz w:val="21"/>
      <w:szCs w:val="21"/>
    </w:rPr>
  </w:style>
  <w:style w:type="character" w:customStyle="1" w:styleId="18">
    <w:name w:val="批注文字 Char"/>
    <w:basedOn w:val="16"/>
    <w:link w:val="6"/>
    <w:autoRedefine/>
    <w:semiHidden/>
    <w:qFormat/>
    <w:uiPriority w:val="99"/>
  </w:style>
  <w:style w:type="character" w:customStyle="1" w:styleId="19">
    <w:name w:val="批注主题 Char"/>
    <w:basedOn w:val="18"/>
    <w:link w:val="13"/>
    <w:autoRedefine/>
    <w:semiHidden/>
    <w:qFormat/>
    <w:uiPriority w:val="99"/>
    <w:rPr>
      <w:b/>
      <w:bCs/>
    </w:rPr>
  </w:style>
  <w:style w:type="character" w:customStyle="1" w:styleId="20">
    <w:name w:val="批注框文本 Char"/>
    <w:basedOn w:val="16"/>
    <w:link w:val="9"/>
    <w:autoRedefine/>
    <w:semiHidden/>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页眉 Char"/>
    <w:basedOn w:val="16"/>
    <w:link w:val="11"/>
    <w:autoRedefine/>
    <w:qFormat/>
    <w:uiPriority w:val="99"/>
    <w:rPr>
      <w:sz w:val="18"/>
      <w:szCs w:val="18"/>
    </w:rPr>
  </w:style>
  <w:style w:type="character" w:customStyle="1" w:styleId="23">
    <w:name w:val="页脚 Char"/>
    <w:basedOn w:val="16"/>
    <w:link w:val="10"/>
    <w:autoRedefine/>
    <w:qFormat/>
    <w:uiPriority w:val="99"/>
    <w:rPr>
      <w:sz w:val="18"/>
      <w:szCs w:val="18"/>
    </w:rPr>
  </w:style>
  <w:style w:type="character" w:customStyle="1" w:styleId="24">
    <w:name w:val="font41"/>
    <w:basedOn w:val="16"/>
    <w:autoRedefine/>
    <w:qFormat/>
    <w:uiPriority w:val="0"/>
    <w:rPr>
      <w:rFonts w:hint="eastAsia" w:ascii="宋体" w:hAnsi="宋体" w:eastAsia="宋体" w:cs="宋体"/>
      <w:b/>
      <w:color w:val="000000"/>
      <w:sz w:val="20"/>
      <w:szCs w:val="20"/>
      <w:u w:val="none"/>
    </w:rPr>
  </w:style>
  <w:style w:type="character" w:customStyle="1" w:styleId="25">
    <w:name w:val="font51"/>
    <w:basedOn w:val="16"/>
    <w:autoRedefine/>
    <w:qFormat/>
    <w:uiPriority w:val="0"/>
    <w:rPr>
      <w:rFonts w:hint="eastAsia" w:ascii="宋体" w:hAnsi="宋体" w:eastAsia="宋体" w:cs="宋体"/>
      <w:color w:val="000000"/>
      <w:sz w:val="20"/>
      <w:szCs w:val="20"/>
      <w:u w:val="none"/>
    </w:rPr>
  </w:style>
  <w:style w:type="character" w:customStyle="1" w:styleId="26">
    <w:name w:val="font31"/>
    <w:basedOn w:val="16"/>
    <w:autoRedefine/>
    <w:qFormat/>
    <w:uiPriority w:val="0"/>
    <w:rPr>
      <w:rFonts w:hint="eastAsia" w:ascii="宋体" w:hAnsi="宋体" w:eastAsia="宋体" w:cs="宋体"/>
      <w:b/>
      <w:color w:val="000000"/>
      <w:sz w:val="20"/>
      <w:szCs w:val="20"/>
      <w:u w:val="none"/>
    </w:rPr>
  </w:style>
  <w:style w:type="character" w:customStyle="1" w:styleId="27">
    <w:name w:val="font61"/>
    <w:basedOn w:val="16"/>
    <w:autoRedefine/>
    <w:qFormat/>
    <w:uiPriority w:val="0"/>
    <w:rPr>
      <w:rFonts w:hint="eastAsia" w:ascii="宋体" w:hAnsi="宋体" w:eastAsia="宋体" w:cs="宋体"/>
      <w:color w:val="000000"/>
      <w:sz w:val="20"/>
      <w:szCs w:val="20"/>
      <w:u w:val="none"/>
    </w:rPr>
  </w:style>
  <w:style w:type="character" w:customStyle="1" w:styleId="28">
    <w:name w:val="NormalCharacter"/>
    <w:autoRedefine/>
    <w:semiHidden/>
    <w:qFormat/>
    <w:uiPriority w:val="0"/>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font101"/>
    <w:basedOn w:val="16"/>
    <w:autoRedefine/>
    <w:qFormat/>
    <w:uiPriority w:val="0"/>
    <w:rPr>
      <w:rFonts w:hint="eastAsia" w:ascii="宋体" w:hAnsi="宋体" w:eastAsia="宋体" w:cs="宋体"/>
      <w:b/>
      <w:bCs/>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7A66-498C-4E5A-B058-7C841338240F}">
  <ds:schemaRefs/>
</ds:datastoreItem>
</file>

<file path=docProps/app.xml><?xml version="1.0" encoding="utf-8"?>
<Properties xmlns="http://schemas.openxmlformats.org/officeDocument/2006/extended-properties" xmlns:vt="http://schemas.openxmlformats.org/officeDocument/2006/docPropsVTypes">
  <Template>Normal.dotm</Template>
  <Company>wqq</Company>
  <Pages>12</Pages>
  <Words>6328</Words>
  <Characters>2229</Characters>
  <Lines>18</Lines>
  <Paragraphs>17</Paragraphs>
  <TotalTime>10</TotalTime>
  <ScaleCrop>false</ScaleCrop>
  <LinksUpToDate>false</LinksUpToDate>
  <CharactersWithSpaces>8540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2024-08-05T06:40:00Z</dcterms:created>
  <dc:creator>Administrator</dc:creator>
  <cp:lastModifiedBy>7788</cp:lastModifiedBy>
  <cp:lastPrinted>2020-11-02T06:12:00Z</cp:lastPrinted>
  <dcterms:modified xsi:type="dcterms:W3CDTF">2024-08-22T02:47:36Z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E55DBDEF2CD04EB5AF64B6C0C69C9A0F_13</vt:lpwstr>
  </property>
</Properties>
</file>