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E4E190">
      <w:pPr>
        <w:jc w:val="center"/>
        <w:rPr>
          <w:rFonts w:ascii="宋体" w:hAnsi="宋体" w:eastAsia="宋体" w:cs="宋体"/>
          <w:b/>
          <w:sz w:val="32"/>
        </w:rPr>
      </w:pPr>
      <w:r>
        <w:rPr>
          <w:rFonts w:ascii="宋体" w:hAnsi="宋体" w:eastAsia="宋体" w:cs="宋体"/>
          <w:b/>
          <w:sz w:val="32"/>
        </w:rPr>
        <w:t>广西机电技师学院</w:t>
      </w:r>
    </w:p>
    <w:p w14:paraId="4A5EB7B0">
      <w:pPr>
        <w:jc w:val="center"/>
        <w:rPr>
          <w:rFonts w:hint="default" w:ascii="宋体" w:hAnsi="宋体" w:eastAsia="宋体" w:cs="宋体"/>
          <w:b/>
          <w:color w:val="FF0000"/>
          <w:sz w:val="32"/>
          <w:lang w:val="en-US" w:eastAsia="zh-CN"/>
        </w:rPr>
      </w:pPr>
      <w:bookmarkStart w:id="0" w:name="OLE_LINK3"/>
      <w:r>
        <w:rPr>
          <w:rFonts w:hint="eastAsia" w:ascii="宋体" w:hAnsi="宋体" w:eastAsia="宋体" w:cs="宋体"/>
          <w:b/>
          <w:sz w:val="32"/>
        </w:rPr>
        <w:t>柳东校区</w:t>
      </w:r>
      <w:r>
        <w:rPr>
          <w:rFonts w:ascii="宋体" w:hAnsi="宋体" w:eastAsia="宋体" w:cs="宋体"/>
          <w:b/>
          <w:sz w:val="32"/>
        </w:rPr>
        <w:t>互联网光纤专线服务采购</w:t>
      </w:r>
      <w:r>
        <w:rPr>
          <w:rFonts w:hint="eastAsia" w:ascii="宋体" w:hAnsi="宋体" w:eastAsia="宋体" w:cs="宋体"/>
          <w:b/>
          <w:sz w:val="32"/>
        </w:rPr>
        <w:t>需求</w:t>
      </w:r>
      <w:bookmarkEnd w:id="0"/>
    </w:p>
    <w:p w14:paraId="775D7A71"/>
    <w:tbl>
      <w:tblPr>
        <w:tblStyle w:val="2"/>
        <w:tblW w:w="47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
        <w:gridCol w:w="667"/>
        <w:gridCol w:w="6232"/>
        <w:gridCol w:w="664"/>
      </w:tblGrid>
      <w:tr w14:paraId="620FB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293" w:type="pct"/>
            <w:vMerge w:val="restart"/>
            <w:vAlign w:val="center"/>
          </w:tcPr>
          <w:p w14:paraId="61D83347">
            <w:pPr>
              <w:spacing w:line="0" w:lineRule="atLeast"/>
              <w:jc w:val="center"/>
              <w:rPr>
                <w:rFonts w:hint="eastAsia" w:ascii="新宋体" w:hAnsi="新宋体" w:eastAsia="新宋体" w:cs="宋体"/>
                <w:b/>
                <w:bCs/>
                <w:color w:val="000000"/>
                <w:kern w:val="0"/>
                <w:sz w:val="24"/>
              </w:rPr>
            </w:pPr>
            <w:r>
              <w:rPr>
                <w:rFonts w:hint="eastAsia" w:ascii="新宋体" w:hAnsi="新宋体" w:eastAsia="新宋体" w:cs="宋体"/>
                <w:b/>
                <w:bCs/>
                <w:color w:val="000000"/>
                <w:kern w:val="0"/>
                <w:sz w:val="24"/>
              </w:rPr>
              <w:t>序号</w:t>
            </w:r>
          </w:p>
        </w:tc>
        <w:tc>
          <w:tcPr>
            <w:tcW w:w="415" w:type="pct"/>
            <w:vMerge w:val="restart"/>
            <w:vAlign w:val="center"/>
          </w:tcPr>
          <w:p w14:paraId="3E341019">
            <w:pPr>
              <w:spacing w:line="0" w:lineRule="atLeast"/>
              <w:jc w:val="center"/>
              <w:rPr>
                <w:rFonts w:hint="eastAsia" w:ascii="新宋体" w:hAnsi="新宋体" w:eastAsia="新宋体" w:cs="宋体"/>
                <w:b/>
                <w:bCs/>
                <w:color w:val="000000"/>
                <w:kern w:val="0"/>
                <w:sz w:val="24"/>
              </w:rPr>
            </w:pPr>
            <w:r>
              <w:rPr>
                <w:rFonts w:hint="eastAsia" w:ascii="新宋体" w:hAnsi="新宋体" w:eastAsia="新宋体" w:cs="宋体"/>
                <w:b/>
                <w:bCs/>
                <w:color w:val="000000"/>
                <w:kern w:val="0"/>
                <w:sz w:val="24"/>
              </w:rPr>
              <w:t>项目</w:t>
            </w:r>
          </w:p>
          <w:p w14:paraId="6E5A58BC">
            <w:pPr>
              <w:spacing w:line="0" w:lineRule="atLeast"/>
              <w:jc w:val="center"/>
              <w:rPr>
                <w:rFonts w:hint="eastAsia" w:ascii="新宋体" w:hAnsi="新宋体" w:eastAsia="新宋体" w:cs="宋体"/>
                <w:b/>
                <w:bCs/>
                <w:color w:val="000000"/>
                <w:kern w:val="0"/>
                <w:sz w:val="24"/>
              </w:rPr>
            </w:pPr>
            <w:r>
              <w:rPr>
                <w:rFonts w:hint="eastAsia" w:ascii="新宋体" w:hAnsi="新宋体" w:eastAsia="新宋体" w:cs="宋体"/>
                <w:b/>
                <w:bCs/>
                <w:color w:val="000000"/>
                <w:kern w:val="0"/>
                <w:sz w:val="24"/>
              </w:rPr>
              <w:t>名称</w:t>
            </w:r>
          </w:p>
        </w:tc>
        <w:tc>
          <w:tcPr>
            <w:tcW w:w="3879" w:type="pct"/>
            <w:vMerge w:val="restart"/>
            <w:vAlign w:val="center"/>
          </w:tcPr>
          <w:p w14:paraId="1B0B1358">
            <w:pPr>
              <w:spacing w:line="0" w:lineRule="atLeast"/>
              <w:jc w:val="center"/>
              <w:rPr>
                <w:rFonts w:hint="eastAsia" w:ascii="新宋体" w:hAnsi="新宋体" w:eastAsia="新宋体" w:cs="宋体"/>
                <w:b/>
                <w:bCs/>
                <w:color w:val="000000"/>
                <w:kern w:val="0"/>
                <w:sz w:val="24"/>
              </w:rPr>
            </w:pPr>
            <w:r>
              <w:rPr>
                <w:rFonts w:hint="eastAsia" w:ascii="新宋体" w:hAnsi="新宋体" w:eastAsia="新宋体" w:cs="宋体"/>
                <w:b/>
                <w:bCs/>
                <w:color w:val="000000"/>
                <w:kern w:val="0"/>
                <w:sz w:val="24"/>
              </w:rPr>
              <w:t>需求内容</w:t>
            </w:r>
          </w:p>
        </w:tc>
        <w:tc>
          <w:tcPr>
            <w:tcW w:w="414" w:type="pct"/>
            <w:vMerge w:val="restart"/>
            <w:vAlign w:val="center"/>
          </w:tcPr>
          <w:p w14:paraId="12F1D1F1">
            <w:pPr>
              <w:spacing w:line="0" w:lineRule="atLeast"/>
              <w:jc w:val="center"/>
              <w:rPr>
                <w:rFonts w:hint="eastAsia" w:ascii="新宋体" w:hAnsi="新宋体" w:eastAsia="新宋体" w:cs="宋体"/>
                <w:b/>
                <w:bCs/>
                <w:color w:val="000000"/>
                <w:kern w:val="0"/>
                <w:sz w:val="24"/>
              </w:rPr>
            </w:pPr>
            <w:r>
              <w:rPr>
                <w:rFonts w:hint="eastAsia" w:ascii="新宋体" w:hAnsi="新宋体" w:eastAsia="新宋体" w:cs="宋体"/>
                <w:b/>
                <w:bCs/>
                <w:color w:val="000000"/>
                <w:kern w:val="0"/>
                <w:sz w:val="24"/>
              </w:rPr>
              <w:t>响应细节</w:t>
            </w:r>
          </w:p>
        </w:tc>
      </w:tr>
      <w:tr w14:paraId="13417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293" w:type="pct"/>
            <w:vMerge w:val="continue"/>
            <w:vAlign w:val="center"/>
          </w:tcPr>
          <w:p w14:paraId="10B20773">
            <w:pPr>
              <w:spacing w:line="0" w:lineRule="atLeast"/>
              <w:jc w:val="left"/>
              <w:rPr>
                <w:rFonts w:hint="eastAsia" w:ascii="新宋体" w:hAnsi="新宋体" w:eastAsia="新宋体" w:cs="宋体"/>
                <w:color w:val="000000"/>
                <w:kern w:val="0"/>
                <w:sz w:val="24"/>
              </w:rPr>
            </w:pPr>
          </w:p>
        </w:tc>
        <w:tc>
          <w:tcPr>
            <w:tcW w:w="415" w:type="pct"/>
            <w:vMerge w:val="continue"/>
            <w:vAlign w:val="center"/>
          </w:tcPr>
          <w:p w14:paraId="18D4941B">
            <w:pPr>
              <w:spacing w:line="0" w:lineRule="atLeast"/>
              <w:jc w:val="left"/>
              <w:rPr>
                <w:rFonts w:hint="eastAsia" w:ascii="新宋体" w:hAnsi="新宋体" w:eastAsia="新宋体" w:cs="宋体"/>
                <w:color w:val="000000"/>
                <w:kern w:val="0"/>
                <w:sz w:val="24"/>
              </w:rPr>
            </w:pPr>
          </w:p>
        </w:tc>
        <w:tc>
          <w:tcPr>
            <w:tcW w:w="3879" w:type="pct"/>
            <w:vMerge w:val="continue"/>
            <w:vAlign w:val="center"/>
          </w:tcPr>
          <w:p w14:paraId="2E4294AB">
            <w:pPr>
              <w:spacing w:line="0" w:lineRule="atLeast"/>
              <w:jc w:val="left"/>
              <w:rPr>
                <w:rFonts w:hint="eastAsia" w:ascii="新宋体" w:hAnsi="新宋体" w:eastAsia="新宋体" w:cs="宋体"/>
                <w:color w:val="000000"/>
                <w:kern w:val="0"/>
                <w:sz w:val="24"/>
              </w:rPr>
            </w:pPr>
          </w:p>
        </w:tc>
        <w:tc>
          <w:tcPr>
            <w:tcW w:w="414" w:type="pct"/>
            <w:vMerge w:val="continue"/>
            <w:vAlign w:val="center"/>
          </w:tcPr>
          <w:p w14:paraId="4B4E3B30">
            <w:pPr>
              <w:spacing w:line="0" w:lineRule="atLeast"/>
              <w:jc w:val="left"/>
              <w:rPr>
                <w:rFonts w:hint="eastAsia" w:ascii="新宋体" w:hAnsi="新宋体" w:eastAsia="新宋体" w:cs="宋体"/>
                <w:color w:val="000000"/>
                <w:kern w:val="0"/>
                <w:sz w:val="24"/>
              </w:rPr>
            </w:pPr>
          </w:p>
        </w:tc>
      </w:tr>
      <w:tr w14:paraId="3A26B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14:paraId="03DE06F6">
            <w:pPr>
              <w:spacing w:line="0" w:lineRule="atLeast"/>
              <w:jc w:val="center"/>
              <w:rPr>
                <w:rFonts w:hint="eastAsia" w:hAnsi="宋体" w:cs="宋体" w:eastAsiaTheme="minorEastAsia"/>
                <w:color w:val="000000"/>
                <w:kern w:val="0"/>
                <w:sz w:val="24"/>
                <w:lang w:val="en-US" w:eastAsia="zh-CN"/>
              </w:rPr>
            </w:pPr>
            <w:r>
              <w:rPr>
                <w:rFonts w:hint="eastAsia" w:hAnsi="宋体" w:cs="宋体"/>
                <w:color w:val="000000"/>
                <w:kern w:val="0"/>
                <w:sz w:val="24"/>
                <w:lang w:val="en-US" w:eastAsia="zh-CN"/>
              </w:rPr>
              <w:t>1</w:t>
            </w:r>
          </w:p>
        </w:tc>
        <w:tc>
          <w:tcPr>
            <w:tcW w:w="415" w:type="pct"/>
            <w:vAlign w:val="center"/>
          </w:tcPr>
          <w:p w14:paraId="5FDFEE64">
            <w:pPr>
              <w:spacing w:line="0" w:lineRule="atLeast"/>
              <w:jc w:val="center"/>
              <w:rPr>
                <w:rFonts w:hint="default" w:hAnsi="宋体" w:cs="宋体" w:eastAsiaTheme="minorEastAsia"/>
                <w:color w:val="000000"/>
                <w:kern w:val="0"/>
                <w:sz w:val="24"/>
                <w:lang w:val="en-US" w:eastAsia="zh-CN"/>
              </w:rPr>
            </w:pPr>
            <w:r>
              <w:rPr>
                <w:rFonts w:hint="eastAsia" w:hAnsi="宋体" w:cs="宋体"/>
                <w:color w:val="000000"/>
                <w:kern w:val="0"/>
                <w:sz w:val="24"/>
                <w:lang w:val="en-US" w:eastAsia="zh-CN"/>
              </w:rPr>
              <w:t>资质要求</w:t>
            </w:r>
          </w:p>
        </w:tc>
        <w:tc>
          <w:tcPr>
            <w:tcW w:w="3879" w:type="pct"/>
            <w:vAlign w:val="center"/>
          </w:tcPr>
          <w:p w14:paraId="2A8F2B04">
            <w:pPr>
              <w:pStyle w:val="4"/>
              <w:widowControl w:val="0"/>
              <w:numPr>
                <w:ilvl w:val="0"/>
                <w:numId w:val="1"/>
              </w:numPr>
              <w:spacing w:line="0" w:lineRule="atLeast"/>
              <w:ind w:firstLineChars="0"/>
              <w:jc w:val="left"/>
              <w:rPr>
                <w:rFonts w:hint="eastAsia" w:hAnsi="宋体" w:cs="宋体"/>
                <w:color w:val="000000"/>
                <w:kern w:val="0"/>
                <w:sz w:val="24"/>
                <w:szCs w:val="24"/>
              </w:rPr>
            </w:pPr>
            <w:r>
              <w:rPr>
                <w:rFonts w:hint="eastAsia" w:hAnsi="宋体" w:cs="宋体"/>
                <w:color w:val="000000"/>
                <w:kern w:val="0"/>
                <w:sz w:val="24"/>
                <w:szCs w:val="24"/>
              </w:rPr>
              <w:t>在中华人民共和国境内注册，具有《基础电信业务经营许可证》或《增值电信业务经营许可证》固网运营资质的运营商。</w:t>
            </w:r>
          </w:p>
          <w:p w14:paraId="4147D8E6">
            <w:pPr>
              <w:pStyle w:val="4"/>
              <w:widowControl w:val="0"/>
              <w:numPr>
                <w:ilvl w:val="0"/>
                <w:numId w:val="1"/>
              </w:numPr>
              <w:spacing w:line="0" w:lineRule="atLeast"/>
              <w:ind w:firstLineChars="0"/>
              <w:jc w:val="left"/>
              <w:rPr>
                <w:rFonts w:hint="eastAsia" w:hAnsi="宋体" w:cs="宋体"/>
                <w:color w:val="000000"/>
                <w:kern w:val="0"/>
                <w:sz w:val="24"/>
                <w:szCs w:val="24"/>
              </w:rPr>
            </w:pPr>
            <w:r>
              <w:rPr>
                <w:rFonts w:hint="eastAsia" w:hAnsi="宋体" w:cs="宋体"/>
                <w:color w:val="000000"/>
                <w:kern w:val="0"/>
                <w:sz w:val="24"/>
                <w:szCs w:val="24"/>
              </w:rPr>
              <w:t>只接受基础电信运营商直接投标，不接受联合体投标以及代理商投标的形式。</w:t>
            </w:r>
          </w:p>
        </w:tc>
        <w:tc>
          <w:tcPr>
            <w:tcW w:w="414" w:type="pct"/>
            <w:vAlign w:val="center"/>
          </w:tcPr>
          <w:p w14:paraId="572F993E">
            <w:pPr>
              <w:spacing w:line="0" w:lineRule="atLeast"/>
              <w:rPr>
                <w:rFonts w:hint="eastAsia" w:hAnsi="宋体" w:cs="宋体"/>
                <w:color w:val="000000"/>
                <w:kern w:val="0"/>
                <w:sz w:val="24"/>
              </w:rPr>
            </w:pPr>
          </w:p>
        </w:tc>
      </w:tr>
      <w:tr w14:paraId="7E2F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14:paraId="525E8311">
            <w:pPr>
              <w:spacing w:line="0" w:lineRule="atLeast"/>
              <w:jc w:val="center"/>
              <w:rPr>
                <w:rFonts w:hint="eastAsia" w:hAnsi="宋体" w:cs="宋体" w:eastAsiaTheme="minorEastAsia"/>
                <w:color w:val="000000"/>
                <w:kern w:val="0"/>
                <w:sz w:val="24"/>
                <w:lang w:eastAsia="zh-CN"/>
              </w:rPr>
            </w:pPr>
            <w:r>
              <w:rPr>
                <w:rFonts w:hint="eastAsia" w:hAnsi="宋体" w:cs="宋体"/>
                <w:color w:val="000000"/>
                <w:kern w:val="0"/>
                <w:sz w:val="24"/>
                <w:lang w:val="en-US" w:eastAsia="zh-CN"/>
              </w:rPr>
              <w:t>2</w:t>
            </w:r>
          </w:p>
        </w:tc>
        <w:tc>
          <w:tcPr>
            <w:tcW w:w="415" w:type="pct"/>
            <w:vAlign w:val="center"/>
          </w:tcPr>
          <w:p w14:paraId="0ED709E8">
            <w:pPr>
              <w:spacing w:line="0" w:lineRule="atLeast"/>
              <w:jc w:val="center"/>
              <w:rPr>
                <w:rFonts w:hint="eastAsia" w:hAnsi="宋体" w:cs="宋体"/>
                <w:color w:val="000000"/>
                <w:kern w:val="0"/>
                <w:sz w:val="24"/>
              </w:rPr>
            </w:pPr>
            <w:r>
              <w:rPr>
                <w:rFonts w:hint="eastAsia" w:hAnsi="宋体" w:cs="宋体"/>
                <w:color w:val="000000"/>
                <w:kern w:val="0"/>
                <w:sz w:val="24"/>
              </w:rPr>
              <w:t>出口</w:t>
            </w:r>
          </w:p>
        </w:tc>
        <w:tc>
          <w:tcPr>
            <w:tcW w:w="3879" w:type="pct"/>
            <w:vAlign w:val="center"/>
          </w:tcPr>
          <w:p w14:paraId="6AA3BDE1">
            <w:pPr>
              <w:pStyle w:val="4"/>
              <w:widowControl w:val="0"/>
              <w:numPr>
                <w:ilvl w:val="0"/>
                <w:numId w:val="2"/>
              </w:numPr>
              <w:spacing w:line="0" w:lineRule="atLeast"/>
              <w:ind w:firstLineChars="0"/>
              <w:jc w:val="left"/>
              <w:rPr>
                <w:rFonts w:hint="eastAsia" w:hAnsi="宋体" w:cs="宋体"/>
                <w:color w:val="auto"/>
                <w:kern w:val="0"/>
                <w:sz w:val="24"/>
                <w:szCs w:val="24"/>
              </w:rPr>
            </w:pPr>
            <w:r>
              <w:rPr>
                <w:rFonts w:hint="eastAsia" w:hAnsi="宋体" w:cs="宋体"/>
                <w:b/>
                <w:kern w:val="0"/>
                <w:sz w:val="24"/>
                <w:szCs w:val="24"/>
              </w:rPr>
              <w:t>▲</w:t>
            </w:r>
            <w:r>
              <w:rPr>
                <w:rFonts w:hint="eastAsia" w:hAnsi="宋体" w:cs="宋体"/>
                <w:color w:val="000000"/>
                <w:kern w:val="0"/>
                <w:sz w:val="24"/>
                <w:szCs w:val="24"/>
              </w:rPr>
              <w:t>提</w:t>
            </w:r>
            <w:r>
              <w:rPr>
                <w:rFonts w:hint="eastAsia" w:hAnsi="宋体" w:cs="宋体"/>
                <w:color w:val="auto"/>
                <w:kern w:val="0"/>
                <w:sz w:val="24"/>
                <w:szCs w:val="24"/>
              </w:rPr>
              <w:t>供IPv4+IPv6双栈、纯IPv</w:t>
            </w:r>
            <w:r>
              <w:rPr>
                <w:rFonts w:hAnsi="宋体" w:cs="宋体"/>
                <w:color w:val="auto"/>
                <w:kern w:val="0"/>
                <w:sz w:val="24"/>
                <w:szCs w:val="24"/>
              </w:rPr>
              <w:t>6</w:t>
            </w:r>
            <w:r>
              <w:rPr>
                <w:rFonts w:hint="eastAsia" w:hAnsi="宋体" w:cs="宋体"/>
                <w:color w:val="auto"/>
                <w:kern w:val="0"/>
                <w:sz w:val="24"/>
                <w:szCs w:val="24"/>
              </w:rPr>
              <w:t>以及其他各种常用网络协议的全协议支持；</w:t>
            </w:r>
          </w:p>
          <w:p w14:paraId="26B84E36">
            <w:pPr>
              <w:pStyle w:val="4"/>
              <w:widowControl w:val="0"/>
              <w:numPr>
                <w:ilvl w:val="0"/>
                <w:numId w:val="2"/>
              </w:numPr>
              <w:spacing w:line="0" w:lineRule="atLeast"/>
              <w:ind w:firstLineChars="0"/>
              <w:jc w:val="left"/>
              <w:rPr>
                <w:rFonts w:hint="eastAsia" w:hAnsi="宋体" w:cs="宋体"/>
                <w:color w:val="auto"/>
                <w:kern w:val="0"/>
                <w:sz w:val="24"/>
                <w:szCs w:val="24"/>
              </w:rPr>
            </w:pPr>
            <w:r>
              <w:rPr>
                <w:rFonts w:hint="eastAsia" w:hAnsi="宋体" w:cs="宋体"/>
                <w:b/>
                <w:color w:val="auto"/>
                <w:kern w:val="0"/>
                <w:sz w:val="24"/>
                <w:szCs w:val="24"/>
              </w:rPr>
              <w:t>▲</w:t>
            </w:r>
            <w:r>
              <w:rPr>
                <w:rFonts w:hAnsi="宋体" w:cs="宋体"/>
                <w:color w:val="auto"/>
                <w:kern w:val="0"/>
                <w:sz w:val="24"/>
                <w:szCs w:val="24"/>
              </w:rPr>
              <w:t>出口带宽</w:t>
            </w:r>
            <w:r>
              <w:rPr>
                <w:rFonts w:hint="eastAsia" w:hAnsi="宋体" w:cs="宋体"/>
                <w:color w:val="auto"/>
                <w:kern w:val="0"/>
                <w:sz w:val="24"/>
                <w:szCs w:val="24"/>
              </w:rPr>
              <w:t>要求上下行对等独享，且上下行均</w:t>
            </w:r>
            <w:r>
              <w:rPr>
                <w:rFonts w:hAnsi="宋体" w:cs="宋体"/>
                <w:color w:val="auto"/>
                <w:kern w:val="0"/>
                <w:sz w:val="24"/>
                <w:szCs w:val="24"/>
              </w:rPr>
              <w:t>不低</w:t>
            </w:r>
            <w:r>
              <w:rPr>
                <w:rFonts w:hint="eastAsia" w:hAnsi="宋体" w:cs="宋体"/>
                <w:color w:val="auto"/>
                <w:kern w:val="0"/>
                <w:sz w:val="24"/>
                <w:szCs w:val="24"/>
              </w:rPr>
              <w:t>于</w:t>
            </w:r>
            <w:r>
              <w:rPr>
                <w:rFonts w:hint="eastAsia" w:hAnsi="宋体" w:cs="宋体"/>
                <w:color w:val="auto"/>
                <w:kern w:val="0"/>
                <w:sz w:val="24"/>
                <w:szCs w:val="24"/>
                <w:lang w:val="en-US" w:eastAsia="zh-CN"/>
              </w:rPr>
              <w:t>100M/</w:t>
            </w:r>
            <w:r>
              <w:rPr>
                <w:rFonts w:hint="eastAsia" w:hAnsi="宋体" w:cs="宋体"/>
                <w:color w:val="auto"/>
                <w:kern w:val="0"/>
                <w:sz w:val="24"/>
                <w:szCs w:val="24"/>
              </w:rPr>
              <w:t>bps；</w:t>
            </w:r>
          </w:p>
          <w:p w14:paraId="079D2F8F">
            <w:pPr>
              <w:pStyle w:val="4"/>
              <w:widowControl w:val="0"/>
              <w:numPr>
                <w:ilvl w:val="0"/>
                <w:numId w:val="2"/>
              </w:numPr>
              <w:spacing w:line="0" w:lineRule="atLeast"/>
              <w:ind w:firstLineChars="0"/>
              <w:jc w:val="left"/>
              <w:rPr>
                <w:rFonts w:hint="eastAsia" w:hAnsi="宋体" w:cs="宋体"/>
                <w:color w:val="FF0000"/>
                <w:kern w:val="0"/>
                <w:sz w:val="24"/>
                <w:szCs w:val="24"/>
              </w:rPr>
            </w:pPr>
            <w:r>
              <w:rPr>
                <w:rFonts w:hint="eastAsia" w:hAnsi="宋体" w:cs="宋体"/>
                <w:color w:val="auto"/>
                <w:kern w:val="0"/>
                <w:sz w:val="24"/>
                <w:szCs w:val="24"/>
                <w:lang w:val="en-US" w:eastAsia="zh-CN"/>
              </w:rPr>
              <w:t>运营商</w:t>
            </w:r>
            <w:r>
              <w:rPr>
                <w:rFonts w:hint="eastAsia" w:hAnsi="宋体" w:cs="宋体"/>
                <w:color w:val="auto"/>
                <w:kern w:val="0"/>
                <w:sz w:val="24"/>
                <w:szCs w:val="24"/>
              </w:rPr>
              <w:t>总体互联网出口</w:t>
            </w:r>
            <w:r>
              <w:rPr>
                <w:rFonts w:hint="eastAsia" w:hAnsi="宋体" w:cs="宋体"/>
                <w:color w:val="000000"/>
                <w:kern w:val="0"/>
                <w:sz w:val="24"/>
                <w:szCs w:val="24"/>
              </w:rPr>
              <w:t>带宽能够满足所投标项目的100%全负荷全年稳定运行；</w:t>
            </w:r>
          </w:p>
          <w:p w14:paraId="34362E6F">
            <w:pPr>
              <w:pStyle w:val="4"/>
              <w:widowControl w:val="0"/>
              <w:numPr>
                <w:ilvl w:val="0"/>
                <w:numId w:val="2"/>
              </w:numPr>
              <w:spacing w:line="0" w:lineRule="atLeast"/>
              <w:ind w:firstLineChars="0"/>
              <w:jc w:val="left"/>
              <w:rPr>
                <w:rFonts w:hint="eastAsia" w:hAnsi="宋体" w:cs="宋体"/>
                <w:color w:val="000000"/>
                <w:kern w:val="0"/>
                <w:sz w:val="24"/>
                <w:szCs w:val="24"/>
              </w:rPr>
            </w:pPr>
            <w:r>
              <w:rPr>
                <w:rFonts w:hint="eastAsia" w:hAnsi="宋体" w:cs="宋体"/>
                <w:b/>
                <w:color w:val="000000"/>
                <w:kern w:val="0"/>
                <w:sz w:val="24"/>
                <w:szCs w:val="24"/>
              </w:rPr>
              <w:t>▲</w:t>
            </w:r>
            <w:r>
              <w:rPr>
                <w:rFonts w:hint="eastAsia" w:hAnsi="宋体" w:cs="宋体"/>
                <w:color w:val="000000"/>
                <w:kern w:val="0"/>
                <w:sz w:val="24"/>
                <w:szCs w:val="24"/>
              </w:rPr>
              <w:t>承诺在非寒暑假时期的用网高峰时，提供动态带宽保障，满足出口带宽的利用率原则上始终低于80%；</w:t>
            </w:r>
          </w:p>
          <w:p w14:paraId="1DA0159E">
            <w:pPr>
              <w:pStyle w:val="4"/>
              <w:widowControl w:val="0"/>
              <w:numPr>
                <w:ilvl w:val="0"/>
                <w:numId w:val="2"/>
              </w:numPr>
              <w:spacing w:line="0" w:lineRule="atLeast"/>
              <w:ind w:firstLineChars="0"/>
              <w:jc w:val="left"/>
              <w:rPr>
                <w:rFonts w:hint="eastAsia" w:hAnsi="宋体" w:cs="宋体"/>
                <w:color w:val="FF0000"/>
                <w:kern w:val="0"/>
                <w:sz w:val="24"/>
                <w:szCs w:val="24"/>
              </w:rPr>
            </w:pPr>
            <w:r>
              <w:rPr>
                <w:rFonts w:hint="eastAsia" w:hAnsi="宋体" w:cs="宋体"/>
                <w:color w:val="000000"/>
                <w:kern w:val="0"/>
                <w:sz w:val="24"/>
                <w:szCs w:val="24"/>
              </w:rPr>
              <w:t>投标企业的服务总出口具有基本的QOS质量保障。</w:t>
            </w:r>
          </w:p>
        </w:tc>
        <w:tc>
          <w:tcPr>
            <w:tcW w:w="414" w:type="pct"/>
            <w:vAlign w:val="center"/>
          </w:tcPr>
          <w:p w14:paraId="216A1834">
            <w:pPr>
              <w:spacing w:line="0" w:lineRule="atLeast"/>
              <w:rPr>
                <w:rFonts w:hint="eastAsia" w:hAnsi="宋体" w:cs="宋体"/>
                <w:color w:val="000000"/>
                <w:kern w:val="0"/>
                <w:sz w:val="24"/>
              </w:rPr>
            </w:pPr>
            <w:r>
              <w:rPr>
                <w:rFonts w:hint="eastAsia" w:hAnsi="宋体" w:cs="宋体"/>
                <w:color w:val="000000"/>
                <w:kern w:val="0"/>
                <w:sz w:val="24"/>
              </w:rPr>
              <w:t>　</w:t>
            </w:r>
          </w:p>
        </w:tc>
      </w:tr>
      <w:tr w14:paraId="2652E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14:paraId="7989A92A">
            <w:pPr>
              <w:spacing w:line="0" w:lineRule="atLeast"/>
              <w:jc w:val="center"/>
              <w:rPr>
                <w:rFonts w:hint="eastAsia" w:hAnsi="宋体" w:cs="宋体" w:eastAsiaTheme="minorEastAsia"/>
                <w:color w:val="000000"/>
                <w:kern w:val="0"/>
                <w:sz w:val="24"/>
                <w:lang w:eastAsia="zh-CN"/>
              </w:rPr>
            </w:pPr>
            <w:r>
              <w:rPr>
                <w:rFonts w:hint="eastAsia" w:hAnsi="宋体" w:cs="宋体"/>
                <w:color w:val="000000"/>
                <w:kern w:val="0"/>
                <w:sz w:val="24"/>
                <w:lang w:val="en-US" w:eastAsia="zh-CN"/>
              </w:rPr>
              <w:t>3</w:t>
            </w:r>
          </w:p>
        </w:tc>
        <w:tc>
          <w:tcPr>
            <w:tcW w:w="415" w:type="pct"/>
            <w:vAlign w:val="center"/>
          </w:tcPr>
          <w:p w14:paraId="312BA17A">
            <w:pPr>
              <w:spacing w:line="0" w:lineRule="atLeast"/>
              <w:jc w:val="center"/>
              <w:rPr>
                <w:rFonts w:hint="eastAsia" w:hAnsi="宋体" w:cs="宋体"/>
                <w:color w:val="auto"/>
                <w:kern w:val="0"/>
                <w:sz w:val="24"/>
              </w:rPr>
            </w:pPr>
            <w:r>
              <w:rPr>
                <w:rFonts w:hint="eastAsia" w:hAnsi="宋体" w:cs="宋体"/>
                <w:color w:val="auto"/>
                <w:kern w:val="0"/>
                <w:sz w:val="24"/>
              </w:rPr>
              <w:t>线路</w:t>
            </w:r>
          </w:p>
        </w:tc>
        <w:tc>
          <w:tcPr>
            <w:tcW w:w="3879" w:type="pct"/>
            <w:vAlign w:val="center"/>
          </w:tcPr>
          <w:p w14:paraId="71DE8A7A">
            <w:pPr>
              <w:pStyle w:val="4"/>
              <w:widowControl w:val="0"/>
              <w:numPr>
                <w:ilvl w:val="0"/>
                <w:numId w:val="3"/>
              </w:numPr>
              <w:spacing w:line="0" w:lineRule="atLeast"/>
              <w:ind w:firstLineChars="0"/>
              <w:jc w:val="left"/>
              <w:rPr>
                <w:rFonts w:hint="eastAsia" w:hAnsi="宋体" w:cs="宋体"/>
                <w:color w:val="auto"/>
                <w:kern w:val="0"/>
                <w:sz w:val="24"/>
                <w:szCs w:val="24"/>
              </w:rPr>
            </w:pPr>
            <w:r>
              <w:rPr>
                <w:rFonts w:hint="eastAsia" w:hAnsi="宋体" w:cs="宋体"/>
                <w:b/>
                <w:color w:val="auto"/>
                <w:kern w:val="0"/>
                <w:sz w:val="24"/>
                <w:szCs w:val="24"/>
              </w:rPr>
              <w:t>▲</w:t>
            </w:r>
            <w:r>
              <w:rPr>
                <w:rFonts w:hint="eastAsia" w:hAnsi="宋体" w:cs="宋体"/>
                <w:color w:val="auto"/>
                <w:kern w:val="0"/>
                <w:sz w:val="24"/>
                <w:szCs w:val="24"/>
              </w:rPr>
              <w:t>供应商具备采购方到供应商机房的独享带宽链路，不得将采购方购买的带宽与其他第三方共用；</w:t>
            </w:r>
          </w:p>
          <w:p w14:paraId="01735D44">
            <w:pPr>
              <w:pStyle w:val="4"/>
              <w:widowControl w:val="0"/>
              <w:numPr>
                <w:ilvl w:val="0"/>
                <w:numId w:val="3"/>
              </w:numPr>
              <w:spacing w:line="0" w:lineRule="atLeast"/>
              <w:ind w:firstLineChars="0"/>
              <w:jc w:val="left"/>
              <w:rPr>
                <w:rFonts w:hint="eastAsia" w:hAnsi="宋体" w:cs="宋体"/>
                <w:color w:val="auto"/>
                <w:kern w:val="0"/>
                <w:sz w:val="24"/>
                <w:szCs w:val="24"/>
              </w:rPr>
            </w:pPr>
            <w:r>
              <w:rPr>
                <w:rFonts w:hint="eastAsia" w:hAnsi="宋体" w:cs="宋体"/>
                <w:b/>
                <w:color w:val="auto"/>
                <w:kern w:val="0"/>
                <w:sz w:val="24"/>
                <w:szCs w:val="24"/>
              </w:rPr>
              <w:t>▲</w:t>
            </w:r>
            <w:r>
              <w:rPr>
                <w:rFonts w:hint="eastAsia" w:hAnsi="宋体" w:cs="宋体"/>
                <w:color w:val="auto"/>
                <w:kern w:val="0"/>
                <w:sz w:val="24"/>
                <w:szCs w:val="24"/>
              </w:rPr>
              <w:t>供应商具备连接到采购方机房的至少两条的冗余物理光缆线路（两端路由设备通过“万兆光口+单模光纤”方式直连，中间不得有分光设备），可为未来采购方可能增长的需求提供物理链路保障；</w:t>
            </w:r>
          </w:p>
          <w:p w14:paraId="0868A72F">
            <w:pPr>
              <w:pStyle w:val="4"/>
              <w:widowControl w:val="0"/>
              <w:numPr>
                <w:ilvl w:val="0"/>
                <w:numId w:val="3"/>
              </w:numPr>
              <w:snapToGrid w:val="0"/>
              <w:spacing w:line="0" w:lineRule="atLeast"/>
              <w:ind w:firstLineChars="0"/>
              <w:rPr>
                <w:rFonts w:hint="eastAsia" w:hAnsi="宋体" w:cs="宋体"/>
                <w:color w:val="auto"/>
                <w:kern w:val="0"/>
                <w:sz w:val="24"/>
                <w:szCs w:val="24"/>
              </w:rPr>
            </w:pPr>
            <w:r>
              <w:rPr>
                <w:rFonts w:hint="eastAsia" w:hAnsi="宋体" w:cs="宋体"/>
                <w:color w:val="auto"/>
                <w:kern w:val="0"/>
                <w:sz w:val="24"/>
                <w:szCs w:val="24"/>
              </w:rPr>
              <w:t>链路可用率不低于</w:t>
            </w:r>
            <w:r>
              <w:rPr>
                <w:rFonts w:hAnsi="宋体" w:cs="宋体"/>
                <w:color w:val="auto"/>
                <w:kern w:val="0"/>
                <w:sz w:val="24"/>
                <w:szCs w:val="24"/>
              </w:rPr>
              <w:t>99.9%；</w:t>
            </w:r>
          </w:p>
          <w:p w14:paraId="31E26B93">
            <w:pPr>
              <w:pStyle w:val="4"/>
              <w:widowControl w:val="0"/>
              <w:numPr>
                <w:ilvl w:val="0"/>
                <w:numId w:val="3"/>
              </w:numPr>
              <w:spacing w:line="0" w:lineRule="atLeast"/>
              <w:ind w:firstLineChars="0"/>
              <w:jc w:val="left"/>
              <w:rPr>
                <w:rFonts w:hint="eastAsia" w:hAnsi="宋体" w:cs="宋体"/>
                <w:color w:val="auto"/>
                <w:kern w:val="0"/>
                <w:sz w:val="24"/>
                <w:szCs w:val="24"/>
              </w:rPr>
            </w:pPr>
            <w:r>
              <w:rPr>
                <w:rFonts w:hint="eastAsia" w:hAnsi="宋体" w:cs="宋体"/>
                <w:color w:val="auto"/>
                <w:kern w:val="0"/>
                <w:sz w:val="24"/>
                <w:szCs w:val="24"/>
              </w:rPr>
              <w:t>承诺提供的出口链路光衰等各项指标符合</w:t>
            </w:r>
            <w:r>
              <w:rPr>
                <w:rFonts w:ascii="Times New Roman" w:hAnsi="Times New Roman"/>
                <w:color w:val="auto"/>
                <w:kern w:val="0"/>
                <w:sz w:val="24"/>
                <w:szCs w:val="24"/>
              </w:rPr>
              <w:t>ISO/IEC11801</w:t>
            </w:r>
            <w:r>
              <w:rPr>
                <w:rFonts w:hint="eastAsia" w:hAnsi="宋体" w:cs="宋体"/>
                <w:color w:val="auto"/>
                <w:kern w:val="0"/>
                <w:sz w:val="24"/>
                <w:szCs w:val="24"/>
              </w:rPr>
              <w:t>国际标准。</w:t>
            </w:r>
          </w:p>
          <w:p w14:paraId="5645B467">
            <w:pPr>
              <w:pStyle w:val="4"/>
              <w:widowControl w:val="0"/>
              <w:numPr>
                <w:ilvl w:val="0"/>
                <w:numId w:val="3"/>
              </w:numPr>
              <w:spacing w:line="0" w:lineRule="atLeast"/>
              <w:ind w:firstLineChars="0"/>
              <w:jc w:val="left"/>
              <w:rPr>
                <w:rFonts w:hint="eastAsia" w:hAnsi="宋体" w:cs="宋体"/>
                <w:color w:val="auto"/>
                <w:kern w:val="0"/>
                <w:sz w:val="24"/>
                <w:szCs w:val="24"/>
              </w:rPr>
            </w:pPr>
            <w:r>
              <w:rPr>
                <w:rFonts w:hint="eastAsia" w:hAnsi="宋体" w:cs="宋体"/>
                <w:color w:val="auto"/>
                <w:kern w:val="0"/>
                <w:sz w:val="24"/>
                <w:szCs w:val="24"/>
              </w:rPr>
              <w:t>承诺能很好解决各运营商之间互联互通的瓶颈问题，可为访问教育网资源提供最佳的路由和性能保障，满足跨网（不同运营商）通信平均时延≤5</w:t>
            </w:r>
            <w:r>
              <w:rPr>
                <w:rFonts w:hAnsi="宋体" w:cs="宋体"/>
                <w:color w:val="auto"/>
                <w:kern w:val="0"/>
                <w:sz w:val="24"/>
                <w:szCs w:val="24"/>
              </w:rPr>
              <w:t>0</w:t>
            </w:r>
            <w:r>
              <w:rPr>
                <w:rFonts w:hint="eastAsia" w:hAnsi="宋体" w:cs="宋体"/>
                <w:color w:val="auto"/>
                <w:kern w:val="0"/>
                <w:sz w:val="24"/>
                <w:szCs w:val="24"/>
              </w:rPr>
              <w:t>ms，丢包率≤0</w:t>
            </w:r>
            <w:r>
              <w:rPr>
                <w:rFonts w:hAnsi="宋体" w:cs="宋体"/>
                <w:color w:val="auto"/>
                <w:kern w:val="0"/>
                <w:sz w:val="24"/>
                <w:szCs w:val="24"/>
              </w:rPr>
              <w:t>.2</w:t>
            </w:r>
            <w:r>
              <w:rPr>
                <w:rFonts w:hint="eastAsia" w:hAnsi="宋体" w:cs="宋体"/>
                <w:color w:val="auto"/>
                <w:kern w:val="0"/>
                <w:sz w:val="24"/>
                <w:szCs w:val="24"/>
              </w:rPr>
              <w:t>%。</w:t>
            </w:r>
          </w:p>
        </w:tc>
        <w:tc>
          <w:tcPr>
            <w:tcW w:w="414" w:type="pct"/>
            <w:vAlign w:val="center"/>
          </w:tcPr>
          <w:p w14:paraId="4B26B0A1">
            <w:pPr>
              <w:spacing w:line="0" w:lineRule="atLeast"/>
              <w:rPr>
                <w:rFonts w:hint="eastAsia" w:hAnsi="宋体" w:cs="宋体"/>
                <w:color w:val="000000"/>
                <w:kern w:val="0"/>
                <w:sz w:val="24"/>
              </w:rPr>
            </w:pPr>
            <w:r>
              <w:rPr>
                <w:rFonts w:hint="eastAsia" w:hAnsi="宋体" w:cs="宋体"/>
                <w:color w:val="000000"/>
                <w:kern w:val="0"/>
                <w:sz w:val="24"/>
              </w:rPr>
              <w:t>　</w:t>
            </w:r>
          </w:p>
        </w:tc>
      </w:tr>
      <w:tr w14:paraId="55D3C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14:paraId="55BAECC6">
            <w:pPr>
              <w:spacing w:line="0" w:lineRule="atLeast"/>
              <w:jc w:val="center"/>
              <w:rPr>
                <w:rFonts w:hint="eastAsia" w:hAnsi="宋体" w:cs="宋体" w:eastAsiaTheme="minorEastAsia"/>
                <w:color w:val="000000"/>
                <w:kern w:val="0"/>
                <w:sz w:val="24"/>
                <w:lang w:eastAsia="zh-CN"/>
              </w:rPr>
            </w:pPr>
            <w:r>
              <w:rPr>
                <w:rFonts w:hint="eastAsia" w:hAnsi="宋体" w:cs="宋体"/>
                <w:color w:val="000000"/>
                <w:kern w:val="0"/>
                <w:sz w:val="24"/>
                <w:lang w:val="en-US" w:eastAsia="zh-CN"/>
              </w:rPr>
              <w:t>4</w:t>
            </w:r>
          </w:p>
        </w:tc>
        <w:tc>
          <w:tcPr>
            <w:tcW w:w="415" w:type="pct"/>
            <w:vAlign w:val="center"/>
          </w:tcPr>
          <w:p w14:paraId="7F1A4703">
            <w:pPr>
              <w:spacing w:line="0" w:lineRule="atLeast"/>
              <w:jc w:val="center"/>
              <w:rPr>
                <w:rFonts w:hint="eastAsia" w:hAnsi="宋体" w:cs="宋体"/>
                <w:color w:val="auto"/>
                <w:kern w:val="0"/>
                <w:sz w:val="24"/>
              </w:rPr>
            </w:pPr>
            <w:r>
              <w:rPr>
                <w:rFonts w:hint="eastAsia" w:hAnsi="宋体" w:cs="宋体"/>
                <w:color w:val="auto"/>
                <w:kern w:val="0"/>
                <w:sz w:val="24"/>
              </w:rPr>
              <w:t>资源</w:t>
            </w:r>
          </w:p>
        </w:tc>
        <w:tc>
          <w:tcPr>
            <w:tcW w:w="3879" w:type="pct"/>
            <w:vAlign w:val="center"/>
          </w:tcPr>
          <w:p w14:paraId="2E232B30">
            <w:pPr>
              <w:pStyle w:val="4"/>
              <w:widowControl w:val="0"/>
              <w:numPr>
                <w:ilvl w:val="0"/>
                <w:numId w:val="4"/>
              </w:numPr>
              <w:spacing w:line="0" w:lineRule="atLeast"/>
              <w:ind w:firstLineChars="0"/>
              <w:jc w:val="left"/>
              <w:rPr>
                <w:rFonts w:hint="eastAsia" w:hAnsi="宋体" w:cs="宋体"/>
                <w:color w:val="auto"/>
                <w:kern w:val="0"/>
                <w:sz w:val="24"/>
                <w:szCs w:val="24"/>
              </w:rPr>
            </w:pPr>
            <w:r>
              <w:rPr>
                <w:rFonts w:hint="eastAsia"/>
                <w:b/>
                <w:color w:val="auto"/>
                <w:sz w:val="24"/>
                <w:szCs w:val="24"/>
              </w:rPr>
              <w:t>▲</w:t>
            </w:r>
            <w:r>
              <w:rPr>
                <w:rFonts w:hint="eastAsia" w:hAnsi="宋体" w:cs="宋体"/>
                <w:color w:val="auto"/>
                <w:kern w:val="0"/>
                <w:sz w:val="24"/>
                <w:szCs w:val="24"/>
              </w:rPr>
              <w:t>提供不少于</w:t>
            </w:r>
            <w:r>
              <w:rPr>
                <w:rFonts w:hint="eastAsia" w:hAnsi="宋体" w:cs="宋体"/>
                <w:color w:val="auto"/>
                <w:kern w:val="0"/>
                <w:sz w:val="24"/>
                <w:szCs w:val="24"/>
                <w:lang w:val="en-US" w:eastAsia="zh-CN"/>
              </w:rPr>
              <w:t>4</w:t>
            </w:r>
            <w:r>
              <w:rPr>
                <w:rFonts w:hint="eastAsia" w:hAnsi="宋体" w:cs="宋体"/>
                <w:color w:val="auto"/>
                <w:kern w:val="0"/>
                <w:sz w:val="24"/>
                <w:szCs w:val="24"/>
              </w:rPr>
              <w:t>个连续的公网IPv4地址，所提供IP地址不得做二次转换，并在今后有需求时，可作适当扩充，并提供原有 IP 地址的平滑迁移服务（若中标方为校区原有出口带宽服务提供者，则原来公网IP须继续保留给采购方使用）；</w:t>
            </w:r>
          </w:p>
          <w:p w14:paraId="2D4F5AA5">
            <w:pPr>
              <w:pStyle w:val="4"/>
              <w:widowControl w:val="0"/>
              <w:numPr>
                <w:ilvl w:val="0"/>
                <w:numId w:val="4"/>
              </w:numPr>
              <w:spacing w:line="0" w:lineRule="atLeast"/>
              <w:ind w:firstLineChars="0"/>
              <w:jc w:val="left"/>
              <w:rPr>
                <w:rFonts w:hint="eastAsia" w:hAnsi="宋体" w:cs="宋体"/>
                <w:color w:val="auto"/>
                <w:kern w:val="0"/>
                <w:sz w:val="24"/>
                <w:szCs w:val="24"/>
              </w:rPr>
            </w:pPr>
            <w:r>
              <w:rPr>
                <w:rFonts w:hint="eastAsia"/>
                <w:b/>
                <w:color w:val="auto"/>
                <w:sz w:val="24"/>
                <w:szCs w:val="24"/>
              </w:rPr>
              <w:t>▲</w:t>
            </w:r>
            <w:r>
              <w:rPr>
                <w:rFonts w:hint="eastAsia" w:hAnsi="宋体" w:cs="宋体"/>
                <w:color w:val="auto"/>
                <w:kern w:val="0"/>
                <w:sz w:val="24"/>
                <w:szCs w:val="24"/>
              </w:rPr>
              <w:t>提供一段地址空间前缀长度不小于5</w:t>
            </w:r>
            <w:r>
              <w:rPr>
                <w:rFonts w:hAnsi="宋体" w:cs="宋体"/>
                <w:color w:val="auto"/>
                <w:kern w:val="0"/>
                <w:sz w:val="24"/>
                <w:szCs w:val="24"/>
              </w:rPr>
              <w:t>2</w:t>
            </w:r>
            <w:r>
              <w:rPr>
                <w:rFonts w:hint="eastAsia" w:hAnsi="宋体" w:cs="宋体"/>
                <w:color w:val="auto"/>
                <w:kern w:val="0"/>
                <w:sz w:val="24"/>
                <w:szCs w:val="24"/>
              </w:rPr>
              <w:t>位的IPv6地址，并在今后有需求时，可作适当扩充；</w:t>
            </w:r>
          </w:p>
        </w:tc>
        <w:tc>
          <w:tcPr>
            <w:tcW w:w="414" w:type="pct"/>
            <w:vAlign w:val="center"/>
          </w:tcPr>
          <w:p w14:paraId="5855275C">
            <w:pPr>
              <w:spacing w:line="0" w:lineRule="atLeast"/>
              <w:rPr>
                <w:rFonts w:hint="eastAsia" w:hAnsi="宋体" w:cs="宋体"/>
                <w:color w:val="000000"/>
                <w:kern w:val="0"/>
                <w:sz w:val="24"/>
              </w:rPr>
            </w:pPr>
            <w:r>
              <w:rPr>
                <w:rFonts w:hint="eastAsia" w:hAnsi="宋体" w:cs="宋体"/>
                <w:color w:val="000000"/>
                <w:kern w:val="0"/>
                <w:sz w:val="24"/>
              </w:rPr>
              <w:t>　</w:t>
            </w:r>
          </w:p>
        </w:tc>
      </w:tr>
      <w:tr w14:paraId="45BFF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14:paraId="39D90F4C">
            <w:pPr>
              <w:spacing w:line="0" w:lineRule="atLeast"/>
              <w:jc w:val="center"/>
              <w:rPr>
                <w:rFonts w:hint="eastAsia" w:hAnsi="宋体" w:cs="宋体" w:eastAsiaTheme="minorEastAsia"/>
                <w:color w:val="000000"/>
                <w:kern w:val="0"/>
                <w:sz w:val="24"/>
                <w:lang w:eastAsia="zh-CN"/>
              </w:rPr>
            </w:pPr>
            <w:bookmarkStart w:id="1" w:name="_GoBack" w:colFirst="1" w:colLast="2"/>
            <w:r>
              <w:rPr>
                <w:rFonts w:hint="eastAsia" w:hAnsi="宋体" w:cs="宋体"/>
                <w:color w:val="000000"/>
                <w:kern w:val="0"/>
                <w:sz w:val="24"/>
                <w:lang w:val="en-US" w:eastAsia="zh-CN"/>
              </w:rPr>
              <w:t>5</w:t>
            </w:r>
          </w:p>
        </w:tc>
        <w:tc>
          <w:tcPr>
            <w:tcW w:w="415" w:type="pct"/>
            <w:vAlign w:val="center"/>
          </w:tcPr>
          <w:p w14:paraId="572CA62F">
            <w:pPr>
              <w:spacing w:line="0" w:lineRule="atLeast"/>
              <w:jc w:val="center"/>
              <w:rPr>
                <w:rFonts w:hint="eastAsia" w:hAnsi="宋体" w:cs="宋体"/>
                <w:color w:val="000000"/>
                <w:kern w:val="0"/>
                <w:sz w:val="24"/>
              </w:rPr>
            </w:pPr>
            <w:r>
              <w:rPr>
                <w:rFonts w:hint="eastAsia" w:hAnsi="宋体" w:cs="宋体"/>
                <w:color w:val="000000"/>
                <w:kern w:val="0"/>
                <w:sz w:val="24"/>
              </w:rPr>
              <w:t>技术保障</w:t>
            </w:r>
          </w:p>
        </w:tc>
        <w:tc>
          <w:tcPr>
            <w:tcW w:w="3879" w:type="pct"/>
            <w:vAlign w:val="center"/>
          </w:tcPr>
          <w:p w14:paraId="66F02F2A">
            <w:pPr>
              <w:pStyle w:val="4"/>
              <w:widowControl w:val="0"/>
              <w:numPr>
                <w:ilvl w:val="0"/>
                <w:numId w:val="5"/>
              </w:numPr>
              <w:spacing w:line="0" w:lineRule="atLeast"/>
              <w:ind w:firstLineChars="0"/>
              <w:jc w:val="left"/>
              <w:rPr>
                <w:rFonts w:hint="eastAsia" w:hAnsi="宋体" w:cs="宋体"/>
                <w:color w:val="000000"/>
                <w:kern w:val="0"/>
                <w:sz w:val="24"/>
                <w:szCs w:val="24"/>
              </w:rPr>
            </w:pPr>
            <w:r>
              <w:rPr>
                <w:rFonts w:hint="eastAsia" w:hAnsi="宋体" w:cs="宋体"/>
                <w:color w:val="000000"/>
                <w:kern w:val="0"/>
                <w:sz w:val="24"/>
                <w:szCs w:val="24"/>
              </w:rPr>
              <w:t>根据学校需求，对学校服务器的IP和域名提供正向和反向解析服务，在运营商的DNS系统中提供学校服务器的域名解析，并</w:t>
            </w:r>
            <w:r>
              <w:rPr>
                <w:rFonts w:hAnsi="宋体" w:cs="宋体"/>
                <w:color w:val="000000"/>
                <w:kern w:val="0"/>
                <w:sz w:val="24"/>
                <w:szCs w:val="24"/>
              </w:rPr>
              <w:t>承诺不进行DNS劫持</w:t>
            </w:r>
            <w:r>
              <w:rPr>
                <w:rFonts w:hint="eastAsia" w:hAnsi="宋体" w:cs="宋体"/>
                <w:color w:val="000000"/>
                <w:kern w:val="0"/>
                <w:sz w:val="24"/>
                <w:szCs w:val="24"/>
              </w:rPr>
              <w:t>（若</w:t>
            </w:r>
            <w:r>
              <w:rPr>
                <w:rFonts w:hAnsi="宋体" w:cs="宋体"/>
                <w:color w:val="000000"/>
                <w:kern w:val="0"/>
                <w:sz w:val="24"/>
                <w:szCs w:val="24"/>
              </w:rPr>
              <w:t>发现DNS劫持</w:t>
            </w:r>
            <w:r>
              <w:rPr>
                <w:rFonts w:hint="eastAsia" w:hAnsi="宋体" w:cs="宋体"/>
                <w:color w:val="000000"/>
                <w:kern w:val="0"/>
                <w:sz w:val="24"/>
                <w:szCs w:val="24"/>
              </w:rPr>
              <w:t>，经核实后，采购方有权</w:t>
            </w:r>
            <w:r>
              <w:rPr>
                <w:rFonts w:hAnsi="宋体" w:cs="宋体"/>
                <w:color w:val="000000"/>
                <w:kern w:val="0"/>
                <w:sz w:val="24"/>
                <w:szCs w:val="24"/>
              </w:rPr>
              <w:t>扣除当月全部费用，甚至中止执行合同</w:t>
            </w:r>
            <w:r>
              <w:rPr>
                <w:rFonts w:hint="eastAsia" w:hAnsi="宋体" w:cs="宋体"/>
                <w:color w:val="000000"/>
                <w:kern w:val="0"/>
                <w:sz w:val="24"/>
                <w:szCs w:val="24"/>
              </w:rPr>
              <w:t>）</w:t>
            </w:r>
            <w:r>
              <w:rPr>
                <w:rFonts w:hAnsi="宋体" w:cs="宋体"/>
                <w:color w:val="000000"/>
                <w:kern w:val="0"/>
                <w:sz w:val="24"/>
                <w:szCs w:val="24"/>
              </w:rPr>
              <w:t>。</w:t>
            </w:r>
          </w:p>
          <w:p w14:paraId="274E5326">
            <w:pPr>
              <w:pStyle w:val="4"/>
              <w:widowControl w:val="0"/>
              <w:numPr>
                <w:ilvl w:val="0"/>
                <w:numId w:val="5"/>
              </w:numPr>
              <w:spacing w:line="0" w:lineRule="atLeast"/>
              <w:ind w:firstLineChars="0"/>
              <w:jc w:val="left"/>
              <w:rPr>
                <w:rFonts w:hint="eastAsia" w:hAnsi="宋体" w:cs="宋体"/>
                <w:color w:val="000000"/>
                <w:kern w:val="0"/>
                <w:sz w:val="24"/>
                <w:szCs w:val="24"/>
              </w:rPr>
            </w:pPr>
            <w:r>
              <w:rPr>
                <w:rFonts w:hint="eastAsia" w:hAnsi="宋体" w:cs="宋体"/>
                <w:color w:val="000000"/>
                <w:kern w:val="0"/>
                <w:sz w:val="24"/>
                <w:szCs w:val="24"/>
              </w:rPr>
              <w:t>提供足够的安全技术保障，在任何情况下（不可抗力除外）可保证用户带宽服务畅通，满足访问全国主干网丢包率≤0</w:t>
            </w:r>
            <w:r>
              <w:rPr>
                <w:rFonts w:hAnsi="宋体" w:cs="宋体"/>
                <w:color w:val="000000"/>
                <w:kern w:val="0"/>
                <w:sz w:val="24"/>
                <w:szCs w:val="24"/>
              </w:rPr>
              <w:t>.1</w:t>
            </w:r>
            <w:r>
              <w:rPr>
                <w:rFonts w:hint="eastAsia" w:hAnsi="宋体" w:cs="宋体"/>
                <w:color w:val="000000"/>
                <w:kern w:val="0"/>
                <w:sz w:val="24"/>
                <w:szCs w:val="24"/>
              </w:rPr>
              <w:t>%。</w:t>
            </w:r>
          </w:p>
          <w:p w14:paraId="02D89A12">
            <w:pPr>
              <w:pStyle w:val="4"/>
              <w:widowControl w:val="0"/>
              <w:numPr>
                <w:ilvl w:val="0"/>
                <w:numId w:val="0"/>
              </w:numPr>
              <w:spacing w:line="0" w:lineRule="atLeast"/>
              <w:ind w:leftChars="0"/>
              <w:jc w:val="left"/>
              <w:rPr>
                <w:rFonts w:hint="eastAsia" w:hAnsi="宋体" w:cs="宋体"/>
                <w:color w:val="000000"/>
                <w:kern w:val="0"/>
                <w:sz w:val="24"/>
                <w:szCs w:val="24"/>
              </w:rPr>
            </w:pPr>
          </w:p>
        </w:tc>
        <w:tc>
          <w:tcPr>
            <w:tcW w:w="414" w:type="pct"/>
            <w:vAlign w:val="center"/>
          </w:tcPr>
          <w:p w14:paraId="4A9B6008">
            <w:pPr>
              <w:spacing w:line="0" w:lineRule="atLeast"/>
              <w:rPr>
                <w:rFonts w:hint="eastAsia" w:hAnsi="宋体" w:cs="宋体"/>
                <w:color w:val="000000"/>
                <w:kern w:val="0"/>
                <w:sz w:val="24"/>
              </w:rPr>
            </w:pPr>
            <w:r>
              <w:rPr>
                <w:rFonts w:hint="eastAsia" w:hAnsi="宋体" w:cs="宋体"/>
                <w:color w:val="000000"/>
                <w:kern w:val="0"/>
                <w:sz w:val="24"/>
              </w:rPr>
              <w:t>　</w:t>
            </w:r>
          </w:p>
        </w:tc>
      </w:tr>
      <w:tr w14:paraId="47A58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14:paraId="7031F551">
            <w:pPr>
              <w:spacing w:line="0" w:lineRule="atLeast"/>
              <w:jc w:val="center"/>
              <w:rPr>
                <w:rFonts w:hint="eastAsia" w:hAnsi="宋体" w:cs="宋体" w:eastAsiaTheme="minorEastAsia"/>
                <w:color w:val="000000"/>
                <w:kern w:val="0"/>
                <w:sz w:val="24"/>
                <w:lang w:eastAsia="zh-CN"/>
              </w:rPr>
            </w:pPr>
            <w:r>
              <w:rPr>
                <w:rFonts w:hint="eastAsia" w:hAnsi="宋体" w:cs="宋体"/>
                <w:color w:val="000000"/>
                <w:kern w:val="0"/>
                <w:sz w:val="24"/>
                <w:lang w:val="en-US" w:eastAsia="zh-CN"/>
              </w:rPr>
              <w:t>6</w:t>
            </w:r>
          </w:p>
        </w:tc>
        <w:tc>
          <w:tcPr>
            <w:tcW w:w="415" w:type="pct"/>
            <w:vAlign w:val="center"/>
          </w:tcPr>
          <w:p w14:paraId="479D11AC">
            <w:pPr>
              <w:spacing w:line="0" w:lineRule="atLeast"/>
              <w:jc w:val="center"/>
              <w:rPr>
                <w:rFonts w:hint="eastAsia" w:hAnsi="宋体" w:cs="宋体"/>
                <w:color w:val="000000"/>
                <w:kern w:val="0"/>
                <w:sz w:val="24"/>
              </w:rPr>
            </w:pPr>
            <w:r>
              <w:rPr>
                <w:rFonts w:hint="eastAsia" w:hAnsi="宋体" w:cs="宋体"/>
                <w:color w:val="000000"/>
                <w:kern w:val="0"/>
                <w:sz w:val="24"/>
              </w:rPr>
              <w:t>带宽质量保障</w:t>
            </w:r>
          </w:p>
        </w:tc>
        <w:tc>
          <w:tcPr>
            <w:tcW w:w="3879" w:type="pct"/>
            <w:vAlign w:val="center"/>
          </w:tcPr>
          <w:p w14:paraId="11CF45B1">
            <w:pPr>
              <w:pStyle w:val="4"/>
              <w:widowControl w:val="0"/>
              <w:numPr>
                <w:ilvl w:val="0"/>
                <w:numId w:val="6"/>
              </w:numPr>
              <w:spacing w:line="0" w:lineRule="atLeast"/>
              <w:ind w:firstLineChars="0"/>
              <w:jc w:val="left"/>
              <w:rPr>
                <w:rFonts w:hint="eastAsia" w:hAnsi="宋体" w:cs="宋体"/>
                <w:color w:val="000000"/>
                <w:kern w:val="0"/>
                <w:sz w:val="24"/>
                <w:szCs w:val="24"/>
              </w:rPr>
            </w:pPr>
            <w:r>
              <w:rPr>
                <w:rFonts w:hint="eastAsia" w:hAnsi="宋体" w:cs="宋体"/>
                <w:color w:val="000000"/>
                <w:kern w:val="0"/>
                <w:sz w:val="24"/>
                <w:szCs w:val="24"/>
              </w:rPr>
              <w:t>▲服务期限内提供全年365天7*8小时（设备部分）以及7*24小时（线路部分）的技术支持、网络维护和故障维修服务。如发生故障，供应商应在1小时以内响应，4小时内达到现场处置，一般故障修复时间不超过12小时，复杂故障修复时间不超过24小时。</w:t>
            </w:r>
          </w:p>
          <w:p w14:paraId="7AC318CC">
            <w:pPr>
              <w:pStyle w:val="4"/>
              <w:widowControl w:val="0"/>
              <w:numPr>
                <w:ilvl w:val="0"/>
                <w:numId w:val="6"/>
              </w:numPr>
              <w:spacing w:line="0" w:lineRule="atLeast"/>
              <w:ind w:firstLineChars="0"/>
              <w:jc w:val="left"/>
              <w:rPr>
                <w:rFonts w:hint="eastAsia" w:hAnsi="宋体" w:cs="宋体"/>
                <w:color w:val="000000"/>
                <w:kern w:val="0"/>
                <w:sz w:val="24"/>
                <w:szCs w:val="24"/>
              </w:rPr>
            </w:pPr>
            <w:r>
              <w:rPr>
                <w:rFonts w:hint="eastAsia" w:hAnsi="宋体" w:cs="宋体"/>
                <w:color w:val="000000"/>
                <w:kern w:val="0"/>
                <w:sz w:val="24"/>
                <w:szCs w:val="24"/>
              </w:rPr>
              <w:t>▲保证我单</w:t>
            </w:r>
            <w:r>
              <w:rPr>
                <w:rFonts w:hint="eastAsia" w:hAnsi="宋体" w:cs="宋体"/>
                <w:color w:val="auto"/>
                <w:kern w:val="0"/>
                <w:sz w:val="24"/>
                <w:szCs w:val="24"/>
              </w:rPr>
              <w:t>位原有使用的静态固定IP地址不变，如变动IP地址，中标人需承担变更后相应业务系统调整的费用，业务中断不能超过12个小时。</w:t>
            </w:r>
          </w:p>
        </w:tc>
        <w:tc>
          <w:tcPr>
            <w:tcW w:w="414" w:type="pct"/>
            <w:vAlign w:val="center"/>
          </w:tcPr>
          <w:p w14:paraId="57B14B60">
            <w:pPr>
              <w:spacing w:line="0" w:lineRule="atLeast"/>
              <w:rPr>
                <w:rFonts w:hint="eastAsia" w:hAnsi="宋体" w:cs="宋体"/>
                <w:color w:val="000000"/>
                <w:kern w:val="0"/>
                <w:sz w:val="24"/>
              </w:rPr>
            </w:pPr>
            <w:r>
              <w:rPr>
                <w:rFonts w:hint="eastAsia" w:hAnsi="宋体" w:cs="宋体"/>
                <w:color w:val="000000"/>
                <w:kern w:val="0"/>
                <w:sz w:val="24"/>
              </w:rPr>
              <w:t>　</w:t>
            </w:r>
          </w:p>
        </w:tc>
      </w:tr>
      <w:tr w14:paraId="622A6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14:paraId="65313118">
            <w:pPr>
              <w:spacing w:line="0" w:lineRule="atLeast"/>
              <w:jc w:val="center"/>
              <w:rPr>
                <w:rFonts w:hint="default" w:hAnsi="宋体" w:cs="宋体"/>
                <w:color w:val="000000"/>
                <w:kern w:val="0"/>
                <w:sz w:val="24"/>
                <w:lang w:val="en-US" w:eastAsia="zh-CN"/>
              </w:rPr>
            </w:pPr>
            <w:r>
              <w:rPr>
                <w:rFonts w:hint="eastAsia" w:hAnsi="宋体" w:cs="宋体"/>
                <w:color w:val="000000"/>
                <w:kern w:val="0"/>
                <w:sz w:val="24"/>
                <w:lang w:val="en-US" w:eastAsia="zh-CN"/>
              </w:rPr>
              <w:t>7</w:t>
            </w:r>
          </w:p>
        </w:tc>
        <w:tc>
          <w:tcPr>
            <w:tcW w:w="415" w:type="pct"/>
            <w:vAlign w:val="center"/>
          </w:tcPr>
          <w:p w14:paraId="426C3B21">
            <w:pPr>
              <w:spacing w:line="0" w:lineRule="atLeast"/>
              <w:jc w:val="center"/>
              <w:rPr>
                <w:rFonts w:hint="eastAsia" w:hAnsi="宋体" w:cs="宋体"/>
                <w:color w:val="000000"/>
                <w:kern w:val="0"/>
                <w:sz w:val="24"/>
              </w:rPr>
            </w:pPr>
            <w:r>
              <w:rPr>
                <w:rFonts w:hint="eastAsia" w:hAnsi="宋体" w:cs="宋体"/>
                <w:color w:val="000000"/>
                <w:kern w:val="0"/>
                <w:sz w:val="24"/>
              </w:rPr>
              <w:t>安装地点</w:t>
            </w:r>
          </w:p>
        </w:tc>
        <w:tc>
          <w:tcPr>
            <w:tcW w:w="3879" w:type="pct"/>
            <w:vAlign w:val="center"/>
          </w:tcPr>
          <w:p w14:paraId="438C3FB2">
            <w:pPr>
              <w:pStyle w:val="4"/>
              <w:widowControl w:val="0"/>
              <w:numPr>
                <w:ilvl w:val="0"/>
                <w:numId w:val="0"/>
              </w:numPr>
              <w:spacing w:line="0" w:lineRule="atLeast"/>
              <w:ind w:leftChars="0"/>
              <w:jc w:val="left"/>
              <w:rPr>
                <w:rFonts w:hint="default" w:hAnsi="宋体" w:cs="宋体" w:eastAsiaTheme="minorEastAsia"/>
                <w:color w:val="000000"/>
                <w:kern w:val="0"/>
                <w:sz w:val="24"/>
                <w:szCs w:val="24"/>
                <w:lang w:val="en-US" w:eastAsia="zh-CN"/>
              </w:rPr>
            </w:pPr>
            <w:r>
              <w:rPr>
                <w:rFonts w:hint="eastAsia" w:hAnsi="宋体" w:cs="宋体"/>
                <w:color w:val="000000"/>
                <w:kern w:val="0"/>
                <w:sz w:val="24"/>
                <w:szCs w:val="24"/>
                <w:lang w:val="en-US" w:eastAsia="zh-CN"/>
              </w:rPr>
              <w:t>1.广西机电技师学院(柳东校区)图文信息中心3F-301室。</w:t>
            </w:r>
          </w:p>
        </w:tc>
        <w:tc>
          <w:tcPr>
            <w:tcW w:w="414" w:type="pct"/>
            <w:vAlign w:val="center"/>
          </w:tcPr>
          <w:p w14:paraId="223C471A">
            <w:pPr>
              <w:spacing w:line="0" w:lineRule="atLeast"/>
              <w:rPr>
                <w:rFonts w:hint="eastAsia" w:hAnsi="宋体" w:cs="宋体"/>
                <w:color w:val="000000"/>
                <w:kern w:val="0"/>
                <w:sz w:val="24"/>
              </w:rPr>
            </w:pPr>
          </w:p>
        </w:tc>
      </w:tr>
      <w:tr w14:paraId="537F3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14:paraId="75248A2F">
            <w:pPr>
              <w:spacing w:line="0" w:lineRule="atLeast"/>
              <w:jc w:val="center"/>
              <w:rPr>
                <w:rFonts w:hint="default" w:hAnsi="宋体" w:cs="宋体"/>
                <w:color w:val="000000"/>
                <w:kern w:val="0"/>
                <w:sz w:val="24"/>
                <w:lang w:val="en-US" w:eastAsia="zh-CN"/>
              </w:rPr>
            </w:pPr>
            <w:r>
              <w:rPr>
                <w:rFonts w:hint="eastAsia" w:hAnsi="宋体" w:cs="宋体"/>
                <w:color w:val="000000"/>
                <w:kern w:val="0"/>
                <w:sz w:val="24"/>
                <w:lang w:val="en-US" w:eastAsia="zh-CN"/>
              </w:rPr>
              <w:t>8</w:t>
            </w:r>
          </w:p>
        </w:tc>
        <w:tc>
          <w:tcPr>
            <w:tcW w:w="415" w:type="pct"/>
            <w:vAlign w:val="center"/>
          </w:tcPr>
          <w:p w14:paraId="7649E132">
            <w:pPr>
              <w:spacing w:line="0" w:lineRule="atLeast"/>
              <w:jc w:val="center"/>
              <w:rPr>
                <w:rFonts w:hint="default" w:hAnsi="宋体" w:cs="宋体" w:eastAsiaTheme="minorEastAsia"/>
                <w:color w:val="000000"/>
                <w:kern w:val="0"/>
                <w:sz w:val="24"/>
                <w:lang w:val="en-US" w:eastAsia="zh-CN"/>
              </w:rPr>
            </w:pPr>
            <w:r>
              <w:rPr>
                <w:rFonts w:hint="eastAsia" w:hAnsi="宋体" w:cs="宋体"/>
                <w:color w:val="000000"/>
                <w:kern w:val="0"/>
                <w:sz w:val="24"/>
                <w:lang w:val="en-US" w:eastAsia="zh-CN"/>
              </w:rPr>
              <w:t>业务交付及付款</w:t>
            </w:r>
          </w:p>
        </w:tc>
        <w:tc>
          <w:tcPr>
            <w:tcW w:w="3879" w:type="pct"/>
            <w:vAlign w:val="center"/>
          </w:tcPr>
          <w:p w14:paraId="653C58B1">
            <w:pPr>
              <w:pStyle w:val="4"/>
              <w:widowControl w:val="0"/>
              <w:numPr>
                <w:ilvl w:val="0"/>
                <w:numId w:val="0"/>
              </w:numPr>
              <w:spacing w:line="0" w:lineRule="atLeast"/>
              <w:ind w:leftChars="0"/>
              <w:jc w:val="left"/>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1.业务交付时间：自中标之日起15个工作日内。</w:t>
            </w:r>
          </w:p>
          <w:p w14:paraId="1AD7024D">
            <w:pPr>
              <w:pStyle w:val="4"/>
              <w:widowControl w:val="0"/>
              <w:numPr>
                <w:ilvl w:val="0"/>
                <w:numId w:val="0"/>
              </w:numPr>
              <w:spacing w:line="0" w:lineRule="atLeast"/>
              <w:ind w:leftChars="0"/>
              <w:jc w:val="left"/>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2.服务期: 12个月，安装地点：柳州市市区采购单位指定地点。</w:t>
            </w:r>
          </w:p>
          <w:p w14:paraId="5CBE5A03">
            <w:pPr>
              <w:pStyle w:val="4"/>
              <w:widowControl w:val="0"/>
              <w:numPr>
                <w:ilvl w:val="0"/>
                <w:numId w:val="0"/>
              </w:numPr>
              <w:spacing w:line="0" w:lineRule="atLeast"/>
              <w:ind w:leftChars="0"/>
              <w:jc w:val="left"/>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3.付款方式：本项目无预付款，中标供应商所提交的服务经采购单位验收合格后，按年度支付合同款。 </w:t>
            </w:r>
          </w:p>
        </w:tc>
        <w:tc>
          <w:tcPr>
            <w:tcW w:w="414" w:type="pct"/>
            <w:vAlign w:val="center"/>
          </w:tcPr>
          <w:p w14:paraId="6F11D69F">
            <w:pPr>
              <w:spacing w:line="0" w:lineRule="atLeast"/>
              <w:rPr>
                <w:rFonts w:hint="eastAsia" w:hAnsi="宋体" w:cs="宋体"/>
                <w:color w:val="000000"/>
                <w:kern w:val="0"/>
                <w:sz w:val="24"/>
              </w:rPr>
            </w:pPr>
          </w:p>
        </w:tc>
      </w:tr>
      <w:bookmarkEnd w:id="1"/>
    </w:tbl>
    <w:p w14:paraId="2C2C5C24">
      <w:pPr>
        <w:spacing w:line="360" w:lineRule="exact"/>
        <w:ind w:left="105" w:leftChars="50" w:right="105" w:rightChars="50"/>
        <w:rPr>
          <w:rFonts w:hint="eastAsia" w:ascii="宋体" w:hAnsi="宋体"/>
          <w:sz w:val="24"/>
          <w:szCs w:val="24"/>
        </w:rPr>
      </w:pPr>
      <w:r>
        <w:rPr>
          <w:rFonts w:hint="eastAsia"/>
          <w:sz w:val="24"/>
          <w:szCs w:val="24"/>
        </w:rPr>
        <w:t>说明：</w:t>
      </w:r>
      <w:r>
        <w:rPr>
          <w:rFonts w:hint="eastAsia" w:ascii="宋体" w:hAnsi="宋体"/>
          <w:sz w:val="24"/>
          <w:szCs w:val="24"/>
        </w:rPr>
        <w:t>除法律、法规和规章规定外，上述要求中用“拒绝”、“不接受”、“无效”、“不得”、“必须”、“应当”等文字规定或“</w:t>
      </w:r>
      <w:r>
        <w:rPr>
          <w:rFonts w:hint="eastAsia" w:hAnsi="宋体" w:cs="宋体"/>
          <w:kern w:val="0"/>
          <w:sz w:val="24"/>
          <w:szCs w:val="24"/>
        </w:rPr>
        <w:t>▲</w:t>
      </w:r>
      <w:r>
        <w:rPr>
          <w:rFonts w:hint="eastAsia" w:ascii="宋体" w:hAnsi="宋体"/>
          <w:sz w:val="24"/>
          <w:szCs w:val="24"/>
        </w:rPr>
        <w:t>”符号的条款均为实质性要求条款。投标人在项目实施过程中提供的带宽服务如未满足项目实质性要求的，将被视为虚假应标。有</w:t>
      </w:r>
      <w:r>
        <w:rPr>
          <w:rFonts w:ascii="宋体" w:hAnsi="宋体"/>
          <w:sz w:val="24"/>
          <w:szCs w:val="24"/>
        </w:rPr>
        <w:t>2</w:t>
      </w:r>
      <w:r>
        <w:rPr>
          <w:rFonts w:hint="eastAsia" w:ascii="宋体" w:hAnsi="宋体"/>
          <w:sz w:val="24"/>
          <w:szCs w:val="24"/>
        </w:rPr>
        <w:t>个及以上一般性要求未满足的，将被视为虚假应标。学院有权单方面取消合同。</w:t>
      </w:r>
    </w:p>
    <w:p w14:paraId="41F41C7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5C0B9C"/>
    <w:multiLevelType w:val="multilevel"/>
    <w:tmpl w:val="F35C0B9C"/>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9E4D4A"/>
    <w:multiLevelType w:val="multilevel"/>
    <w:tmpl w:val="009E4D4A"/>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81E66F8"/>
    <w:multiLevelType w:val="multilevel"/>
    <w:tmpl w:val="181E66F8"/>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D551682"/>
    <w:multiLevelType w:val="multilevel"/>
    <w:tmpl w:val="3D551682"/>
    <w:lvl w:ilvl="0" w:tentative="0">
      <w:start w:val="1"/>
      <w:numFmt w:val="decimal"/>
      <w:suff w:val="nothing"/>
      <w:lvlText w:val="%1."/>
      <w:lvlJc w:val="left"/>
      <w:pPr>
        <w:ind w:left="0" w:firstLine="0"/>
      </w:pPr>
      <w:rPr>
        <w:rFonts w:hint="eastAsia"/>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FC3D12"/>
    <w:multiLevelType w:val="multilevel"/>
    <w:tmpl w:val="4FFC3D12"/>
    <w:lvl w:ilvl="0" w:tentative="0">
      <w:start w:val="1"/>
      <w:numFmt w:val="decimal"/>
      <w:suff w:val="nothing"/>
      <w:lvlText w:val="%1."/>
      <w:lvlJc w:val="left"/>
      <w:pPr>
        <w:ind w:left="0" w:firstLine="0"/>
      </w:pPr>
      <w:rPr>
        <w:rFonts w:hint="eastAsia"/>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6002CAC"/>
    <w:multiLevelType w:val="multilevel"/>
    <w:tmpl w:val="76002CAC"/>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xZGMyOTZmNTUzZWU2MWNkNjAzMWRhY2Q0YmQ4NDUifQ=="/>
  </w:docVars>
  <w:rsids>
    <w:rsidRoot w:val="00000000"/>
    <w:rsid w:val="01875DDB"/>
    <w:rsid w:val="01AC5842"/>
    <w:rsid w:val="0E5B00E6"/>
    <w:rsid w:val="0F517A28"/>
    <w:rsid w:val="14FE50FF"/>
    <w:rsid w:val="1F556478"/>
    <w:rsid w:val="2D8F6E12"/>
    <w:rsid w:val="44773514"/>
    <w:rsid w:val="46113714"/>
    <w:rsid w:val="48EF3A72"/>
    <w:rsid w:val="523C2934"/>
    <w:rsid w:val="5BAB7673"/>
    <w:rsid w:val="77EA1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1286</Words>
  <Characters>1375</Characters>
  <Lines>0</Lines>
  <Paragraphs>0</Paragraphs>
  <TotalTime>4</TotalTime>
  <ScaleCrop>false</ScaleCrop>
  <LinksUpToDate>false</LinksUpToDate>
  <CharactersWithSpaces>1384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2024-10-23T01:38:00Z</dcterms:created>
  <dc:creator>luoyi</dc:creator>
  <cp:lastModifiedBy>天空浩浪</cp:lastModifiedBy>
  <dcterms:modified xsi:type="dcterms:W3CDTF">2025-04-29T07:31:15Z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9CEAC7D331C74A348A796AD7E141AFA8_13</vt:lpwstr>
  </property>
  <property fmtid="{D5CDD505-2E9C-101B-9397-08002B2CF9AE}" pid="4" name="KSOTemplateDocerSaveRecord">
    <vt:lpwstr>eyJoZGlkIjoiOTUxZGMyOTZmNTUzZWU2MWNkNjAzMWRhY2Q0YmQ4NDUiLCJ1c2VySWQiOiI2OTQ3MTcwOTcifQ==</vt:lpwstr>
  </property>
</Properties>
</file>