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6F0F2">
      <w:pPr>
        <w:spacing w:line="600" w:lineRule="exact"/>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bookmarkStart w:id="0" w:name="OLE_LINK1"/>
      <w:r>
        <w:rPr>
          <w:rFonts w:hint="eastAsia" w:ascii="方正小标宋简体" w:hAnsi="方正小标宋简体" w:eastAsia="方正小标宋简体" w:cs="方正小标宋简体"/>
          <w:bCs/>
          <w:color w:val="000000" w:themeColor="text1"/>
          <w:sz w:val="44"/>
          <w:szCs w:val="44"/>
          <w:lang w:val="en-US" w:eastAsia="zh-CN"/>
          <w14:textFill>
            <w14:solidFill>
              <w14:schemeClr w14:val="tx1"/>
            </w14:solidFill>
          </w14:textFill>
        </w:rPr>
        <w:t>广西交通运输学校</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互联网光纤宽带租赁服务项目A标</w:t>
      </w:r>
      <w:bookmarkEnd w:id="0"/>
    </w:p>
    <w:p w14:paraId="4FCED057">
      <w:pPr>
        <w:numPr>
          <w:ilvl w:val="0"/>
          <w:numId w:val="1"/>
        </w:numPr>
        <w:spacing w:line="60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采购项目名称：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广西交通运输学校互联网光纤宽带租赁服务项目A标</w:t>
      </w:r>
    </w:p>
    <w:p w14:paraId="0CBF1F4F">
      <w:pPr>
        <w:numPr>
          <w:ilvl w:val="0"/>
          <w:numId w:val="1"/>
        </w:numPr>
        <w:spacing w:line="60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采购方式：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广西政府采购云平台-电子卖场-在线询价</w:t>
      </w:r>
    </w:p>
    <w:p w14:paraId="556390CD">
      <w:pPr>
        <w:spacing w:line="600" w:lineRule="exact"/>
        <w:jc w:val="left"/>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、项目工期要求：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合同签订之日起15个工作日内交付使用。</w:t>
      </w:r>
    </w:p>
    <w:p w14:paraId="321703DC">
      <w:pPr>
        <w:spacing w:line="600" w:lineRule="exact"/>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、项目预算资金：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205200元</w:t>
      </w:r>
    </w:p>
    <w:p w14:paraId="6BAA4261">
      <w:pPr>
        <w:spacing w:line="600" w:lineRule="exact"/>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、响应单位资格条件：</w:t>
      </w:r>
    </w:p>
    <w:p w14:paraId="2E1D274D">
      <w:pPr>
        <w:numPr>
          <w:ilvl w:val="255"/>
          <w:numId w:val="0"/>
        </w:numPr>
        <w:spacing w:line="600" w:lineRule="exact"/>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满足《中华人民共和国政府采购法》第二十二条规定；</w:t>
      </w:r>
    </w:p>
    <w:p w14:paraId="036DA893">
      <w:pPr>
        <w:numPr>
          <w:ilvl w:val="255"/>
          <w:numId w:val="0"/>
        </w:numPr>
        <w:spacing w:line="600" w:lineRule="exact"/>
        <w:ind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本项目的特定资格要求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无</w:t>
      </w:r>
      <w:r>
        <w:rPr>
          <w:rFonts w:hint="eastAsia" w:ascii="仿宋_GB2312" w:hAnsi="仿宋_GB2312" w:eastAsia="仿宋_GB2312" w:cs="仿宋_GB2312"/>
          <w:sz w:val="32"/>
          <w:szCs w:val="32"/>
          <w:lang w:eastAsia="zh-CN"/>
        </w:rPr>
        <w:t>；</w:t>
      </w:r>
    </w:p>
    <w:p w14:paraId="3E73BBE8">
      <w:pPr>
        <w:widowControl/>
        <w:jc w:val="left"/>
        <w:rPr>
          <w:rFonts w:hint="eastAsia" w:ascii="宋体" w:hAnsi="宋体" w:eastAsia="宋体" w:cs="宋体"/>
          <w:b/>
          <w:bCs/>
          <w:color w:val="000000"/>
          <w:sz w:val="28"/>
          <w:szCs w:val="28"/>
          <w:lang w:val="en-US" w:eastAsia="zh-CN"/>
        </w:rPr>
      </w:pPr>
      <w:r>
        <w:rPr>
          <w:rFonts w:hint="eastAsia" w:ascii="仿宋_GB2312" w:hAnsi="仿宋_GB2312" w:eastAsia="仿宋_GB2312" w:cs="仿宋_GB2312"/>
          <w:sz w:val="32"/>
          <w:szCs w:val="32"/>
          <w:lang w:val="en-US" w:eastAsia="zh-CN"/>
        </w:rPr>
        <w:t>（三）未被</w:t>
      </w:r>
      <w:r>
        <w:rPr>
          <w:rFonts w:hint="eastAsia" w:ascii="仿宋_GB2312" w:hAnsi="仿宋_GB2312" w:eastAsia="仿宋_GB2312" w:cs="仿宋_GB2312"/>
          <w:sz w:val="32"/>
          <w:szCs w:val="32"/>
        </w:rPr>
        <w:t>列入失信被执行人、重大税收违法案件当事人名单、政府采购严重违法失信行为记录名单</w:t>
      </w:r>
    </w:p>
    <w:p w14:paraId="60CC6D95">
      <w:pPr>
        <w:numPr>
          <w:ilvl w:val="255"/>
          <w:numId w:val="0"/>
        </w:numPr>
        <w:spacing w:line="600" w:lineRule="exact"/>
        <w:jc w:val="left"/>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lang w:val="en-US"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、投标人在报价时须提供响应文件，包含但不限于以下内容：</w:t>
      </w:r>
    </w:p>
    <w:p w14:paraId="7F45815C">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）有效的营业执照等证明文件扫描件；</w:t>
      </w:r>
    </w:p>
    <w:p w14:paraId="598B8BDB">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）法定代表人身份证</w:t>
      </w:r>
      <w:r>
        <w:rPr>
          <w:rFonts w:hint="eastAsia" w:ascii="仿宋_GB2312" w:hAnsi="仿宋_GB2312" w:eastAsia="仿宋_GB2312" w:cs="仿宋_GB2312"/>
          <w:sz w:val="32"/>
          <w:szCs w:val="32"/>
          <w:lang w:val="en-US" w:eastAsia="zh-CN"/>
        </w:rPr>
        <w:t>扫描</w:t>
      </w:r>
      <w:r>
        <w:rPr>
          <w:rFonts w:hint="eastAsia" w:ascii="仿宋_GB2312" w:hAnsi="仿宋_GB2312" w:eastAsia="仿宋_GB2312" w:cs="仿宋_GB2312"/>
          <w:sz w:val="32"/>
          <w:szCs w:val="32"/>
        </w:rPr>
        <w:t>件，如是委托人还需提供法定代表人授权委托书及</w:t>
      </w:r>
      <w:r>
        <w:rPr>
          <w:rFonts w:hint="eastAsia" w:ascii="仿宋_GB2312" w:hAnsi="仿宋_GB2312" w:eastAsia="仿宋_GB2312" w:cs="仿宋_GB2312"/>
          <w:sz w:val="32"/>
          <w:szCs w:val="32"/>
          <w:lang w:val="en-US" w:eastAsia="zh-CN"/>
        </w:rPr>
        <w:t>委托代理人</w:t>
      </w:r>
      <w:r>
        <w:rPr>
          <w:rFonts w:hint="eastAsia" w:ascii="仿宋_GB2312" w:hAnsi="仿宋_GB2312" w:eastAsia="仿宋_GB2312" w:cs="仿宋_GB2312"/>
          <w:sz w:val="32"/>
          <w:szCs w:val="32"/>
        </w:rPr>
        <w:t>身份证</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详见附件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687BCEE7">
      <w:pPr>
        <w:numPr>
          <w:ilvl w:val="255"/>
          <w:numId w:val="0"/>
        </w:numPr>
        <w:spacing w:line="60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参加政府采购活动前三年内在经营活动中没有重大违法记录的书面声明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详见附件</w:t>
      </w:r>
      <w:r>
        <w:rPr>
          <w:rFonts w:hint="eastAsia" w:ascii="仿宋_GB2312" w:hAnsi="仿宋_GB2312" w:eastAsia="仿宋_GB2312" w:cs="仿宋_GB2312"/>
          <w:sz w:val="32"/>
          <w:szCs w:val="32"/>
          <w:lang w:eastAsia="zh-CN"/>
        </w:rPr>
        <w:t>）；</w:t>
      </w:r>
    </w:p>
    <w:p w14:paraId="09CC85C3">
      <w:pPr>
        <w:numPr>
          <w:ilvl w:val="255"/>
          <w:numId w:val="0"/>
        </w:numPr>
        <w:spacing w:line="60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（四）未被</w:t>
      </w:r>
      <w:r>
        <w:rPr>
          <w:rFonts w:hint="eastAsia" w:ascii="仿宋_GB2312" w:hAnsi="仿宋_GB2312" w:eastAsia="仿宋_GB2312" w:cs="仿宋_GB2312"/>
          <w:sz w:val="32"/>
          <w:szCs w:val="32"/>
        </w:rPr>
        <w:t>列入失信被执行人、重大税收违法案件当事人名单、政府采购严重违法失信行为记录名单</w:t>
      </w:r>
      <w:r>
        <w:rPr>
          <w:rFonts w:hint="eastAsia" w:ascii="仿宋_GB2312" w:hAnsi="仿宋_GB2312" w:eastAsia="仿宋_GB2312" w:cs="仿宋_GB2312"/>
          <w:sz w:val="32"/>
          <w:szCs w:val="32"/>
          <w:lang w:val="en-US" w:eastAsia="zh-CN"/>
        </w:rPr>
        <w:t>证明材料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供应商可在“信用中国”网站（www.creditchina.gov.cn）、中国政府采购网（www.ccgp.gov.cn）查询相关供应商主体信用记录）；</w:t>
      </w:r>
    </w:p>
    <w:p w14:paraId="3D451A76">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（五）202</w:t>
      </w:r>
      <w:r>
        <w:rPr>
          <w:rFonts w:hint="eastAsia" w:ascii="仿宋_GB2312" w:hAnsi="仿宋_GB2312" w:eastAsia="仿宋_GB2312" w:cs="仿宋_GB2312"/>
          <w:sz w:val="32"/>
          <w:szCs w:val="32"/>
          <w:lang w:val="en-US" w:eastAsia="zh-CN"/>
        </w:rPr>
        <w:t>3或2024</w:t>
      </w:r>
      <w:r>
        <w:rPr>
          <w:rFonts w:hint="eastAsia" w:ascii="仿宋_GB2312" w:hAnsi="仿宋_GB2312" w:eastAsia="仿宋_GB2312" w:cs="仿宋_GB2312"/>
          <w:sz w:val="32"/>
          <w:szCs w:val="32"/>
        </w:rPr>
        <w:t>年度财务状况报告</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（对于从取得营业执照时间起到响应文件</w:t>
      </w:r>
      <w:r>
        <w:rPr>
          <w:rFonts w:hint="eastAsia" w:ascii="仿宋_GB2312" w:hAnsi="仿宋_GB2312" w:eastAsia="仿宋_GB2312" w:cs="仿宋_GB2312"/>
          <w:sz w:val="32"/>
          <w:szCs w:val="32"/>
          <w:lang w:val="en-US" w:eastAsia="zh-CN"/>
        </w:rPr>
        <w:t>提交</w:t>
      </w:r>
      <w:r>
        <w:rPr>
          <w:rFonts w:hint="eastAsia" w:ascii="仿宋_GB2312" w:hAnsi="仿宋_GB2312" w:eastAsia="仿宋_GB2312" w:cs="仿宋_GB2312"/>
          <w:sz w:val="32"/>
          <w:szCs w:val="32"/>
        </w:rPr>
        <w:t>截止</w:t>
      </w:r>
      <w:r>
        <w:rPr>
          <w:rFonts w:hint="eastAsia" w:ascii="仿宋_GB2312" w:hAnsi="仿宋_GB2312" w:eastAsia="仿宋_GB2312" w:cs="仿宋_GB2312"/>
          <w:sz w:val="32"/>
          <w:szCs w:val="32"/>
          <w:lang w:val="en-US" w:eastAsia="zh-CN"/>
        </w:rPr>
        <w:t>之日</w:t>
      </w:r>
      <w:r>
        <w:rPr>
          <w:rFonts w:hint="eastAsia" w:ascii="仿宋_GB2312" w:hAnsi="仿宋_GB2312" w:eastAsia="仿宋_GB2312" w:cs="仿宋_GB2312"/>
          <w:sz w:val="32"/>
          <w:szCs w:val="32"/>
        </w:rPr>
        <w:t>为止不足1年的供应商，只需提交响应文件递交截止时间前一个月的财务状况报告</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w:t>
      </w:r>
    </w:p>
    <w:p w14:paraId="634DA084">
      <w:pPr>
        <w:numPr>
          <w:ilvl w:val="0"/>
          <w:numId w:val="2"/>
        </w:numPr>
        <w:spacing w:line="60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响应文件提交截止之日前半年内供应商连续三个月的依法缴纳税费或依法免缴税费的证明；无纳税记录的，应提供由供应商所在地主管国税或地税部门出具的《依法纳税或依法免税证明》</w:t>
      </w:r>
      <w:r>
        <w:rPr>
          <w:rFonts w:hint="eastAsia" w:ascii="仿宋_GB2312" w:hAnsi="仿宋_GB2312" w:eastAsia="仿宋_GB2312" w:cs="仿宋_GB2312"/>
          <w:sz w:val="32"/>
          <w:szCs w:val="32"/>
          <w:lang w:eastAsia="zh-CN"/>
        </w:rPr>
        <w:t>；</w:t>
      </w:r>
    </w:p>
    <w:p w14:paraId="06AA1D98">
      <w:pPr>
        <w:numPr>
          <w:ilvl w:val="-1"/>
          <w:numId w:val="0"/>
        </w:numPr>
        <w:spacing w:line="600" w:lineRule="exact"/>
        <w:jc w:val="left"/>
        <w:rPr>
          <w:rFonts w:hint="eastAsia" w:eastAsia="仿宋_GB231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响应文件提交截止之日前半年内供应商连续三个月的依法缴纳社会保障资金的缴费凭证；无缴费记录的，应提供由供应商所在地社保部门出具的《依法缴纳或依法免缴社会保障资金证明》</w:t>
      </w:r>
      <w:r>
        <w:rPr>
          <w:rFonts w:hint="eastAsia" w:ascii="仿宋_GB2312" w:hAnsi="仿宋_GB2312" w:eastAsia="仿宋_GB2312" w:cs="仿宋_GB2312"/>
          <w:sz w:val="32"/>
          <w:szCs w:val="32"/>
          <w:lang w:eastAsia="zh-CN"/>
        </w:rPr>
        <w:t>；</w:t>
      </w:r>
    </w:p>
    <w:p w14:paraId="51D2EF73">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）商务、服务(技术)响应表；</w:t>
      </w:r>
    </w:p>
    <w:p w14:paraId="525B3962">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需求表、商务</w:t>
      </w:r>
      <w:r>
        <w:rPr>
          <w:rFonts w:hint="eastAsia" w:ascii="仿宋_GB2312" w:hAnsi="仿宋_GB2312" w:eastAsia="仿宋_GB2312" w:cs="仿宋_GB2312"/>
          <w:sz w:val="32"/>
          <w:szCs w:val="32"/>
          <w:lang w:val="en-US" w:eastAsia="zh-CN"/>
        </w:rPr>
        <w:t>要求表</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val="en-US" w:eastAsia="zh-CN"/>
        </w:rPr>
        <w:t>标注“★”号的条款为实质性条款或指标，要求必须满足或者优于，中标人</w:t>
      </w:r>
      <w:r>
        <w:rPr>
          <w:rFonts w:hint="eastAsia" w:ascii="仿宋_GB2312" w:hAnsi="仿宋_GB2312" w:eastAsia="仿宋_GB2312" w:cs="仿宋_GB2312"/>
          <w:sz w:val="32"/>
          <w:szCs w:val="32"/>
        </w:rPr>
        <w:t>要求提供的文件；</w:t>
      </w:r>
    </w:p>
    <w:p w14:paraId="2800A05C">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）售后服务</w:t>
      </w:r>
      <w:r>
        <w:rPr>
          <w:rFonts w:hint="eastAsia" w:ascii="仿宋_GB2312" w:hAnsi="仿宋_GB2312" w:eastAsia="仿宋_GB2312" w:cs="仿宋_GB2312"/>
          <w:sz w:val="32"/>
          <w:szCs w:val="32"/>
          <w:lang w:val="en-US" w:eastAsia="zh-CN"/>
        </w:rPr>
        <w:t>承诺书</w:t>
      </w:r>
      <w:r>
        <w:rPr>
          <w:rFonts w:hint="eastAsia" w:ascii="仿宋_GB2312" w:hAnsi="仿宋_GB2312" w:eastAsia="仿宋_GB2312" w:cs="仿宋_GB2312"/>
          <w:sz w:val="32"/>
          <w:szCs w:val="32"/>
        </w:rPr>
        <w:t>（内容可以是提供的切实可行的售后服务和优惠承诺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格式自拟）；</w:t>
      </w:r>
    </w:p>
    <w:p w14:paraId="616741EA">
      <w:pPr>
        <w:numPr>
          <w:ilvl w:val="255"/>
          <w:numId w:val="0"/>
        </w:numPr>
        <w:spacing w:line="600" w:lineRule="exact"/>
        <w:jc w:val="left"/>
        <w:rPr>
          <w:rFonts w:hint="default" w:eastAsia="仿宋_GB2312"/>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中小企业声明函（如有，详见附件）；</w:t>
      </w:r>
    </w:p>
    <w:p w14:paraId="52CB23FB">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）供应商认为需要提供的</w:t>
      </w:r>
      <w:r>
        <w:rPr>
          <w:rFonts w:hint="eastAsia" w:ascii="仿宋_GB2312" w:hAnsi="仿宋_GB2312" w:eastAsia="仿宋_GB2312" w:cs="仿宋_GB2312"/>
          <w:sz w:val="32"/>
          <w:szCs w:val="32"/>
          <w:lang w:val="en-US" w:eastAsia="zh-CN"/>
        </w:rPr>
        <w:t>有关资料</w:t>
      </w:r>
      <w:r>
        <w:rPr>
          <w:rFonts w:hint="eastAsia" w:ascii="仿宋_GB2312" w:hAnsi="仿宋_GB2312" w:eastAsia="仿宋_GB2312" w:cs="仿宋_GB2312"/>
          <w:sz w:val="32"/>
          <w:szCs w:val="32"/>
        </w:rPr>
        <w:t>。</w:t>
      </w:r>
    </w:p>
    <w:p w14:paraId="742EC1BB">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以上材料</w:t>
      </w:r>
      <w:r>
        <w:rPr>
          <w:rFonts w:hint="eastAsia" w:ascii="仿宋_GB2312" w:hAnsi="仿宋_GB2312" w:eastAsia="仿宋_GB2312" w:cs="仿宋_GB2312"/>
          <w:sz w:val="32"/>
          <w:szCs w:val="32"/>
          <w:lang w:val="en-US" w:eastAsia="zh-CN"/>
        </w:rPr>
        <w:t>每一页</w:t>
      </w:r>
      <w:r>
        <w:rPr>
          <w:rFonts w:hint="eastAsia" w:ascii="仿宋_GB2312" w:hAnsi="仿宋_GB2312" w:eastAsia="仿宋_GB2312" w:cs="仿宋_GB2312"/>
          <w:sz w:val="32"/>
          <w:szCs w:val="32"/>
        </w:rPr>
        <w:t>均需加盖投标人公章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未按要求在广西政府采购云平台上传响应文件的，视为无效竞价。</w:t>
      </w:r>
    </w:p>
    <w:p w14:paraId="75DEBBA6">
      <w:pPr>
        <w:numPr>
          <w:ilvl w:val="255"/>
          <w:numId w:val="0"/>
        </w:numPr>
        <w:spacing w:line="560" w:lineRule="exact"/>
        <w:jc w:val="left"/>
        <w:rPr>
          <w:rFonts w:hint="eastAsia" w:ascii="仿宋_GB2312" w:hAnsi="仿宋_GB2312" w:eastAsia="仿宋_GB2312" w:cs="仿宋_GB2312"/>
          <w:b w:val="0"/>
          <w:bCs w:val="0"/>
          <w:sz w:val="32"/>
          <w:szCs w:val="32"/>
        </w:rPr>
      </w:pPr>
      <w:r>
        <w:rPr>
          <w:rFonts w:hint="eastAsia" w:ascii="黑体" w:hAnsi="黑体" w:eastAsia="黑体" w:cs="黑体"/>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b w:val="0"/>
          <w:bCs w:val="0"/>
          <w:sz w:val="32"/>
          <w:szCs w:val="32"/>
        </w:rPr>
        <w:t>本项目所有</w:t>
      </w:r>
      <w:r>
        <w:rPr>
          <w:rFonts w:hint="eastAsia" w:ascii="仿宋_GB2312" w:hAnsi="仿宋_GB2312" w:eastAsia="仿宋_GB2312" w:cs="仿宋_GB2312"/>
          <w:b w:val="0"/>
          <w:bCs w:val="0"/>
          <w:sz w:val="32"/>
          <w:szCs w:val="32"/>
          <w:lang w:val="en-US" w:eastAsia="zh-CN"/>
        </w:rPr>
        <w:t>服务</w:t>
      </w:r>
      <w:r>
        <w:rPr>
          <w:rFonts w:hint="eastAsia" w:ascii="仿宋_GB2312" w:hAnsi="仿宋_GB2312" w:eastAsia="仿宋_GB2312" w:cs="仿宋_GB2312"/>
          <w:b w:val="0"/>
          <w:bCs w:val="0"/>
          <w:sz w:val="32"/>
          <w:szCs w:val="32"/>
        </w:rPr>
        <w:t>技术需求和商务需求均为实质性参数，必须全部满足或优于，否则竞标无效。</w:t>
      </w:r>
    </w:p>
    <w:p w14:paraId="3311B087">
      <w:pPr>
        <w:numPr>
          <w:ilvl w:val="-1"/>
          <w:numId w:val="0"/>
        </w:numPr>
        <w:spacing w:line="600" w:lineRule="exact"/>
        <w:jc w:val="left"/>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八、</w:t>
      </w:r>
      <w:r>
        <w:rPr>
          <w:rFonts w:hint="eastAsia" w:ascii="仿宋_GB2312" w:hAnsi="仿宋_GB2312" w:eastAsia="仿宋_GB2312" w:cs="仿宋_GB2312"/>
          <w:b w:val="0"/>
          <w:bCs w:val="0"/>
          <w:sz w:val="32"/>
          <w:szCs w:val="32"/>
          <w:lang w:val="en-US" w:eastAsia="zh-CN"/>
        </w:rPr>
        <w:t>成交供应商如因无法满足采购文件要求及其他原因放弃成交资格、或拒绝履行成交项目的，采购人可以将相关情况上报政府采购监管部门及广西政府采购云平台处理，产生的后果由供应商承担。</w:t>
      </w:r>
    </w:p>
    <w:p w14:paraId="6DDBB7B1">
      <w:pPr>
        <w:pStyle w:val="2"/>
        <w:jc w:val="both"/>
        <w:rPr>
          <w:rFonts w:hint="default"/>
          <w:lang w:val="en-US" w:eastAsia="zh-CN"/>
        </w:rPr>
      </w:pPr>
      <w:r>
        <w:rPr>
          <w:rFonts w:hint="eastAsia" w:ascii="黑体" w:hAnsi="黑体" w:cs="黑体"/>
          <w:b w:val="0"/>
          <w:bCs w:val="0"/>
          <w:kern w:val="2"/>
          <w:sz w:val="32"/>
          <w:szCs w:val="32"/>
          <w:lang w:val="en-US" w:eastAsia="zh-CN"/>
        </w:rPr>
        <w:t>九</w:t>
      </w:r>
      <w:r>
        <w:rPr>
          <w:rFonts w:hint="eastAsia" w:ascii="黑体" w:hAnsi="黑体" w:eastAsia="黑体" w:cs="黑体"/>
          <w:b w:val="0"/>
          <w:bCs w:val="0"/>
          <w:kern w:val="2"/>
          <w:sz w:val="32"/>
          <w:szCs w:val="32"/>
          <w:lang w:val="en-US" w:eastAsia="zh-CN"/>
        </w:rPr>
        <w:t>、</w:t>
      </w:r>
      <w:r>
        <w:rPr>
          <w:rFonts w:hint="eastAsia" w:ascii="仿宋_GB2312" w:hAnsi="仿宋_GB2312" w:eastAsia="仿宋_GB2312" w:cs="仿宋_GB2312"/>
          <w:sz w:val="32"/>
          <w:szCs w:val="32"/>
        </w:rPr>
        <w:t>为保证校园局域网运行的安全可靠，防止单线路故障与保障出口流量负载均衡，</w:t>
      </w:r>
      <w:r>
        <w:rPr>
          <w:rFonts w:hint="eastAsia" w:ascii="仿宋_GB2312" w:hAnsi="仿宋_GB2312" w:eastAsia="仿宋_GB2312" w:cs="仿宋_GB2312"/>
          <w:sz w:val="32"/>
          <w:szCs w:val="32"/>
          <w:lang w:val="en-US" w:eastAsia="zh-CN"/>
        </w:rPr>
        <w:t>共</w:t>
      </w:r>
      <w:r>
        <w:rPr>
          <w:rFonts w:hint="eastAsia" w:ascii="仿宋_GB2312" w:hAnsi="仿宋_GB2312" w:eastAsia="仿宋_GB2312" w:cs="仿宋_GB2312"/>
          <w:sz w:val="32"/>
          <w:szCs w:val="32"/>
        </w:rPr>
        <w:t>采购两家基础电信企业互联网专线（分为A、B标</w:t>
      </w:r>
      <w:r>
        <w:rPr>
          <w:rFonts w:hint="eastAsia" w:ascii="仿宋_GB2312" w:hAnsi="仿宋_GB2312" w:eastAsia="仿宋_GB2312" w:cs="仿宋_GB2312"/>
          <w:sz w:val="32"/>
          <w:szCs w:val="32"/>
          <w:lang w:val="en-US" w:eastAsia="zh-CN"/>
        </w:rPr>
        <w:t>两个项目</w:t>
      </w:r>
      <w:r>
        <w:rPr>
          <w:rFonts w:hint="eastAsia" w:ascii="仿宋_GB2312" w:hAnsi="仿宋_GB2312" w:eastAsia="仿宋_GB2312" w:cs="仿宋_GB2312"/>
          <w:sz w:val="32"/>
          <w:szCs w:val="32"/>
        </w:rPr>
        <w:t>，此项目为A标）。供应商对所投</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进行响应并报价，每个供应商只可以成交一个</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red"/>
          <w:lang w:val="en-US" w:eastAsia="zh-CN"/>
        </w:rPr>
        <w:t>报价</w:t>
      </w:r>
      <w:r>
        <w:rPr>
          <w:rFonts w:hint="eastAsia" w:ascii="仿宋_GB2312" w:hAnsi="仿宋_GB2312" w:eastAsia="仿宋_GB2312" w:cs="仿宋_GB2312"/>
          <w:sz w:val="32"/>
          <w:szCs w:val="32"/>
          <w:highlight w:val="red"/>
        </w:rPr>
        <w:t>最低</w:t>
      </w:r>
      <w:r>
        <w:rPr>
          <w:rFonts w:hint="eastAsia" w:ascii="仿宋_GB2312" w:hAnsi="仿宋_GB2312" w:eastAsia="仿宋_GB2312" w:cs="仿宋_GB2312"/>
          <w:sz w:val="32"/>
          <w:szCs w:val="32"/>
          <w:highlight w:val="red"/>
          <w:lang w:eastAsia="zh-CN"/>
        </w:rPr>
        <w:t>的</w:t>
      </w:r>
      <w:r>
        <w:rPr>
          <w:rFonts w:hint="eastAsia" w:ascii="仿宋_GB2312" w:hAnsi="仿宋_GB2312" w:eastAsia="仿宋_GB2312" w:cs="仿宋_GB2312"/>
          <w:sz w:val="32"/>
          <w:szCs w:val="32"/>
          <w:highlight w:val="red"/>
          <w:lang w:val="en-US" w:eastAsia="zh-CN"/>
        </w:rPr>
        <w:t>有效供应商即</w:t>
      </w:r>
      <w:r>
        <w:rPr>
          <w:rFonts w:hint="eastAsia" w:ascii="仿宋_GB2312" w:hAnsi="仿宋_GB2312" w:eastAsia="仿宋_GB2312" w:cs="仿宋_GB2312"/>
          <w:sz w:val="32"/>
          <w:szCs w:val="32"/>
          <w:highlight w:val="red"/>
        </w:rPr>
        <w:t>为</w:t>
      </w:r>
      <w:bookmarkStart w:id="1" w:name="OLE_LINK2"/>
      <w:r>
        <w:rPr>
          <w:rFonts w:hint="eastAsia" w:ascii="仿宋_GB2312" w:hAnsi="仿宋_GB2312" w:eastAsia="仿宋_GB2312" w:cs="仿宋_GB2312"/>
          <w:sz w:val="32"/>
          <w:szCs w:val="32"/>
          <w:highlight w:val="red"/>
          <w:lang w:val="en-US" w:eastAsia="zh-CN"/>
        </w:rPr>
        <w:t>预成交供应商</w:t>
      </w:r>
      <w:bookmarkEnd w:id="1"/>
      <w:r>
        <w:rPr>
          <w:rFonts w:hint="eastAsia" w:ascii="仿宋_GB2312" w:hAnsi="仿宋_GB2312" w:eastAsia="仿宋_GB2312" w:cs="仿宋_GB2312"/>
          <w:sz w:val="32"/>
          <w:szCs w:val="32"/>
          <w:highlight w:val="red"/>
        </w:rPr>
        <w:t>，如果一个供应商同时中A、B标</w:t>
      </w:r>
      <w:r>
        <w:rPr>
          <w:rFonts w:hint="eastAsia" w:ascii="仿宋_GB2312" w:hAnsi="仿宋_GB2312" w:eastAsia="仿宋_GB2312" w:cs="仿宋_GB2312"/>
          <w:sz w:val="32"/>
          <w:szCs w:val="32"/>
          <w:highlight w:val="red"/>
          <w:lang w:val="en-US" w:eastAsia="zh-CN"/>
        </w:rPr>
        <w:t>两个项目</w:t>
      </w:r>
      <w:r>
        <w:rPr>
          <w:rFonts w:hint="eastAsia" w:ascii="仿宋_GB2312" w:hAnsi="仿宋_GB2312" w:eastAsia="仿宋_GB2312" w:cs="仿宋_GB2312"/>
          <w:sz w:val="32"/>
          <w:szCs w:val="32"/>
          <w:highlight w:val="red"/>
        </w:rPr>
        <w:t>则视为投标无效</w:t>
      </w:r>
      <w:r>
        <w:rPr>
          <w:rFonts w:hint="eastAsia" w:ascii="仿宋_GB2312" w:hAnsi="仿宋_GB2312" w:eastAsia="仿宋_GB2312" w:cs="仿宋_GB2312"/>
          <w:sz w:val="32"/>
          <w:szCs w:val="32"/>
          <w:highlight w:val="red"/>
          <w:lang w:eastAsia="zh-CN"/>
        </w:rPr>
        <w:t>，</w:t>
      </w:r>
      <w:r>
        <w:rPr>
          <w:rFonts w:hint="eastAsia" w:ascii="仿宋_GB2312" w:hAnsi="仿宋_GB2312" w:eastAsia="仿宋_GB2312" w:cs="仿宋_GB2312"/>
          <w:sz w:val="32"/>
          <w:szCs w:val="32"/>
          <w:highlight w:val="red"/>
          <w:lang w:val="en-US" w:eastAsia="zh-CN"/>
        </w:rPr>
        <w:t>排名第二的供应商推荐为预成交供应商</w:t>
      </w:r>
      <w:r>
        <w:rPr>
          <w:rFonts w:hint="eastAsia" w:ascii="仿宋_GB2312" w:hAnsi="仿宋_GB2312" w:eastAsia="仿宋_GB2312" w:cs="仿宋_GB2312"/>
          <w:sz w:val="32"/>
          <w:szCs w:val="32"/>
        </w:rPr>
        <w:t xml:space="preserve">) </w:t>
      </w:r>
    </w:p>
    <w:p w14:paraId="6EEEF253">
      <w:pPr>
        <w:widowControl/>
        <w:spacing w:line="460" w:lineRule="exact"/>
        <w:jc w:val="center"/>
        <w:rPr>
          <w:rFonts w:hint="eastAsia" w:ascii="宋体" w:hAnsi="宋体" w:cs="宋体"/>
          <w:b/>
          <w:bCs/>
          <w:color w:val="000000"/>
          <w:sz w:val="44"/>
          <w:szCs w:val="44"/>
          <w:lang w:val="en-US" w:eastAsia="zh-CN"/>
        </w:rPr>
      </w:pPr>
    </w:p>
    <w:p w14:paraId="59B20AC6">
      <w:pPr>
        <w:widowControl/>
        <w:spacing w:line="460" w:lineRule="exact"/>
        <w:jc w:val="center"/>
        <w:rPr>
          <w:rFonts w:hint="default" w:ascii="宋体" w:hAnsi="宋体" w:eastAsia="宋体" w:cs="宋体"/>
          <w:b/>
          <w:bCs/>
          <w:color w:val="000000"/>
          <w:sz w:val="44"/>
          <w:szCs w:val="44"/>
          <w:lang w:val="en-US" w:eastAsia="zh-CN"/>
        </w:rPr>
      </w:pPr>
      <w:r>
        <w:rPr>
          <w:rFonts w:hint="eastAsia" w:ascii="宋体" w:hAnsi="宋体" w:cs="宋体"/>
          <w:b/>
          <w:bCs/>
          <w:color w:val="000000"/>
          <w:sz w:val="44"/>
          <w:szCs w:val="44"/>
          <w:lang w:val="en-US" w:eastAsia="zh-CN"/>
        </w:rPr>
        <w:t>采购需求表</w:t>
      </w:r>
    </w:p>
    <w:tbl>
      <w:tblPr>
        <w:tblStyle w:val="10"/>
        <w:tblW w:w="5144" w:type="pct"/>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0"/>
        <w:gridCol w:w="1422"/>
        <w:gridCol w:w="4036"/>
        <w:gridCol w:w="547"/>
        <w:gridCol w:w="547"/>
        <w:gridCol w:w="856"/>
        <w:gridCol w:w="822"/>
      </w:tblGrid>
      <w:tr w14:paraId="7449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220" w:type="pct"/>
            <w:tcMar>
              <w:top w:w="13" w:type="dxa"/>
              <w:left w:w="57" w:type="dxa"/>
              <w:bottom w:w="0" w:type="dxa"/>
              <w:right w:w="57" w:type="dxa"/>
            </w:tcMar>
            <w:vAlign w:val="center"/>
          </w:tcPr>
          <w:p w14:paraId="744E562F">
            <w:pPr>
              <w:jc w:val="center"/>
              <w:rPr>
                <w:rFonts w:ascii="宋体" w:hAnsi="宋体" w:cs="宋体"/>
                <w:b/>
                <w:bCs/>
                <w:color w:val="000000"/>
                <w:kern w:val="0"/>
              </w:rPr>
            </w:pPr>
            <w:r>
              <w:rPr>
                <w:rFonts w:hint="eastAsia" w:ascii="宋体" w:hAnsi="宋体" w:cs="宋体"/>
                <w:b/>
                <w:bCs/>
                <w:color w:val="000000"/>
                <w:kern w:val="0"/>
              </w:rPr>
              <w:t>序号</w:t>
            </w:r>
          </w:p>
        </w:tc>
        <w:tc>
          <w:tcPr>
            <w:tcW w:w="825" w:type="pct"/>
            <w:tcMar>
              <w:top w:w="13" w:type="dxa"/>
              <w:left w:w="57" w:type="dxa"/>
              <w:bottom w:w="0" w:type="dxa"/>
              <w:right w:w="57" w:type="dxa"/>
            </w:tcMar>
            <w:vAlign w:val="center"/>
          </w:tcPr>
          <w:p w14:paraId="3607ED97">
            <w:pPr>
              <w:snapToGrid w:val="0"/>
              <w:jc w:val="center"/>
              <w:rPr>
                <w:rFonts w:ascii="宋体" w:hAnsi="宋体" w:cs="宋体"/>
                <w:b/>
                <w:bCs/>
                <w:color w:val="000000"/>
              </w:rPr>
            </w:pPr>
            <w:r>
              <w:rPr>
                <w:rFonts w:hint="eastAsia" w:ascii="宋体" w:hAnsi="宋体" w:cs="宋体"/>
                <w:b/>
                <w:bCs/>
                <w:color w:val="000000"/>
              </w:rPr>
              <w:t>采购内容</w:t>
            </w:r>
          </w:p>
        </w:tc>
        <w:tc>
          <w:tcPr>
            <w:tcW w:w="2344" w:type="pct"/>
            <w:tcMar>
              <w:top w:w="13" w:type="dxa"/>
              <w:left w:w="57" w:type="dxa"/>
              <w:bottom w:w="0" w:type="dxa"/>
              <w:right w:w="57" w:type="dxa"/>
            </w:tcMar>
            <w:vAlign w:val="center"/>
          </w:tcPr>
          <w:p w14:paraId="200B57F4">
            <w:pPr>
              <w:jc w:val="center"/>
              <w:rPr>
                <w:rFonts w:ascii="宋体" w:hAnsi="宋体" w:cs="宋体"/>
                <w:b/>
                <w:bCs/>
                <w:color w:val="000000"/>
              </w:rPr>
            </w:pPr>
            <w:r>
              <w:rPr>
                <w:rFonts w:hint="eastAsia" w:ascii="宋体" w:hAnsi="宋体" w:cs="宋体"/>
                <w:b/>
                <w:bCs/>
                <w:color w:val="000000"/>
                <w:kern w:val="0"/>
              </w:rPr>
              <w:t>技术参数</w:t>
            </w:r>
          </w:p>
        </w:tc>
        <w:tc>
          <w:tcPr>
            <w:tcW w:w="317" w:type="pct"/>
            <w:vAlign w:val="center"/>
          </w:tcPr>
          <w:p w14:paraId="6154505C">
            <w:pPr>
              <w:jc w:val="center"/>
              <w:rPr>
                <w:rFonts w:ascii="宋体" w:hAnsi="宋体" w:cs="宋体"/>
                <w:b/>
                <w:bCs/>
                <w:color w:val="000000"/>
                <w:kern w:val="0"/>
              </w:rPr>
            </w:pPr>
            <w:r>
              <w:rPr>
                <w:rFonts w:hint="eastAsia" w:ascii="宋体" w:hAnsi="宋体" w:cs="宋体"/>
                <w:b/>
                <w:bCs/>
                <w:color w:val="000000"/>
                <w:kern w:val="0"/>
              </w:rPr>
              <w:t>计量</w:t>
            </w:r>
          </w:p>
          <w:p w14:paraId="22AF894C">
            <w:pPr>
              <w:jc w:val="center"/>
              <w:rPr>
                <w:rFonts w:ascii="宋体" w:hAnsi="宋体" w:cs="宋体"/>
                <w:b/>
                <w:bCs/>
                <w:color w:val="000000"/>
              </w:rPr>
            </w:pPr>
            <w:r>
              <w:rPr>
                <w:rFonts w:hint="eastAsia" w:ascii="宋体" w:hAnsi="宋体" w:cs="宋体"/>
                <w:b/>
                <w:bCs/>
                <w:color w:val="000000"/>
                <w:kern w:val="0"/>
              </w:rPr>
              <w:t>单位</w:t>
            </w:r>
          </w:p>
        </w:tc>
        <w:tc>
          <w:tcPr>
            <w:tcW w:w="317" w:type="pct"/>
            <w:vAlign w:val="center"/>
          </w:tcPr>
          <w:p w14:paraId="5D388CA6">
            <w:pPr>
              <w:jc w:val="center"/>
              <w:rPr>
                <w:rFonts w:ascii="宋体" w:hAnsi="宋体" w:cs="宋体"/>
                <w:b/>
                <w:bCs/>
                <w:color w:val="000000"/>
              </w:rPr>
            </w:pPr>
            <w:r>
              <w:rPr>
                <w:rFonts w:hint="eastAsia" w:ascii="宋体" w:hAnsi="宋体" w:cs="宋体"/>
                <w:b/>
                <w:bCs/>
                <w:color w:val="000000"/>
                <w:kern w:val="0"/>
              </w:rPr>
              <w:t>数量</w:t>
            </w:r>
          </w:p>
        </w:tc>
        <w:tc>
          <w:tcPr>
            <w:tcW w:w="496" w:type="pct"/>
            <w:vAlign w:val="center"/>
          </w:tcPr>
          <w:p w14:paraId="4C6BD7FF">
            <w:pPr>
              <w:jc w:val="center"/>
              <w:rPr>
                <w:rFonts w:ascii="宋体" w:hAnsi="宋体" w:cs="宋体"/>
                <w:b/>
                <w:bCs/>
                <w:color w:val="000000"/>
                <w:kern w:val="0"/>
              </w:rPr>
            </w:pPr>
            <w:r>
              <w:rPr>
                <w:rFonts w:hint="eastAsia" w:ascii="宋体" w:hAnsi="宋体" w:cs="宋体"/>
                <w:b/>
                <w:bCs/>
                <w:color w:val="000000"/>
                <w:kern w:val="0"/>
              </w:rPr>
              <w:t>单价</w:t>
            </w:r>
          </w:p>
          <w:p w14:paraId="3B9F6E48">
            <w:pPr>
              <w:jc w:val="center"/>
              <w:rPr>
                <w:rFonts w:ascii="宋体" w:hAnsi="宋体" w:cs="宋体"/>
                <w:b/>
                <w:bCs/>
                <w:color w:val="000000"/>
                <w:kern w:val="0"/>
              </w:rPr>
            </w:pPr>
            <w:r>
              <w:rPr>
                <w:rFonts w:hint="eastAsia" w:ascii="宋体" w:hAnsi="宋体" w:cs="宋体"/>
                <w:b/>
                <w:bCs/>
                <w:color w:val="000000"/>
                <w:kern w:val="0"/>
              </w:rPr>
              <w:t>（元）</w:t>
            </w:r>
          </w:p>
        </w:tc>
        <w:tc>
          <w:tcPr>
            <w:tcW w:w="477" w:type="pct"/>
            <w:vAlign w:val="center"/>
          </w:tcPr>
          <w:p w14:paraId="7A37ACEB">
            <w:pPr>
              <w:jc w:val="center"/>
              <w:rPr>
                <w:rFonts w:ascii="宋体" w:hAnsi="宋体" w:cs="宋体"/>
                <w:b/>
                <w:bCs/>
                <w:color w:val="000000"/>
                <w:kern w:val="0"/>
              </w:rPr>
            </w:pPr>
            <w:r>
              <w:rPr>
                <w:rFonts w:hint="eastAsia" w:ascii="宋体" w:hAnsi="宋体" w:cs="宋体"/>
                <w:b/>
                <w:bCs/>
                <w:color w:val="000000"/>
                <w:kern w:val="0"/>
              </w:rPr>
              <w:t>小计</w:t>
            </w:r>
          </w:p>
          <w:p w14:paraId="5DD1B098">
            <w:pPr>
              <w:jc w:val="center"/>
              <w:rPr>
                <w:rFonts w:ascii="宋体" w:hAnsi="宋体" w:cs="宋体"/>
                <w:b/>
                <w:bCs/>
                <w:color w:val="000000"/>
                <w:kern w:val="0"/>
              </w:rPr>
            </w:pPr>
            <w:r>
              <w:rPr>
                <w:rFonts w:hint="eastAsia" w:ascii="宋体" w:hAnsi="宋体" w:cs="宋体"/>
                <w:b/>
                <w:bCs/>
                <w:color w:val="000000"/>
                <w:kern w:val="0"/>
              </w:rPr>
              <w:t>（元）</w:t>
            </w:r>
          </w:p>
        </w:tc>
      </w:tr>
      <w:tr w14:paraId="3B91B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220" w:type="pct"/>
            <w:tcMar>
              <w:top w:w="13" w:type="dxa"/>
              <w:left w:w="57" w:type="dxa"/>
              <w:bottom w:w="0" w:type="dxa"/>
              <w:right w:w="57" w:type="dxa"/>
            </w:tcMar>
            <w:vAlign w:val="center"/>
          </w:tcPr>
          <w:p w14:paraId="71D6B899">
            <w:pPr>
              <w:pStyle w:val="20"/>
              <w:widowControl/>
              <w:numPr>
                <w:ilvl w:val="0"/>
                <w:numId w:val="3"/>
              </w:numPr>
              <w:ind w:firstLineChars="0"/>
              <w:jc w:val="left"/>
              <w:rPr>
                <w:rFonts w:ascii="宋体" w:hAnsi="宋体" w:cs="宋体"/>
                <w:color w:val="000000"/>
                <w:kern w:val="0"/>
                <w:lang w:bidi="zh-CN"/>
              </w:rPr>
            </w:pPr>
          </w:p>
        </w:tc>
        <w:tc>
          <w:tcPr>
            <w:tcW w:w="825" w:type="pct"/>
            <w:tcMar>
              <w:top w:w="13" w:type="dxa"/>
              <w:left w:w="57" w:type="dxa"/>
              <w:bottom w:w="0" w:type="dxa"/>
              <w:right w:w="57" w:type="dxa"/>
            </w:tcMar>
            <w:vAlign w:val="center"/>
          </w:tcPr>
          <w:p w14:paraId="47299D3B">
            <w:pPr>
              <w:widowControl/>
              <w:jc w:val="center"/>
              <w:rPr>
                <w:rFonts w:ascii="宋体" w:hAnsi="宋体" w:cs="宋体"/>
                <w:color w:val="000000"/>
                <w:kern w:val="0"/>
                <w:lang w:bidi="zh-CN"/>
              </w:rPr>
            </w:pPr>
            <w:r>
              <w:rPr>
                <w:rFonts w:hint="eastAsia" w:ascii="宋体" w:hAnsi="宋体" w:cs="宋体"/>
                <w:color w:val="222222"/>
                <w:sz w:val="22"/>
                <w:szCs w:val="22"/>
                <w:shd w:val="clear" w:color="auto" w:fill="FFFFFF"/>
              </w:rPr>
              <w:t>互联网光纤宽带租赁服务</w:t>
            </w:r>
          </w:p>
        </w:tc>
        <w:tc>
          <w:tcPr>
            <w:tcW w:w="2344" w:type="pct"/>
            <w:noWrap/>
            <w:tcMar>
              <w:top w:w="13" w:type="dxa"/>
              <w:left w:w="0" w:type="dxa"/>
              <w:bottom w:w="0" w:type="dxa"/>
              <w:right w:w="0" w:type="dxa"/>
            </w:tcMar>
            <w:vAlign w:val="center"/>
          </w:tcPr>
          <w:p w14:paraId="14F9323D">
            <w:pPr>
              <w:widowControl/>
              <w:jc w:val="left"/>
              <w:rPr>
                <w:rFonts w:ascii="宋体" w:hAnsi="宋体" w:cs="宋体"/>
                <w:color w:val="222222"/>
                <w:sz w:val="22"/>
                <w:szCs w:val="22"/>
                <w:shd w:val="clear" w:color="auto" w:fill="FFFFFF"/>
              </w:rPr>
            </w:pPr>
            <w:r>
              <w:rPr>
                <w:rFonts w:hint="eastAsia" w:ascii="宋体" w:hAnsi="宋体" w:cs="宋体"/>
                <w:color w:val="222222"/>
                <w:sz w:val="22"/>
                <w:szCs w:val="22"/>
                <w:shd w:val="clear" w:color="auto" w:fill="FFFFFF"/>
              </w:rPr>
              <w:t>★1、提供1条带宽</w:t>
            </w:r>
            <w:r>
              <w:rPr>
                <w:rFonts w:ascii="宋体" w:hAnsi="宋体" w:cs="宋体"/>
                <w:color w:val="222222"/>
                <w:sz w:val="22"/>
                <w:szCs w:val="22"/>
                <w:shd w:val="clear" w:color="auto" w:fill="FFFFFF"/>
              </w:rPr>
              <w:t>为1000</w:t>
            </w:r>
            <w:r>
              <w:rPr>
                <w:rFonts w:hint="eastAsia" w:ascii="宋体" w:hAnsi="宋体" w:cs="宋体"/>
                <w:color w:val="222222"/>
                <w:sz w:val="22"/>
                <w:szCs w:val="22"/>
                <w:shd w:val="clear" w:color="auto" w:fill="FFFFFF"/>
              </w:rPr>
              <w:t>Mbps的互联网专线，接入方式为光纤接入，提供互联网专线的前端接入设备，互联网带宽裸机测试，上下行速率对称，且稳定在</w:t>
            </w:r>
            <w:r>
              <w:rPr>
                <w:rFonts w:ascii="宋体" w:hAnsi="宋体" w:cs="宋体"/>
                <w:color w:val="222222"/>
                <w:sz w:val="22"/>
                <w:szCs w:val="22"/>
                <w:shd w:val="clear" w:color="auto" w:fill="FFFFFF"/>
              </w:rPr>
              <w:t>1000</w:t>
            </w:r>
            <w:r>
              <w:rPr>
                <w:rFonts w:hint="eastAsia" w:ascii="宋体" w:hAnsi="宋体" w:cs="宋体"/>
                <w:color w:val="222222"/>
                <w:sz w:val="22"/>
                <w:szCs w:val="22"/>
                <w:shd w:val="clear" w:color="auto" w:fill="FFFFFF"/>
              </w:rPr>
              <w:t>Mbps；</w:t>
            </w:r>
          </w:p>
          <w:p w14:paraId="2806AC52">
            <w:pPr>
              <w:widowControl/>
              <w:wordWrap w:val="0"/>
              <w:jc w:val="left"/>
              <w:rPr>
                <w:rFonts w:ascii="宋体" w:hAnsi="宋体" w:cs="宋体"/>
                <w:color w:val="FF0000"/>
                <w:sz w:val="22"/>
                <w:szCs w:val="22"/>
                <w:shd w:val="clear" w:color="auto" w:fill="FFFFFF"/>
              </w:rPr>
            </w:pPr>
            <w:r>
              <w:rPr>
                <w:rFonts w:hint="eastAsia" w:ascii="宋体" w:hAnsi="宋体" w:cs="宋体"/>
                <w:color w:val="auto"/>
                <w:sz w:val="22"/>
                <w:szCs w:val="22"/>
                <w:shd w:val="clear" w:color="auto" w:fill="FFFFFF"/>
              </w:rPr>
              <w:t>★2、提供不少于</w:t>
            </w:r>
            <w:r>
              <w:rPr>
                <w:rFonts w:ascii="宋体" w:hAnsi="宋体" w:cs="宋体"/>
                <w:color w:val="auto"/>
                <w:sz w:val="22"/>
                <w:szCs w:val="22"/>
                <w:shd w:val="clear" w:color="auto" w:fill="FFFFFF"/>
              </w:rPr>
              <w:t>5</w:t>
            </w:r>
            <w:r>
              <w:rPr>
                <w:rFonts w:hint="eastAsia" w:ascii="宋体" w:hAnsi="宋体" w:cs="宋体"/>
                <w:color w:val="auto"/>
                <w:sz w:val="22"/>
                <w:szCs w:val="22"/>
                <w:shd w:val="clear" w:color="auto" w:fill="FFFFFF"/>
              </w:rPr>
              <w:t>个固定互联网IPv4地址，要求所提供IPv4地址范围应包含现有备案IP地址段（包含但不限于113.16.175.2-6），不对现有业务系统产生影响；</w:t>
            </w:r>
          </w:p>
          <w:p w14:paraId="166398FA">
            <w:pPr>
              <w:widowControl/>
              <w:jc w:val="left"/>
              <w:rPr>
                <w:rFonts w:ascii="宋体" w:hAnsi="宋体" w:cs="宋体"/>
                <w:color w:val="222222"/>
                <w:sz w:val="22"/>
                <w:szCs w:val="22"/>
                <w:shd w:val="clear" w:color="auto" w:fill="FFFFFF"/>
              </w:rPr>
            </w:pPr>
            <w:r>
              <w:rPr>
                <w:rFonts w:hint="eastAsia" w:ascii="宋体" w:hAnsi="宋体" w:cs="宋体"/>
                <w:color w:val="222222"/>
                <w:sz w:val="22"/>
                <w:szCs w:val="22"/>
                <w:shd w:val="clear" w:color="auto" w:fill="FFFFFF"/>
              </w:rPr>
              <w:t>3、提供1条1</w:t>
            </w:r>
            <w:r>
              <w:rPr>
                <w:rFonts w:ascii="宋体" w:hAnsi="宋体" w:cs="宋体"/>
                <w:color w:val="222222"/>
                <w:sz w:val="22"/>
                <w:szCs w:val="22"/>
                <w:shd w:val="clear" w:color="auto" w:fill="FFFFFF"/>
              </w:rPr>
              <w:t>00</w:t>
            </w:r>
            <w:r>
              <w:rPr>
                <w:rFonts w:hint="eastAsia" w:ascii="宋体" w:hAnsi="宋体" w:cs="宋体"/>
                <w:color w:val="222222"/>
                <w:sz w:val="22"/>
                <w:szCs w:val="22"/>
                <w:shd w:val="clear" w:color="auto" w:fill="FFFFFF"/>
              </w:rPr>
              <w:t>Mbps点对点电路，电路速率上、下行对称，要求保证采购人的点对点电路为专用电路，并于其他网络物理隔离，组网技术要求采用基于IPRAN的动态寻址技术，实现承载网络内自动的路由优化，汇聚层、核心层全网采用双路由的备份保护，保证整个城域网的安全、可靠、快速；</w:t>
            </w:r>
          </w:p>
          <w:p w14:paraId="6626C441">
            <w:pPr>
              <w:widowControl/>
              <w:jc w:val="left"/>
              <w:rPr>
                <w:rFonts w:ascii="宋体" w:hAnsi="宋体" w:cs="宋体"/>
                <w:color w:val="222222"/>
                <w:sz w:val="22"/>
                <w:szCs w:val="22"/>
                <w:shd w:val="clear" w:color="auto" w:fill="FFFFFF"/>
              </w:rPr>
            </w:pPr>
            <w:r>
              <w:rPr>
                <w:rFonts w:ascii="宋体" w:hAnsi="宋体" w:cs="宋体"/>
                <w:color w:val="222222"/>
                <w:sz w:val="22"/>
                <w:szCs w:val="22"/>
                <w:shd w:val="clear" w:color="auto" w:fill="FFFFFF"/>
              </w:rPr>
              <w:t>4</w:t>
            </w:r>
            <w:r>
              <w:rPr>
                <w:rFonts w:hint="eastAsia" w:ascii="宋体" w:hAnsi="宋体" w:cs="宋体"/>
                <w:color w:val="222222"/>
                <w:sz w:val="22"/>
                <w:szCs w:val="22"/>
                <w:shd w:val="clear" w:color="auto" w:fill="FFFFFF"/>
              </w:rPr>
              <w:t>、线路汇聚层和骨干层具有自愈环保护功能，具备不超过50ms保护倒换能力，保证专线不会因光缆的意外阻断或部分设备故障而中断；</w:t>
            </w:r>
          </w:p>
          <w:p w14:paraId="50EAA58F">
            <w:pPr>
              <w:widowControl/>
              <w:jc w:val="left"/>
              <w:rPr>
                <w:rFonts w:ascii="宋体" w:hAnsi="宋体" w:cs="宋体"/>
                <w:color w:val="222222"/>
                <w:sz w:val="22"/>
                <w:szCs w:val="22"/>
                <w:shd w:val="clear" w:color="auto" w:fill="FFFFFF"/>
              </w:rPr>
            </w:pPr>
            <w:r>
              <w:rPr>
                <w:rFonts w:ascii="宋体" w:hAnsi="宋体" w:cs="宋体"/>
                <w:color w:val="222222"/>
                <w:sz w:val="22"/>
                <w:szCs w:val="22"/>
                <w:shd w:val="clear" w:color="auto" w:fill="FFFFFF"/>
              </w:rPr>
              <w:t>5</w:t>
            </w:r>
            <w:r>
              <w:rPr>
                <w:rFonts w:hint="eastAsia" w:ascii="宋体" w:hAnsi="宋体" w:cs="宋体"/>
                <w:color w:val="222222"/>
                <w:sz w:val="22"/>
                <w:szCs w:val="22"/>
                <w:shd w:val="clear" w:color="auto" w:fill="FFFFFF"/>
              </w:rPr>
              <w:t>、要求全网的传输设备均具备网管能力，全程提供端到端的网管监控功能，实行7*24小时不间断监控，可有效地检测并定位网络故障；</w:t>
            </w:r>
          </w:p>
          <w:p w14:paraId="5F000572">
            <w:pPr>
              <w:widowControl/>
              <w:jc w:val="left"/>
              <w:rPr>
                <w:rFonts w:ascii="宋体" w:hAnsi="宋体" w:cs="宋体"/>
                <w:color w:val="222222"/>
                <w:sz w:val="22"/>
                <w:szCs w:val="22"/>
                <w:shd w:val="clear" w:color="auto" w:fill="FFFFFF"/>
              </w:rPr>
            </w:pPr>
            <w:r>
              <w:rPr>
                <w:rFonts w:ascii="宋体" w:hAnsi="宋体" w:cs="宋体"/>
                <w:color w:val="222222"/>
                <w:sz w:val="22"/>
                <w:szCs w:val="22"/>
                <w:shd w:val="clear" w:color="auto" w:fill="FFFFFF"/>
              </w:rPr>
              <w:t>6</w:t>
            </w:r>
            <w:r>
              <w:rPr>
                <w:rFonts w:hint="eastAsia" w:ascii="宋体" w:hAnsi="宋体" w:cs="宋体"/>
                <w:color w:val="222222"/>
                <w:sz w:val="22"/>
                <w:szCs w:val="22"/>
                <w:shd w:val="clear" w:color="auto" w:fill="FFFFFF"/>
              </w:rPr>
              <w:t>、要求提供各种主流物理光、电接口，如RJ45/LC/FC等供采购人使用，并提供相应跳线，如是光纤接口类型，提供相对应的光模块。</w:t>
            </w:r>
          </w:p>
        </w:tc>
        <w:tc>
          <w:tcPr>
            <w:tcW w:w="317" w:type="pct"/>
            <w:vAlign w:val="center"/>
          </w:tcPr>
          <w:p w14:paraId="65A244EF">
            <w:pPr>
              <w:widowControl/>
              <w:jc w:val="center"/>
              <w:rPr>
                <w:rFonts w:ascii="宋体" w:hAnsi="宋体" w:cs="宋体"/>
                <w:color w:val="000000"/>
                <w:kern w:val="0"/>
                <w:lang w:bidi="zh-CN"/>
              </w:rPr>
            </w:pPr>
            <w:r>
              <w:rPr>
                <w:rFonts w:hint="eastAsia" w:ascii="宋体" w:hAnsi="宋体" w:cs="宋体"/>
                <w:color w:val="000000"/>
                <w:kern w:val="0"/>
                <w:lang w:bidi="zh-CN"/>
              </w:rPr>
              <w:t>项</w:t>
            </w:r>
          </w:p>
        </w:tc>
        <w:tc>
          <w:tcPr>
            <w:tcW w:w="317" w:type="pct"/>
            <w:vAlign w:val="center"/>
          </w:tcPr>
          <w:p w14:paraId="48942166">
            <w:pPr>
              <w:widowControl/>
              <w:jc w:val="center"/>
              <w:rPr>
                <w:rFonts w:ascii="宋体" w:hAnsi="宋体" w:cs="宋体"/>
                <w:color w:val="000000"/>
                <w:kern w:val="0"/>
                <w:lang w:bidi="zh-CN"/>
              </w:rPr>
            </w:pPr>
            <w:r>
              <w:rPr>
                <w:rFonts w:hint="eastAsia" w:ascii="宋体" w:hAnsi="宋体" w:cs="宋体"/>
                <w:color w:val="000000"/>
                <w:kern w:val="0"/>
                <w:lang w:bidi="zh-CN"/>
              </w:rPr>
              <w:t>1</w:t>
            </w:r>
          </w:p>
        </w:tc>
        <w:tc>
          <w:tcPr>
            <w:tcW w:w="496" w:type="pct"/>
            <w:vAlign w:val="center"/>
          </w:tcPr>
          <w:p w14:paraId="16114B2F">
            <w:pPr>
              <w:widowControl/>
              <w:jc w:val="center"/>
              <w:rPr>
                <w:rFonts w:ascii="宋体" w:hAnsi="宋体" w:cs="宋体"/>
                <w:color w:val="000000"/>
                <w:kern w:val="0"/>
                <w:lang w:bidi="zh-CN"/>
              </w:rPr>
            </w:pPr>
            <w:r>
              <w:rPr>
                <w:rFonts w:hint="eastAsia" w:ascii="宋体" w:hAnsi="宋体" w:cs="宋体"/>
                <w:color w:val="000000"/>
                <w:kern w:val="0"/>
                <w:lang w:bidi="zh-CN"/>
              </w:rPr>
              <w:t>205200</w:t>
            </w:r>
          </w:p>
        </w:tc>
        <w:tc>
          <w:tcPr>
            <w:tcW w:w="477" w:type="pct"/>
            <w:vAlign w:val="center"/>
          </w:tcPr>
          <w:p w14:paraId="5BB685A8">
            <w:pPr>
              <w:widowControl/>
              <w:jc w:val="center"/>
              <w:rPr>
                <w:rFonts w:ascii="宋体" w:hAnsi="宋体" w:cs="宋体"/>
                <w:color w:val="000000"/>
                <w:kern w:val="0"/>
                <w:lang w:bidi="zh-CN"/>
              </w:rPr>
            </w:pPr>
            <w:r>
              <w:rPr>
                <w:rFonts w:hint="eastAsia" w:ascii="宋体" w:hAnsi="宋体" w:cs="宋体"/>
                <w:color w:val="000000"/>
                <w:kern w:val="0"/>
                <w:lang w:bidi="zh-CN"/>
              </w:rPr>
              <w:t>205200</w:t>
            </w:r>
          </w:p>
        </w:tc>
      </w:tr>
      <w:tr w14:paraId="4184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3390" w:type="pct"/>
            <w:gridSpan w:val="3"/>
            <w:tcMar>
              <w:top w:w="13" w:type="dxa"/>
              <w:left w:w="57" w:type="dxa"/>
              <w:bottom w:w="0" w:type="dxa"/>
              <w:right w:w="57" w:type="dxa"/>
            </w:tcMar>
            <w:vAlign w:val="center"/>
          </w:tcPr>
          <w:p w14:paraId="0216A777">
            <w:pPr>
              <w:widowControl/>
              <w:jc w:val="center"/>
              <w:rPr>
                <w:rFonts w:ascii="宋体" w:hAnsi="宋体" w:cs="宋体"/>
                <w:b/>
                <w:color w:val="000000"/>
                <w:kern w:val="0"/>
                <w:lang w:bidi="zh-CN"/>
              </w:rPr>
            </w:pPr>
            <w:r>
              <w:rPr>
                <w:rFonts w:hint="eastAsia" w:ascii="宋体" w:hAnsi="宋体" w:cs="宋体"/>
                <w:b/>
                <w:color w:val="000000"/>
                <w:kern w:val="0"/>
                <w:lang w:bidi="zh-CN"/>
              </w:rPr>
              <w:t>合计金额：（大写）人民币</w:t>
            </w:r>
            <w:r>
              <w:rPr>
                <w:rFonts w:hint="eastAsia" w:ascii="宋体" w:hAnsi="宋体" w:cs="宋体"/>
                <w:b/>
                <w:color w:val="000000"/>
                <w:kern w:val="0"/>
                <w:u w:val="single"/>
                <w:lang w:bidi="zh-CN"/>
              </w:rPr>
              <w:t>贰</w:t>
            </w:r>
            <w:r>
              <w:rPr>
                <w:rFonts w:ascii="宋体" w:hAnsi="宋体" w:cs="宋体"/>
                <w:b/>
                <w:color w:val="000000"/>
                <w:kern w:val="0"/>
                <w:u w:val="single"/>
                <w:lang w:bidi="zh-CN"/>
              </w:rPr>
              <w:t>拾万</w:t>
            </w:r>
            <w:r>
              <w:rPr>
                <w:rFonts w:hint="eastAsia" w:ascii="宋体" w:hAnsi="宋体" w:cs="宋体"/>
                <w:b/>
                <w:color w:val="000000"/>
                <w:kern w:val="0"/>
                <w:u w:val="single"/>
                <w:lang w:bidi="zh-CN"/>
              </w:rPr>
              <w:t>零伍仟贰佰</w:t>
            </w:r>
            <w:r>
              <w:rPr>
                <w:rFonts w:hint="eastAsia" w:ascii="宋体" w:hAnsi="宋体" w:cs="宋体"/>
                <w:b/>
                <w:color w:val="000000"/>
                <w:kern w:val="0"/>
                <w:lang w:bidi="zh-CN"/>
              </w:rPr>
              <w:t>元整</w:t>
            </w:r>
          </w:p>
        </w:tc>
        <w:tc>
          <w:tcPr>
            <w:tcW w:w="1609" w:type="pct"/>
            <w:gridSpan w:val="4"/>
            <w:vAlign w:val="center"/>
          </w:tcPr>
          <w:p w14:paraId="69C9A404">
            <w:pPr>
              <w:widowControl/>
              <w:jc w:val="left"/>
              <w:rPr>
                <w:rFonts w:ascii="宋体" w:hAnsi="宋体" w:cs="宋体"/>
                <w:b/>
                <w:color w:val="000000"/>
                <w:kern w:val="0"/>
                <w:lang w:bidi="zh-CN"/>
              </w:rPr>
            </w:pPr>
            <w:r>
              <w:rPr>
                <w:rFonts w:hint="eastAsia" w:ascii="宋体" w:hAnsi="宋体" w:cs="宋体"/>
                <w:b/>
                <w:color w:val="000000"/>
                <w:kern w:val="0"/>
                <w:lang w:bidi="zh-CN"/>
              </w:rPr>
              <w:t>（小写）¥</w:t>
            </w:r>
            <w:r>
              <w:rPr>
                <w:rFonts w:hint="eastAsia" w:ascii="宋体" w:hAnsi="宋体" w:cs="宋体"/>
                <w:b/>
                <w:color w:val="000000"/>
                <w:kern w:val="0"/>
                <w:u w:val="single"/>
                <w:lang w:bidi="zh-CN"/>
              </w:rPr>
              <w:t>2052</w:t>
            </w:r>
            <w:r>
              <w:rPr>
                <w:rFonts w:ascii="宋体" w:hAnsi="宋体" w:cs="宋体"/>
                <w:b/>
                <w:color w:val="000000"/>
                <w:kern w:val="0"/>
                <w:u w:val="single"/>
                <w:lang w:bidi="zh-CN"/>
              </w:rPr>
              <w:t>00</w:t>
            </w:r>
          </w:p>
        </w:tc>
      </w:tr>
    </w:tbl>
    <w:p w14:paraId="02811A69"/>
    <w:p w14:paraId="00DB836E">
      <w:pPr>
        <w:pStyle w:val="3"/>
        <w:jc w:val="center"/>
        <w:rPr>
          <w:sz w:val="40"/>
          <w:szCs w:val="40"/>
        </w:rPr>
      </w:pPr>
      <w:r>
        <w:rPr>
          <w:rFonts w:hint="eastAsia" w:ascii="宋体" w:hAnsi="宋体" w:cs="宋体"/>
          <w:b/>
          <w:bCs/>
          <w:color w:val="000000"/>
          <w:sz w:val="40"/>
          <w:szCs w:val="40"/>
        </w:rPr>
        <w:t>商务要求</w:t>
      </w:r>
    </w:p>
    <w:tbl>
      <w:tblPr>
        <w:tblStyle w:val="10"/>
        <w:tblW w:w="5143" w:type="pct"/>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61"/>
      </w:tblGrid>
      <w:tr w14:paraId="5BDB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6" w:hRule="atLeast"/>
        </w:trPr>
        <w:tc>
          <w:tcPr>
            <w:tcW w:w="5000" w:type="pct"/>
            <w:tcMar>
              <w:top w:w="13" w:type="dxa"/>
              <w:left w:w="57" w:type="dxa"/>
              <w:bottom w:w="0" w:type="dxa"/>
              <w:right w:w="57" w:type="dxa"/>
            </w:tcMar>
            <w:vAlign w:val="center"/>
          </w:tcPr>
          <w:p w14:paraId="1E4A0C4B">
            <w:pPr>
              <w:spacing w:line="360" w:lineRule="auto"/>
              <w:rPr>
                <w:rFonts w:ascii="宋体" w:hAnsi="宋体" w:cs="仿宋_GB2312"/>
              </w:rPr>
            </w:pPr>
            <w:r>
              <w:rPr>
                <w:rFonts w:hint="eastAsia" w:ascii="宋体" w:hAnsi="宋体" w:cs="仿宋_GB2312"/>
              </w:rPr>
              <w:t>一.合同签订期：自成交通知书发出之日起</w:t>
            </w:r>
            <w:r>
              <w:rPr>
                <w:rFonts w:hint="eastAsia" w:ascii="宋体" w:hAnsi="宋体" w:cs="仿宋_GB2312"/>
                <w:lang w:val="en-US" w:eastAsia="zh-CN"/>
              </w:rPr>
              <w:t>14</w:t>
            </w:r>
            <w:bookmarkStart w:id="2" w:name="_GoBack"/>
            <w:bookmarkEnd w:id="2"/>
            <w:r>
              <w:rPr>
                <w:rFonts w:hint="eastAsia" w:ascii="宋体" w:hAnsi="宋体" w:cs="仿宋_GB2312"/>
              </w:rPr>
              <w:t>个工作日内；</w:t>
            </w:r>
          </w:p>
          <w:p w14:paraId="19C657BD">
            <w:pPr>
              <w:spacing w:line="360" w:lineRule="auto"/>
              <w:rPr>
                <w:rFonts w:ascii="宋体" w:hAnsi="宋体" w:cs="仿宋_GB2312"/>
              </w:rPr>
            </w:pPr>
            <w:r>
              <w:rPr>
                <w:rFonts w:hint="eastAsia" w:ascii="宋体" w:hAnsi="宋体" w:cs="仿宋_GB2312"/>
              </w:rPr>
              <w:t>★二.提交服务成果时间：合同签订之日起</w:t>
            </w:r>
            <w:r>
              <w:rPr>
                <w:rFonts w:ascii="宋体" w:hAnsi="宋体" w:cs="仿宋_GB2312"/>
              </w:rPr>
              <w:t>1</w:t>
            </w:r>
            <w:r>
              <w:rPr>
                <w:rFonts w:hint="eastAsia" w:ascii="宋体" w:hAnsi="宋体" w:cs="仿宋_GB2312"/>
              </w:rPr>
              <w:t>5个日历日内交付使用；</w:t>
            </w:r>
          </w:p>
          <w:p w14:paraId="6920B3DE">
            <w:pPr>
              <w:spacing w:line="360" w:lineRule="auto"/>
              <w:rPr>
                <w:rFonts w:ascii="宋体" w:hAnsi="宋体" w:cs="仿宋_GB2312"/>
                <w:color w:val="auto"/>
              </w:rPr>
            </w:pPr>
            <w:r>
              <w:rPr>
                <w:rFonts w:hint="eastAsia" w:ascii="宋体" w:hAnsi="宋体" w:cs="仿宋_GB2312"/>
              </w:rPr>
              <w:t>三.提交服务地点</w:t>
            </w:r>
            <w:r>
              <w:rPr>
                <w:rFonts w:hint="eastAsia" w:ascii="宋体" w:hAnsi="宋体" w:cs="仿宋_GB2312"/>
                <w:color w:val="auto"/>
              </w:rPr>
              <w:t>：</w:t>
            </w:r>
            <w:r>
              <w:rPr>
                <w:rFonts w:hint="eastAsia" w:ascii="宋体" w:hAnsi="宋体" w:cs="宋体"/>
                <w:color w:val="auto"/>
              </w:rPr>
              <w:t>广西交通运输学校</w:t>
            </w:r>
            <w:r>
              <w:rPr>
                <w:rFonts w:hint="eastAsia" w:ascii="宋体" w:hAnsi="宋体" w:cs="仿宋_GB2312"/>
                <w:color w:val="auto"/>
              </w:rPr>
              <w:t>；</w:t>
            </w:r>
          </w:p>
          <w:p w14:paraId="26A12D0F">
            <w:pPr>
              <w:spacing w:line="360" w:lineRule="auto"/>
              <w:rPr>
                <w:rFonts w:ascii="宋体" w:hAnsi="宋体" w:cs="仿宋_GB2312"/>
              </w:rPr>
            </w:pPr>
            <w:r>
              <w:rPr>
                <w:rFonts w:hint="eastAsia" w:ascii="宋体" w:hAnsi="宋体" w:cs="仿宋_GB2312"/>
              </w:rPr>
              <w:t>★四.服务期：自</w:t>
            </w:r>
            <w:r>
              <w:rPr>
                <w:rFonts w:hint="eastAsia" w:cs="微软雅黑"/>
              </w:rPr>
              <w:t>合同签订之日起</w:t>
            </w:r>
            <w:r>
              <w:rPr>
                <w:rFonts w:hint="eastAsia" w:ascii="宋体" w:hAnsi="宋体" w:cs="仿宋_GB2312"/>
              </w:rPr>
              <w:t>1年；</w:t>
            </w:r>
          </w:p>
          <w:p w14:paraId="104A5106">
            <w:pPr>
              <w:spacing w:line="360" w:lineRule="auto"/>
              <w:rPr>
                <w:rFonts w:ascii="宋体" w:hAnsi="宋体" w:cs="仿宋_GB2312"/>
              </w:rPr>
            </w:pPr>
            <w:r>
              <w:rPr>
                <w:rFonts w:hint="eastAsia" w:ascii="宋体" w:hAnsi="宋体" w:cs="仿宋_GB2312"/>
              </w:rPr>
              <w:t>五．售后服务要求：</w:t>
            </w:r>
          </w:p>
          <w:p w14:paraId="0E130BFB">
            <w:pPr>
              <w:spacing w:line="360" w:lineRule="auto"/>
              <w:rPr>
                <w:rFonts w:ascii="宋体" w:hAnsi="宋体" w:cs="仿宋_GB2312"/>
              </w:rPr>
            </w:pPr>
            <w:r>
              <w:rPr>
                <w:rFonts w:hint="eastAsia" w:ascii="宋体" w:hAnsi="宋体" w:cs="仿宋_GB2312"/>
              </w:rPr>
              <w:t>★1.质量保证期：1年；</w:t>
            </w:r>
          </w:p>
          <w:p w14:paraId="0BBF4386">
            <w:pPr>
              <w:spacing w:line="360" w:lineRule="auto"/>
              <w:rPr>
                <w:rFonts w:ascii="宋体" w:hAnsi="宋体" w:cs="仿宋_GB2312"/>
              </w:rPr>
            </w:pPr>
            <w:r>
              <w:rPr>
                <w:rFonts w:hint="eastAsia" w:ascii="宋体" w:hAnsi="宋体" w:cs="仿宋_GB2312"/>
              </w:rPr>
              <w:t>2.免费送货上门，免费安装调试；</w:t>
            </w:r>
          </w:p>
          <w:p w14:paraId="438E2D04">
            <w:pPr>
              <w:spacing w:line="360" w:lineRule="auto"/>
              <w:rPr>
                <w:rFonts w:ascii="宋体" w:hAnsi="宋体" w:cs="仿宋_GB2312"/>
              </w:rPr>
            </w:pPr>
            <w:r>
              <w:rPr>
                <w:rFonts w:hint="eastAsia" w:ascii="宋体" w:hAnsi="宋体" w:cs="仿宋_GB2312"/>
              </w:rPr>
              <w:t>3.质保期内成交人必须免费提供维修服务：必须提供电话支持服务，保修期内设备出现故障，要求60分钟内做出响应，2个小时内赶往现场，8小时内解决问题（自然灾害等不可抗拒原因除外）；</w:t>
            </w:r>
          </w:p>
          <w:p w14:paraId="4061DB47">
            <w:pPr>
              <w:spacing w:line="360" w:lineRule="auto"/>
              <w:rPr>
                <w:rFonts w:ascii="宋体" w:hAnsi="宋体" w:cs="仿宋_GB2312"/>
              </w:rPr>
            </w:pPr>
            <w:r>
              <w:rPr>
                <w:rFonts w:hint="eastAsia" w:ascii="宋体" w:hAnsi="宋体" w:cs="仿宋_GB2312"/>
              </w:rPr>
              <w:t>4.在租用期内，成交人应严格遵守《中华人民共和国电信条例》，维护双方权益，按工信部颁布的《电信服务标准》的电路质量要求，保证采购人租用系统畅通及安全使用。为保证采购人网络的连续稳定运行；</w:t>
            </w:r>
          </w:p>
          <w:p w14:paraId="0526110F">
            <w:pPr>
              <w:spacing w:line="360" w:lineRule="auto"/>
              <w:rPr>
                <w:rFonts w:ascii="宋体" w:hAnsi="宋体" w:cs="仿宋_GB2312"/>
              </w:rPr>
            </w:pPr>
            <w:r>
              <w:rPr>
                <w:rFonts w:hint="eastAsia" w:ascii="宋体" w:hAnsi="宋体" w:cs="仿宋_GB2312"/>
              </w:rPr>
              <w:t>5.因成交人施工、网络割接等原因影响宽带网络运行的，应当提前一天通知采购人，并且尽快消除故障、恢复通信线路；</w:t>
            </w:r>
          </w:p>
          <w:p w14:paraId="20690CE5">
            <w:pPr>
              <w:spacing w:line="360" w:lineRule="auto"/>
              <w:rPr>
                <w:rFonts w:ascii="宋体" w:hAnsi="宋体" w:cs="仿宋_GB2312"/>
              </w:rPr>
            </w:pPr>
            <w:r>
              <w:rPr>
                <w:rFonts w:hint="eastAsia" w:ascii="宋体" w:hAnsi="宋体" w:cs="仿宋_GB2312"/>
              </w:rPr>
              <w:t>6.当用户网络需要扩展或升级时，负责免费提供相应解决方案；</w:t>
            </w:r>
          </w:p>
          <w:p w14:paraId="7920799D">
            <w:pPr>
              <w:spacing w:line="360" w:lineRule="auto"/>
              <w:rPr>
                <w:rFonts w:ascii="宋体" w:hAnsi="宋体" w:cs="仿宋_GB2312"/>
              </w:rPr>
            </w:pPr>
            <w:r>
              <w:rPr>
                <w:rFonts w:hint="eastAsia" w:ascii="宋体" w:hAnsi="宋体" w:cs="仿宋_GB2312"/>
              </w:rPr>
              <w:t>六、其他要求:</w:t>
            </w:r>
          </w:p>
          <w:p w14:paraId="6DE686BA">
            <w:pPr>
              <w:spacing w:line="360" w:lineRule="auto"/>
              <w:rPr>
                <w:rFonts w:ascii="宋体" w:hAnsi="宋体" w:cs="仿宋_GB2312"/>
                <w:color w:val="auto"/>
              </w:rPr>
            </w:pPr>
            <w:r>
              <w:rPr>
                <w:rFonts w:hint="eastAsia" w:ascii="宋体" w:hAnsi="宋体" w:cs="仿宋_GB2312"/>
                <w:color w:val="auto"/>
              </w:rPr>
              <w:t>★1、付款方式：合同签订后10个工作日内，预付2025年9-12月网络服务费；2026年1月预付2026年1-7月网络服务费；服务期结束并通过验收后，10个工作日内支付2026年8月的网络服务费。</w:t>
            </w:r>
          </w:p>
          <w:p w14:paraId="0B0976F2">
            <w:pPr>
              <w:spacing w:line="360" w:lineRule="auto"/>
              <w:rPr>
                <w:rFonts w:ascii="宋体" w:hAnsi="宋体" w:cs="仿宋_GB2312"/>
                <w:color w:val="auto"/>
              </w:rPr>
            </w:pPr>
            <w:r>
              <w:rPr>
                <w:rFonts w:hint="eastAsia" w:ascii="宋体" w:hAnsi="宋体" w:cs="仿宋_GB2312"/>
                <w:b/>
                <w:bCs/>
                <w:color w:val="000000" w:themeColor="text1"/>
                <w14:textFill>
                  <w14:solidFill>
                    <w14:schemeClr w14:val="tx1"/>
                  </w14:solidFill>
                </w14:textFill>
              </w:rPr>
              <w:t>★</w:t>
            </w:r>
            <w:r>
              <w:rPr>
                <w:rFonts w:hint="eastAsia" w:ascii="宋体" w:hAnsi="宋体" w:cs="仿宋_GB2312"/>
              </w:rPr>
              <w:t>2、</w:t>
            </w:r>
            <w:r>
              <w:rPr>
                <w:rFonts w:hint="eastAsia" w:ascii="宋体" w:hAnsi="宋体" w:cs="宋体"/>
                <w:color w:val="auto"/>
              </w:rPr>
              <w:t>项目实施和售后服务质量保障措施：</w:t>
            </w:r>
            <w:r>
              <w:rPr>
                <w:rFonts w:hint="eastAsia" w:ascii="宋体" w:hAnsi="宋体" w:cs="宋体"/>
                <w:color w:val="auto"/>
              </w:rPr>
              <w:br w:type="textWrapping"/>
            </w:r>
            <w:r>
              <w:rPr>
                <w:rFonts w:hint="eastAsia" w:ascii="宋体" w:hAnsi="宋体" w:cs="宋体"/>
                <w:color w:val="auto"/>
              </w:rPr>
              <w:t>(1)为保障项目实施和售后服务质量需要，供应商成为预成交供应商后需提供相应人员证书扫描件并加盖公章（</w:t>
            </w:r>
            <w:r>
              <w:rPr>
                <w:rFonts w:hint="eastAsia" w:ascii="宋体" w:hAnsi="宋体"/>
                <w:b/>
                <w:color w:val="auto"/>
              </w:rPr>
              <w:t>提供投标截止时间前近半年连续三个月投标人为其缴纳社保复印件）</w:t>
            </w:r>
            <w:r>
              <w:rPr>
                <w:rFonts w:hint="eastAsia" w:ascii="宋体" w:hAnsi="宋体" w:cs="宋体"/>
                <w:color w:val="auto"/>
              </w:rPr>
              <w:t>；</w:t>
            </w:r>
            <w:r>
              <w:rPr>
                <w:rFonts w:hint="eastAsia" w:ascii="宋体" w:hAnsi="宋体" w:cs="宋体"/>
                <w:color w:val="auto"/>
              </w:rPr>
              <w:br w:type="textWrapping"/>
            </w:r>
            <w:r>
              <w:rPr>
                <w:rFonts w:hint="eastAsia" w:ascii="宋体" w:hAnsi="宋体" w:cs="宋体"/>
                <w:color w:val="auto"/>
              </w:rPr>
              <w:t>供应商需投入本项目一名技术负责人（不能与售后负责人为同一人）同时具备信息与通信工程副高级及以上工程师证书、信息系统项目管理师高级证书、通信专业技术人员职业资格（互联网技术）证书、网络安全能力认证（CCSC）网络安全技术1级及以上证书；</w:t>
            </w:r>
            <w:r>
              <w:rPr>
                <w:rFonts w:hint="eastAsia" w:ascii="宋体" w:hAnsi="宋体" w:cs="宋体"/>
                <w:color w:val="auto"/>
              </w:rPr>
              <w:br w:type="textWrapping"/>
            </w:r>
            <w:r>
              <w:rPr>
                <w:rFonts w:hint="eastAsia" w:ascii="宋体" w:hAnsi="宋体" w:cs="宋体"/>
                <w:color w:val="auto"/>
              </w:rPr>
              <w:t>(2)供应商需投入本项目一名售后负责人（不能技术负责人为同一人）同时具备光电信息工程副高级及以上工程师证书、通信工程质量监督工程师证书、光通信机务员三级/高级技能证书；</w:t>
            </w:r>
          </w:p>
          <w:p w14:paraId="6EB84F3B">
            <w:pPr>
              <w:spacing w:line="360" w:lineRule="auto"/>
              <w:rPr>
                <w:rFonts w:ascii="宋体" w:hAnsi="宋体" w:cs="宋体"/>
                <w:color w:val="auto"/>
              </w:rPr>
            </w:pPr>
            <w:r>
              <w:rPr>
                <w:rFonts w:hint="eastAsia" w:ascii="宋体" w:hAnsi="宋体" w:cs="仿宋_GB2312"/>
                <w:b/>
                <w:bCs/>
                <w:color w:val="auto"/>
              </w:rPr>
              <w:t>★</w:t>
            </w:r>
            <w:r>
              <w:rPr>
                <w:rFonts w:hint="eastAsia" w:ascii="宋体" w:hAnsi="宋体" w:cs="宋体"/>
                <w:color w:val="auto"/>
              </w:rPr>
              <w:t>3.对合同条款的调整：由于成交人原因，未能按本合同规定的内容、时间及相关要求向采购人交付服务成果的，成交人承担违约责任，支付违约金。超过合同规定交付时间，采购人有权报采购监督管理部门解除合同；</w:t>
            </w:r>
          </w:p>
          <w:p w14:paraId="585DF8C4">
            <w:pPr>
              <w:spacing w:line="360" w:lineRule="auto"/>
              <w:rPr>
                <w:rFonts w:ascii="宋体" w:hAnsi="宋体" w:cs="宋体"/>
                <w:color w:val="auto"/>
              </w:rPr>
            </w:pPr>
            <w:r>
              <w:rPr>
                <w:rFonts w:hint="eastAsia" w:ascii="宋体" w:hAnsi="宋体" w:cs="宋体"/>
                <w:color w:val="auto"/>
              </w:rPr>
              <w:t>4、★提供营业执照扫描件。</w:t>
            </w:r>
          </w:p>
          <w:p w14:paraId="70DF34D9">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5、符合国家规定的项目技术质量标准和现行技术规范、规程要求及本项目采购需求</w:t>
            </w:r>
          </w:p>
          <w:p w14:paraId="248168FD">
            <w:pPr>
              <w:spacing w:line="360" w:lineRule="auto"/>
              <w:ind w:firstLine="422" w:firstLineChars="200"/>
              <w:rPr>
                <w:rFonts w:ascii="宋体" w:hAnsi="宋体" w:cs="仿宋_GB2312"/>
                <w:b/>
                <w:bCs/>
              </w:rPr>
            </w:pPr>
            <w:r>
              <w:rPr>
                <w:rFonts w:hint="eastAsia" w:ascii="宋体" w:hAnsi="宋体" w:cs="仿宋_GB2312"/>
                <w:b/>
                <w:bCs/>
              </w:rPr>
              <w:t>以上标注“★”号条款必须满足，对不能满足参数要求虚假响应，或者无法正常交货影响使用的，采购单位将作为废标处理，并上报上级监管机构追究中标供应商虚假应标责任。</w:t>
            </w:r>
          </w:p>
        </w:tc>
      </w:tr>
    </w:tbl>
    <w:p w14:paraId="24B9289C">
      <w:pPr>
        <w:rPr>
          <w:rFonts w:ascii="宋体" w:hAnsi="宋体" w:cs="宋体"/>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370C7F-83F8-4314-83B2-E948C4EA26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方正小标宋简体">
    <w:panose1 w:val="02000000000000000000"/>
    <w:charset w:val="86"/>
    <w:family w:val="auto"/>
    <w:pitch w:val="default"/>
    <w:sig w:usb0="00000001" w:usb1="08000000" w:usb2="00000000" w:usb3="00000000" w:csb0="00040000" w:csb1="00000000"/>
    <w:embedRegular r:id="rId2" w:fontKey="{EF614523-4608-43B0-8CD4-36C9955B49DC}"/>
  </w:font>
  <w:font w:name="仿宋_GB2312">
    <w:panose1 w:val="02010609030101010101"/>
    <w:charset w:val="86"/>
    <w:family w:val="modern"/>
    <w:pitch w:val="default"/>
    <w:sig w:usb0="00000001" w:usb1="080E0000" w:usb2="00000000" w:usb3="00000000" w:csb0="00040000" w:csb1="00000000"/>
    <w:embedRegular r:id="rId3" w:fontKey="{D34B5FFD-6397-472C-8334-EAB3C5370004}"/>
  </w:font>
  <w:font w:name="微软雅黑">
    <w:panose1 w:val="020B0503020204020204"/>
    <w:charset w:val="86"/>
    <w:family w:val="swiss"/>
    <w:pitch w:val="default"/>
    <w:sig w:usb0="80000287" w:usb1="2ACF3C50" w:usb2="00000016" w:usb3="00000000" w:csb0="0004001F" w:csb1="00000000"/>
    <w:embedRegular r:id="rId4" w:fontKey="{DB44953D-D2BF-453B-8920-D0B566DF597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09B7D">
    <w:pPr>
      <w:pStyle w:val="7"/>
      <w:jc w:val="center"/>
    </w:pPr>
    <w:r>
      <w:fldChar w:fldCharType="begin"/>
    </w:r>
    <w:r>
      <w:instrText xml:space="preserve">PAGE   \* MERGEFORMAT</w:instrText>
    </w:r>
    <w:r>
      <w:fldChar w:fldCharType="separate"/>
    </w:r>
    <w:r>
      <w:rPr>
        <w:lang w:val="zh-CN"/>
      </w:rPr>
      <w:t>2</w:t>
    </w:r>
    <w:r>
      <w:fldChar w:fldCharType="end"/>
    </w:r>
  </w:p>
  <w:p w14:paraId="16436C54">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7209D2"/>
    <w:multiLevelType w:val="singleLevel"/>
    <w:tmpl w:val="F57209D2"/>
    <w:lvl w:ilvl="0" w:tentative="0">
      <w:start w:val="6"/>
      <w:numFmt w:val="chineseCounting"/>
      <w:suff w:val="nothing"/>
      <w:lvlText w:val="（%1）"/>
      <w:lvlJc w:val="left"/>
      <w:rPr>
        <w:rFonts w:hint="eastAsia"/>
      </w:rPr>
    </w:lvl>
  </w:abstractNum>
  <w:abstractNum w:abstractNumId="1">
    <w:nsid w:val="32E50364"/>
    <w:multiLevelType w:val="singleLevel"/>
    <w:tmpl w:val="32E50364"/>
    <w:lvl w:ilvl="0" w:tentative="0">
      <w:start w:val="1"/>
      <w:numFmt w:val="chineseCounting"/>
      <w:suff w:val="nothing"/>
      <w:lvlText w:val="%1、"/>
      <w:lvlJc w:val="left"/>
      <w:rPr>
        <w:rFonts w:hint="eastAsia" w:ascii="黑体" w:hAnsi="黑体" w:eastAsia="黑体" w:cs="黑体"/>
      </w:rPr>
    </w:lvl>
  </w:abstractNum>
  <w:abstractNum w:abstractNumId="2">
    <w:nsid w:val="4D056FF7"/>
    <w:multiLevelType w:val="multilevel"/>
    <w:tmpl w:val="4D056FF7"/>
    <w:lvl w:ilvl="0" w:tentative="0">
      <w:start w:val="1"/>
      <w:numFmt w:val="decimal"/>
      <w:lvlText w:val="%1."/>
      <w:lvlJc w:val="left"/>
      <w:pPr>
        <w:ind w:left="420" w:hanging="420"/>
      </w:pPr>
      <w:rPr>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OTVlZjM1ZDhlODFiN2E3NGY5NzI5MzVhYTI5YmMifQ=="/>
  </w:docVars>
  <w:rsids>
    <w:rsidRoot w:val="00E075EE"/>
    <w:rsid w:val="000215FE"/>
    <w:rsid w:val="00025C6E"/>
    <w:rsid w:val="000263C5"/>
    <w:rsid w:val="0005645A"/>
    <w:rsid w:val="00056D9C"/>
    <w:rsid w:val="000667E5"/>
    <w:rsid w:val="00075A4A"/>
    <w:rsid w:val="00090AE5"/>
    <w:rsid w:val="000B1128"/>
    <w:rsid w:val="000B342E"/>
    <w:rsid w:val="000B4ECF"/>
    <w:rsid w:val="000B6DA8"/>
    <w:rsid w:val="000C4642"/>
    <w:rsid w:val="000C5C10"/>
    <w:rsid w:val="000F1F60"/>
    <w:rsid w:val="000F5278"/>
    <w:rsid w:val="00102B18"/>
    <w:rsid w:val="00120438"/>
    <w:rsid w:val="00124885"/>
    <w:rsid w:val="00132C77"/>
    <w:rsid w:val="00144C10"/>
    <w:rsid w:val="00162088"/>
    <w:rsid w:val="001726D1"/>
    <w:rsid w:val="001A62CA"/>
    <w:rsid w:val="001E5B6F"/>
    <w:rsid w:val="001E7339"/>
    <w:rsid w:val="001E7CAE"/>
    <w:rsid w:val="001F0A07"/>
    <w:rsid w:val="00230D02"/>
    <w:rsid w:val="00242C51"/>
    <w:rsid w:val="0024784D"/>
    <w:rsid w:val="00262A2B"/>
    <w:rsid w:val="00266FB0"/>
    <w:rsid w:val="00270534"/>
    <w:rsid w:val="00273873"/>
    <w:rsid w:val="002841E4"/>
    <w:rsid w:val="00287120"/>
    <w:rsid w:val="002A28D0"/>
    <w:rsid w:val="002B6954"/>
    <w:rsid w:val="002C46D5"/>
    <w:rsid w:val="002D4388"/>
    <w:rsid w:val="002D5D2A"/>
    <w:rsid w:val="002D609D"/>
    <w:rsid w:val="002E5225"/>
    <w:rsid w:val="002E7E17"/>
    <w:rsid w:val="002F752F"/>
    <w:rsid w:val="003228C9"/>
    <w:rsid w:val="00326A84"/>
    <w:rsid w:val="00331B20"/>
    <w:rsid w:val="0033678A"/>
    <w:rsid w:val="00391D3C"/>
    <w:rsid w:val="00393D29"/>
    <w:rsid w:val="00394D34"/>
    <w:rsid w:val="003A2E2F"/>
    <w:rsid w:val="003A7CD7"/>
    <w:rsid w:val="003B0640"/>
    <w:rsid w:val="003D0854"/>
    <w:rsid w:val="003D39F8"/>
    <w:rsid w:val="003F0960"/>
    <w:rsid w:val="003F0DE7"/>
    <w:rsid w:val="003F1E80"/>
    <w:rsid w:val="004054B7"/>
    <w:rsid w:val="00415CE1"/>
    <w:rsid w:val="004366A8"/>
    <w:rsid w:val="004464FB"/>
    <w:rsid w:val="004524D9"/>
    <w:rsid w:val="00485EE8"/>
    <w:rsid w:val="004A30F4"/>
    <w:rsid w:val="004A3608"/>
    <w:rsid w:val="004A5393"/>
    <w:rsid w:val="004B3D67"/>
    <w:rsid w:val="005305C5"/>
    <w:rsid w:val="00542D17"/>
    <w:rsid w:val="0056534C"/>
    <w:rsid w:val="00585794"/>
    <w:rsid w:val="00590B84"/>
    <w:rsid w:val="00594202"/>
    <w:rsid w:val="005A1EFD"/>
    <w:rsid w:val="005B6ABA"/>
    <w:rsid w:val="005C5046"/>
    <w:rsid w:val="005D29B7"/>
    <w:rsid w:val="005D6A7B"/>
    <w:rsid w:val="005E248E"/>
    <w:rsid w:val="005E3E92"/>
    <w:rsid w:val="006023D6"/>
    <w:rsid w:val="00602D2F"/>
    <w:rsid w:val="00615002"/>
    <w:rsid w:val="0061678A"/>
    <w:rsid w:val="00621716"/>
    <w:rsid w:val="006315DF"/>
    <w:rsid w:val="00661BE7"/>
    <w:rsid w:val="00666C0F"/>
    <w:rsid w:val="0067357E"/>
    <w:rsid w:val="006822A0"/>
    <w:rsid w:val="0068477B"/>
    <w:rsid w:val="006A3047"/>
    <w:rsid w:val="006A46FA"/>
    <w:rsid w:val="006B5498"/>
    <w:rsid w:val="006C4F65"/>
    <w:rsid w:val="006E1FDC"/>
    <w:rsid w:val="00704F4C"/>
    <w:rsid w:val="00736A32"/>
    <w:rsid w:val="00760B39"/>
    <w:rsid w:val="0077439D"/>
    <w:rsid w:val="0078079E"/>
    <w:rsid w:val="00792631"/>
    <w:rsid w:val="00794DC7"/>
    <w:rsid w:val="007A1333"/>
    <w:rsid w:val="007A4019"/>
    <w:rsid w:val="007B01EC"/>
    <w:rsid w:val="007C0814"/>
    <w:rsid w:val="007C29CF"/>
    <w:rsid w:val="007D7039"/>
    <w:rsid w:val="007E615A"/>
    <w:rsid w:val="007F7D96"/>
    <w:rsid w:val="008261AE"/>
    <w:rsid w:val="008413DD"/>
    <w:rsid w:val="00843406"/>
    <w:rsid w:val="00850577"/>
    <w:rsid w:val="008665D0"/>
    <w:rsid w:val="008703E5"/>
    <w:rsid w:val="00877402"/>
    <w:rsid w:val="0088077D"/>
    <w:rsid w:val="00883B45"/>
    <w:rsid w:val="00884141"/>
    <w:rsid w:val="00885B0E"/>
    <w:rsid w:val="00896AE0"/>
    <w:rsid w:val="00896EE2"/>
    <w:rsid w:val="008B1B5F"/>
    <w:rsid w:val="008B21FE"/>
    <w:rsid w:val="008B6102"/>
    <w:rsid w:val="008B7018"/>
    <w:rsid w:val="008C6619"/>
    <w:rsid w:val="008D42D8"/>
    <w:rsid w:val="0091523F"/>
    <w:rsid w:val="00915A5E"/>
    <w:rsid w:val="009243A6"/>
    <w:rsid w:val="00960EBC"/>
    <w:rsid w:val="009620DC"/>
    <w:rsid w:val="009949CB"/>
    <w:rsid w:val="009A083B"/>
    <w:rsid w:val="009A119D"/>
    <w:rsid w:val="009B11B0"/>
    <w:rsid w:val="009B2DA1"/>
    <w:rsid w:val="009B52FE"/>
    <w:rsid w:val="009D5EA4"/>
    <w:rsid w:val="00A019E7"/>
    <w:rsid w:val="00A15138"/>
    <w:rsid w:val="00A352D5"/>
    <w:rsid w:val="00A376A5"/>
    <w:rsid w:val="00A4414A"/>
    <w:rsid w:val="00A6106A"/>
    <w:rsid w:val="00A936A2"/>
    <w:rsid w:val="00AA38C5"/>
    <w:rsid w:val="00AD76B4"/>
    <w:rsid w:val="00AE13D1"/>
    <w:rsid w:val="00AF5C48"/>
    <w:rsid w:val="00B409C4"/>
    <w:rsid w:val="00B464B3"/>
    <w:rsid w:val="00B549A3"/>
    <w:rsid w:val="00B840A0"/>
    <w:rsid w:val="00BB37F7"/>
    <w:rsid w:val="00BD5F78"/>
    <w:rsid w:val="00BF288D"/>
    <w:rsid w:val="00C0093A"/>
    <w:rsid w:val="00C10CF2"/>
    <w:rsid w:val="00C1377D"/>
    <w:rsid w:val="00C30B6F"/>
    <w:rsid w:val="00C3696E"/>
    <w:rsid w:val="00C66D18"/>
    <w:rsid w:val="00C73EF3"/>
    <w:rsid w:val="00C76070"/>
    <w:rsid w:val="00D132F8"/>
    <w:rsid w:val="00D3021D"/>
    <w:rsid w:val="00D315F6"/>
    <w:rsid w:val="00D40FB8"/>
    <w:rsid w:val="00D44C57"/>
    <w:rsid w:val="00D44F2F"/>
    <w:rsid w:val="00D46092"/>
    <w:rsid w:val="00D55975"/>
    <w:rsid w:val="00D600BE"/>
    <w:rsid w:val="00D61A1A"/>
    <w:rsid w:val="00D7403D"/>
    <w:rsid w:val="00D92F96"/>
    <w:rsid w:val="00D93011"/>
    <w:rsid w:val="00DD11BE"/>
    <w:rsid w:val="00DD5234"/>
    <w:rsid w:val="00DE1035"/>
    <w:rsid w:val="00DE29A4"/>
    <w:rsid w:val="00DF3E5E"/>
    <w:rsid w:val="00E0678C"/>
    <w:rsid w:val="00E075EE"/>
    <w:rsid w:val="00E1085B"/>
    <w:rsid w:val="00E22E08"/>
    <w:rsid w:val="00E333B4"/>
    <w:rsid w:val="00E5114D"/>
    <w:rsid w:val="00E727DF"/>
    <w:rsid w:val="00E8097D"/>
    <w:rsid w:val="00E80E5E"/>
    <w:rsid w:val="00E821A4"/>
    <w:rsid w:val="00E933EB"/>
    <w:rsid w:val="00E935F2"/>
    <w:rsid w:val="00E9552E"/>
    <w:rsid w:val="00E96AD3"/>
    <w:rsid w:val="00ED2B2D"/>
    <w:rsid w:val="00ED2FFC"/>
    <w:rsid w:val="00ED48AB"/>
    <w:rsid w:val="00EE1A14"/>
    <w:rsid w:val="00EE1BD8"/>
    <w:rsid w:val="00F04AC1"/>
    <w:rsid w:val="00F07697"/>
    <w:rsid w:val="00F10C44"/>
    <w:rsid w:val="00F338B0"/>
    <w:rsid w:val="00F35B09"/>
    <w:rsid w:val="00F54320"/>
    <w:rsid w:val="00F6097F"/>
    <w:rsid w:val="00F670C2"/>
    <w:rsid w:val="00F80292"/>
    <w:rsid w:val="00F87167"/>
    <w:rsid w:val="00F92D5C"/>
    <w:rsid w:val="00FB093E"/>
    <w:rsid w:val="00FB13F9"/>
    <w:rsid w:val="00FB534D"/>
    <w:rsid w:val="00FF5244"/>
    <w:rsid w:val="1B5257EF"/>
    <w:rsid w:val="277976C4"/>
    <w:rsid w:val="38431D54"/>
    <w:rsid w:val="3B6B0250"/>
    <w:rsid w:val="3DCC459A"/>
    <w:rsid w:val="42BF46CD"/>
    <w:rsid w:val="49203BEB"/>
    <w:rsid w:val="4B8951F8"/>
    <w:rsid w:val="4D493511"/>
    <w:rsid w:val="4ED96B17"/>
    <w:rsid w:val="5992251B"/>
    <w:rsid w:val="5B410DB6"/>
    <w:rsid w:val="5D0D0867"/>
    <w:rsid w:val="5FB30EAD"/>
    <w:rsid w:val="65F30C29"/>
    <w:rsid w:val="693667C6"/>
    <w:rsid w:val="6E2039C3"/>
    <w:rsid w:val="7FBF7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6" w:lineRule="auto"/>
      <w:outlineLvl w:val="0"/>
    </w:pPr>
    <w:rPr>
      <w:b/>
      <w:bCs/>
      <w:kern w:val="44"/>
      <w:sz w:val="44"/>
      <w:szCs w:val="44"/>
    </w:rPr>
  </w:style>
  <w:style w:type="paragraph" w:styleId="2">
    <w:name w:val="heading 4"/>
    <w:basedOn w:val="1"/>
    <w:next w:val="1"/>
    <w:qFormat/>
    <w:uiPriority w:val="0"/>
    <w:pPr>
      <w:keepNext/>
      <w:keepLines/>
      <w:widowControl/>
      <w:spacing w:before="120" w:after="120" w:line="360" w:lineRule="auto"/>
      <w:jc w:val="center"/>
      <w:outlineLvl w:val="3"/>
    </w:pPr>
    <w:rPr>
      <w:rFonts w:ascii="Arial" w:hAnsi="Arial" w:eastAsia="黑体" w:cs="Times New Roman"/>
      <w:kern w:val="0"/>
      <w:sz w:val="28"/>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Body Text"/>
    <w:basedOn w:val="1"/>
    <w:qFormat/>
    <w:uiPriority w:val="99"/>
    <w:pPr>
      <w:ind w:firstLine="560" w:firstLineChars="200"/>
    </w:pPr>
    <w:rPr>
      <w:rFonts w:cs="仿宋"/>
      <w:szCs w:val="28"/>
    </w:rPr>
  </w:style>
  <w:style w:type="paragraph" w:styleId="6">
    <w:name w:val="Plain Text"/>
    <w:basedOn w:val="1"/>
    <w:qFormat/>
    <w:uiPriority w:val="0"/>
    <w:rPr>
      <w:szCs w:val="20"/>
    </w:rPr>
  </w:style>
  <w:style w:type="paragraph" w:styleId="7">
    <w:name w:val="footer"/>
    <w:basedOn w:val="1"/>
    <w:link w:val="22"/>
    <w:qFormat/>
    <w:uiPriority w:val="99"/>
    <w:pPr>
      <w:tabs>
        <w:tab w:val="center" w:pos="4153"/>
        <w:tab w:val="right" w:pos="8306"/>
      </w:tabs>
      <w:snapToGrid w:val="0"/>
      <w:jc w:val="left"/>
    </w:pPr>
    <w:rPr>
      <w:sz w:val="18"/>
      <w:szCs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character" w:styleId="12">
    <w:name w:val="Strong"/>
    <w:basedOn w:val="11"/>
    <w:qFormat/>
    <w:uiPriority w:val="0"/>
    <w:rPr>
      <w:b/>
      <w:bCs/>
    </w:rPr>
  </w:style>
  <w:style w:type="character" w:styleId="13">
    <w:name w:val="FollowedHyperlink"/>
    <w:basedOn w:val="11"/>
    <w:qFormat/>
    <w:uiPriority w:val="0"/>
    <w:rPr>
      <w:color w:val="007BFF"/>
      <w:u w:val="none"/>
    </w:rPr>
  </w:style>
  <w:style w:type="character" w:styleId="14">
    <w:name w:val="HTML Definition"/>
    <w:basedOn w:val="11"/>
    <w:qFormat/>
    <w:uiPriority w:val="0"/>
    <w:rPr>
      <w:i/>
      <w:iCs/>
    </w:rPr>
  </w:style>
  <w:style w:type="character" w:styleId="15">
    <w:name w:val="Hyperlink"/>
    <w:basedOn w:val="11"/>
    <w:qFormat/>
    <w:uiPriority w:val="0"/>
    <w:rPr>
      <w:color w:val="007BFF"/>
      <w:u w:val="none"/>
    </w:rPr>
  </w:style>
  <w:style w:type="character" w:styleId="16">
    <w:name w:val="HTML Code"/>
    <w:basedOn w:val="11"/>
    <w:qFormat/>
    <w:uiPriority w:val="0"/>
    <w:rPr>
      <w:rFonts w:ascii="Consolas" w:hAnsi="Consolas" w:eastAsia="Consolas" w:cs="Consolas"/>
      <w:color w:val="E83E8C"/>
      <w:sz w:val="21"/>
      <w:szCs w:val="21"/>
    </w:rPr>
  </w:style>
  <w:style w:type="character" w:styleId="17">
    <w:name w:val="HTML Keyboard"/>
    <w:basedOn w:val="11"/>
    <w:qFormat/>
    <w:uiPriority w:val="0"/>
    <w:rPr>
      <w:rFonts w:hint="default" w:ascii="Consolas" w:hAnsi="Consolas" w:eastAsia="Consolas" w:cs="Consolas"/>
      <w:color w:val="FFFFFF"/>
      <w:sz w:val="21"/>
      <w:szCs w:val="21"/>
      <w:shd w:val="clear" w:color="auto" w:fill="212529"/>
    </w:rPr>
  </w:style>
  <w:style w:type="character" w:styleId="18">
    <w:name w:val="HTML Sample"/>
    <w:basedOn w:val="11"/>
    <w:qFormat/>
    <w:uiPriority w:val="0"/>
    <w:rPr>
      <w:rFonts w:hint="default" w:ascii="Consolas" w:hAnsi="Consolas" w:eastAsia="Consolas" w:cs="Consolas"/>
      <w:sz w:val="21"/>
      <w:szCs w:val="21"/>
    </w:rPr>
  </w:style>
  <w:style w:type="paragraph" w:customStyle="1" w:styleId="19">
    <w:name w:val="1-1章"/>
    <w:basedOn w:val="1"/>
    <w:qFormat/>
    <w:uiPriority w:val="0"/>
    <w:pPr>
      <w:spacing w:line="480" w:lineRule="exact"/>
      <w:jc w:val="center"/>
      <w:outlineLvl w:val="0"/>
    </w:pPr>
    <w:rPr>
      <w:rFonts w:ascii="黑体" w:hAnsi="黑体" w:eastAsia="黑体"/>
      <w:b/>
      <w:bCs/>
      <w:sz w:val="36"/>
      <w:szCs w:val="36"/>
    </w:rPr>
  </w:style>
  <w:style w:type="paragraph" w:styleId="20">
    <w:name w:val="List Paragraph"/>
    <w:basedOn w:val="1"/>
    <w:qFormat/>
    <w:uiPriority w:val="0"/>
    <w:pPr>
      <w:ind w:firstLine="420" w:firstLineChars="200"/>
    </w:pPr>
  </w:style>
  <w:style w:type="character" w:customStyle="1" w:styleId="21">
    <w:name w:val="页眉 字符"/>
    <w:basedOn w:val="11"/>
    <w:link w:val="8"/>
    <w:qFormat/>
    <w:uiPriority w:val="0"/>
    <w:rPr>
      <w:rFonts w:ascii="Times New Roman" w:hAnsi="Times New Roman" w:eastAsia="宋体" w:cs="Times New Roman"/>
      <w:kern w:val="2"/>
      <w:sz w:val="18"/>
      <w:szCs w:val="18"/>
    </w:rPr>
  </w:style>
  <w:style w:type="character" w:customStyle="1" w:styleId="22">
    <w:name w:val="页脚 字符"/>
    <w:basedOn w:val="11"/>
    <w:link w:val="7"/>
    <w:qFormat/>
    <w:uiPriority w:val="99"/>
    <w:rPr>
      <w:rFonts w:ascii="Times New Roman" w:hAnsi="Times New Roman" w:eastAsia="宋体" w:cs="Times New Roman"/>
      <w:kern w:val="2"/>
      <w:sz w:val="18"/>
      <w:szCs w:val="18"/>
    </w:rPr>
  </w:style>
  <w:style w:type="character" w:customStyle="1" w:styleId="23">
    <w:name w:val="hover11"/>
    <w:basedOn w:val="11"/>
    <w:qFormat/>
    <w:uiPriority w:val="0"/>
  </w:style>
  <w:style w:type="character" w:customStyle="1" w:styleId="24">
    <w:name w:val="hover"/>
    <w:basedOn w:val="11"/>
    <w:qFormat/>
    <w:uiPriority w:val="0"/>
  </w:style>
  <w:style w:type="paragraph" w:customStyle="1" w:styleId="25">
    <w:name w:val="_Style 21"/>
    <w:basedOn w:val="1"/>
    <w:qFormat/>
    <w:uiPriority w:val="0"/>
    <w:pPr>
      <w:pBdr>
        <w:bottom w:val="single" w:color="auto" w:sz="6" w:space="1"/>
      </w:pBdr>
      <w:jc w:val="center"/>
    </w:pPr>
    <w:rPr>
      <w:rFonts w:ascii="Arial"/>
      <w:vanish/>
      <w:sz w:val="16"/>
    </w:rPr>
  </w:style>
  <w:style w:type="paragraph" w:customStyle="1" w:styleId="26">
    <w:name w:val="_Style 22"/>
    <w:basedOn w:val="1"/>
    <w:qFormat/>
    <w:uiPriority w:val="0"/>
    <w:pPr>
      <w:pBdr>
        <w:top w:val="single" w:color="auto" w:sz="6" w:space="1"/>
      </w:pBdr>
      <w:jc w:val="center"/>
    </w:pPr>
    <w:rPr>
      <w:rFonts w:ascii="Arial"/>
      <w:vanish/>
      <w:sz w:val="16"/>
    </w:rPr>
  </w:style>
  <w:style w:type="character" w:customStyle="1" w:styleId="27">
    <w:name w:val="font2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61A0C-6A5B-4189-8517-DBD438B2BD8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2686</Words>
  <Characters>2843</Characters>
  <Lines>12</Lines>
  <Paragraphs>3</Paragraphs>
  <TotalTime>38</TotalTime>
  <ScaleCrop>false</ScaleCrop>
  <LinksUpToDate>false</LinksUpToDate>
  <CharactersWithSpaces>2844</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2023-03-14T03:12:00Z</dcterms:created>
  <dc:creator>可可麻麻</dc:creator>
  <cp:lastModifiedBy>WPS_1726329545</cp:lastModifiedBy>
  <dcterms:modified xsi:type="dcterms:W3CDTF">2025-06-17T02:38:18Z</dcterms:modified>
  <cp:revision>253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9792FE29BE2C4977817946443330BCB1_13</vt:lpwstr>
  </property>
  <property fmtid="{D5CDD505-2E9C-101B-9397-08002B2CF9AE}" pid="4" name="KSOTemplateDocerSaveRecord">
    <vt:lpwstr>eyJoZGlkIjoiNTU0ZmIwYTQ3NzlmZGUxZmU3Zjk0M2IyZTNmM2IxNjAiLCJ1c2VySWQiOiIzOTA3OTc5ODgifQ==</vt:lpwstr>
  </property>
</Properties>
</file>