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物业政采要求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一、请严格按照《上林公路养护中心物业管理服务合同》及《物业服务月度考核评分表》要求进行计划竞标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，保证服务人数及质量要求达标。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二、外地（非上林县）公司竞标前请务必安排专人到甲方所在地，并征求甲方办公室、安国科等部门同意后开展实地调研，充分了解情况后进行竞标。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ODQ5NGI2NGNiNjlmMGRlMjI5ZDQ2NGNiODdjYTUifQ=="/>
  </w:docVars>
  <w:rsids>
    <w:rsidRoot w:val="30623D9A"/>
    <w:rsid w:val="30623D9A"/>
    <w:rsid w:val="4CB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113</Characters>
  <Lines>0</Lines>
  <Paragraphs>0</Paragraphs>
  <TotalTime>14</TotalTime>
  <ScaleCrop>false</ScaleCrop>
  <LinksUpToDate>false</LinksUpToDate>
  <CharactersWithSpaces>113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2024-06-25T00:31:00Z</dcterms:created>
  <dc:creator>猪才怪</dc:creator>
  <cp:lastModifiedBy>猪才怪</cp:lastModifiedBy>
  <dcterms:modified xsi:type="dcterms:W3CDTF">2024-06-25T00:57:47Z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C81FC77BD47B465198CC9911D07D8975_11</vt:lpwstr>
  </property>
</Properties>
</file>