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1F2C">
      <w:pPr>
        <w:spacing w:line="360" w:lineRule="auto"/>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玉林市玉州区育苗小学</w:t>
      </w:r>
    </w:p>
    <w:p w14:paraId="66A61B7F">
      <w:pPr>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物业管理服务需求</w:t>
      </w:r>
      <w:bookmarkStart w:id="1" w:name="_GoBack"/>
      <w:bookmarkEnd w:id="1"/>
    </w:p>
    <w:p w14:paraId="1D9B78C0">
      <w:pPr>
        <w:spacing w:line="360" w:lineRule="auto"/>
        <w:jc w:val="center"/>
        <w:rPr>
          <w:rFonts w:hint="eastAsia" w:ascii="宋体" w:hAnsi="宋体" w:eastAsia="宋体" w:cs="宋体"/>
          <w:b/>
          <w:bCs/>
          <w:color w:val="auto"/>
          <w:sz w:val="18"/>
          <w:szCs w:val="18"/>
        </w:rPr>
      </w:pPr>
    </w:p>
    <w:p w14:paraId="0723AADA">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66B242BD">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环境卫生服务内容及要求</w:t>
      </w:r>
    </w:p>
    <w:p w14:paraId="61E6CC59">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服务内容</w:t>
      </w:r>
    </w:p>
    <w:p w14:paraId="2AA05F1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（1）负责校区内所有道路路面、绿化带等公共区域卫生保洁；</w:t>
      </w:r>
    </w:p>
    <w:p w14:paraId="6E6B5A9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（2）负责教学楼</w:t>
      </w:r>
      <w:r>
        <w:rPr>
          <w:rFonts w:hint="eastAsia" w:ascii="宋体" w:hAnsi="宋体" w:eastAsia="宋体" w:cs="宋体"/>
          <w:color w:val="auto"/>
          <w:sz w:val="24"/>
          <w:szCs w:val="24"/>
          <w:lang w:eastAsia="zh-CN"/>
        </w:rPr>
        <w:t>、办公楼</w:t>
      </w:r>
      <w:r>
        <w:rPr>
          <w:rFonts w:hint="eastAsia" w:ascii="宋体" w:hAnsi="宋体" w:eastAsia="宋体" w:cs="宋体"/>
          <w:color w:val="auto"/>
          <w:sz w:val="24"/>
          <w:szCs w:val="24"/>
        </w:rPr>
        <w:t>公共区域卫生（包括公共厕所、走道、楼梯扶手等，下同）及楼道绿植养护；</w:t>
      </w:r>
    </w:p>
    <w:p w14:paraId="4A5642D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（3）负责管道、沉沙井、水池、清理疏通等。</w:t>
      </w:r>
    </w:p>
    <w:p w14:paraId="3F749AB4">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负责化粪池清理。</w:t>
      </w:r>
    </w:p>
    <w:p w14:paraId="003F7CA5">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服务要求</w:t>
      </w:r>
    </w:p>
    <w:p w14:paraId="14015BE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（1）道路、外围、大厅，公共场所、体育场、绿化地每日清扫2次。</w:t>
      </w:r>
    </w:p>
    <w:p w14:paraId="721CEAF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（2）教学楼、办公楼公共通道、走廊、楼梯每日清扫2次。</w:t>
      </w:r>
    </w:p>
    <w:p w14:paraId="180FF65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（3）各公用卫生间每日清洁2次以上.</w:t>
      </w:r>
    </w:p>
    <w:p w14:paraId="48C07CD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（4）垃圾每日收集2次。</w:t>
      </w:r>
    </w:p>
    <w:p w14:paraId="61F3D1A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（5）校区内管道、沉沙井、水池、清理疏通每月1次。</w:t>
      </w:r>
    </w:p>
    <w:p w14:paraId="01195CA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（6）化粪池每年清理不少于1次。</w:t>
      </w:r>
    </w:p>
    <w:p w14:paraId="5DB35AE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配合业主单位完成保洁临时性任务。</w:t>
      </w:r>
    </w:p>
    <w:p w14:paraId="2EA66355">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服务标准：</w:t>
      </w:r>
    </w:p>
    <w:p w14:paraId="319C73E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教学楼、办公楼楼道天花无污迹、积尘、蛛网、霉迹；防器材、电箱、交换器：无污迹、积尘、蛛网、霉迹；地板干净：无明显污渍、积水、烟头、杂物；墙面、门窗：无污迹、积尘杂物，墙面无乱画、张贴；楼梯、走廊：畅通，无堆积物、乱画。</w:t>
      </w:r>
    </w:p>
    <w:p w14:paraId="7BEF8F9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）道路清扫要达到“七无”：①无泥沙；②无果皮纸屑；③无杂草；④无烟头；⑤无污迹无；⑥无生活垃圾堆放；⑦无砖块等建筑垃圾堆放。</w:t>
      </w:r>
    </w:p>
    <w:p w14:paraId="36AED6C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4B342E8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（4）卫生间保持清洁、干净，洗手盆上无杂物、无纸屑、无积水；及时清理脚印、水渍；镜子每日全面擦拭清洁；大小便池内外无淡洉；墙面、水管、隔断、门坎、窗台无灰尘，厕所内无异味。</w:t>
      </w:r>
    </w:p>
    <w:p w14:paraId="47911FB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（5）校区内管道、沉沙井、水池、清理疏通及时，化粪池无外溢无堵塞现象现象。</w:t>
      </w:r>
    </w:p>
    <w:p w14:paraId="780007DF">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绿化养护服务内容、服务要求和服务标准</w:t>
      </w:r>
    </w:p>
    <w:p w14:paraId="3720D757">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500EECE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（1）负责服务范围内各种花卉植物的修剪、养护、浇灌、施肥、松土、防涝、防冻工作。定期喷洒药物，预防病虫害。</w:t>
      </w:r>
    </w:p>
    <w:p w14:paraId="7E6A695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（2）做好草坪树木修剪，保持无杂草、枯枝、补种等。</w:t>
      </w:r>
    </w:p>
    <w:p w14:paraId="0C0EBBA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（3）负责管理区域内的盘花培育及摆放、更换等工作。</w:t>
      </w:r>
    </w:p>
    <w:p w14:paraId="56F38AF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（4）配合校方完成绿化临时性工作任务。</w:t>
      </w:r>
    </w:p>
    <w:p w14:paraId="0BA74233">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p w14:paraId="7ED9A39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（1）每天全面清扫绿化带、绿篱色块及沟内的落叶、垃圾等杂物一次，巡回保洁一次，拾捡垃圾等。</w:t>
      </w:r>
    </w:p>
    <w:p w14:paraId="4AC7287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（2）每年3-5月份和11-12月份全面给绿地各施肥一次。其他季节根据绿植生长情况追肥。绿植葱绿，茂盛生长。</w:t>
      </w:r>
    </w:p>
    <w:p w14:paraId="5863FAAA">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（3）乔木、灌木、草坪、绿地被根据植物长势、造型需求等进行适时修剪。</w:t>
      </w:r>
    </w:p>
    <w:p w14:paraId="2F6BDA8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（4）据不同植物特性、土壤的干湿度，做到适时、适量，不遗漏，每次浇水要浇足浇透，不得浪费水。</w:t>
      </w:r>
    </w:p>
    <w:p w14:paraId="18A313F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以预防为主，定期做绿植好喷药防治工作。一般在病虫害发生季节4-10月份，每月对易感植物喷药不少于2次。在开放性的绿地中喷药时，及时公告并选择学校休息日人流较少的时段进行。同时采取必要的防护措施，避免危及他人。</w:t>
      </w:r>
    </w:p>
    <w:p w14:paraId="54E72267">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p w14:paraId="1E77E50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（1）绿地无破坏、践踏，花草树木长势良好，无病虫害，无杂草，无枯死。及配合业主方更换各类荫生植物，保持地面无枯枝、枯叶、无绿化废弃物。</w:t>
      </w:r>
    </w:p>
    <w:p w14:paraId="662BE47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（2）草坪常绿、不枯黄，草坪高度不超过10公分。</w:t>
      </w:r>
    </w:p>
    <w:p w14:paraId="537A94D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（3）绿化存活率达到90%以上，绿地更新及时率达到98%。</w:t>
      </w:r>
    </w:p>
    <w:p w14:paraId="65908BB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（4）虫害的树木不超过2%，食叶性害虫为害率小于5%，刺吸性害虫为害率小于10%，蛀干性害虫为害率小于3%。</w:t>
      </w:r>
    </w:p>
    <w:p w14:paraId="735DD2B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（5）残枝断叶控制率达到98%。</w:t>
      </w:r>
    </w:p>
    <w:p w14:paraId="284617B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（6）定期组织浇灌、施肥和松土，做好防涝、防冻工作。</w:t>
      </w:r>
    </w:p>
    <w:p w14:paraId="2E8973F1">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（7）绿化建筑小品无损坏</w:t>
      </w:r>
      <w:r>
        <w:rPr>
          <w:rFonts w:hint="eastAsia" w:ascii="宋体" w:hAnsi="宋体" w:eastAsia="宋体" w:cs="宋体"/>
          <w:color w:val="auto"/>
          <w:sz w:val="24"/>
          <w:szCs w:val="24"/>
          <w:lang w:eastAsia="zh-CN"/>
        </w:rPr>
        <w:t>。</w:t>
      </w:r>
    </w:p>
    <w:p w14:paraId="6D96A60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（8）保持绿地土壤疏松、无积水，合理、有效施肥，以增强土壤肥力，改善土壤理化性状。</w:t>
      </w:r>
    </w:p>
    <w:p w14:paraId="6C1BB101">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校园维修</w:t>
      </w:r>
      <w:r>
        <w:rPr>
          <w:rFonts w:hint="eastAsia" w:ascii="宋体" w:hAnsi="宋体" w:eastAsia="宋体" w:cs="宋体"/>
          <w:color w:val="auto"/>
          <w:sz w:val="24"/>
          <w:szCs w:val="24"/>
        </w:rPr>
        <w:t>服务内容、服务要求和服务标准</w:t>
      </w:r>
    </w:p>
    <w:p w14:paraId="290D5FD2">
      <w:pPr>
        <w:pStyle w:val="4"/>
        <w:numPr>
          <w:ilvl w:val="2"/>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35FEAE07">
      <w:pPr>
        <w:pStyle w:val="4"/>
        <w:numPr>
          <w:ilvl w:val="2"/>
          <w:numId w:val="0"/>
        </w:numPr>
        <w:spacing w:line="360" w:lineRule="auto"/>
        <w:ind w:firstLine="472" w:firstLineChars="200"/>
        <w:rPr>
          <w:rFonts w:hint="eastAsia" w:ascii="宋体" w:hAnsi="宋体" w:eastAsia="宋体" w:cs="宋体"/>
          <w:color w:val="auto"/>
          <w:sz w:val="24"/>
          <w:szCs w:val="24"/>
          <w:lang w:eastAsia="zh-CN"/>
        </w:rPr>
      </w:pPr>
      <w:r>
        <w:rPr>
          <w:rFonts w:hint="eastAsia" w:ascii="宋体" w:hAnsi="宋体" w:eastAsia="宋体" w:cs="宋体"/>
          <w:b w:val="0"/>
          <w:bCs/>
          <w:spacing w:val="-2"/>
          <w:sz w:val="24"/>
          <w:szCs w:val="24"/>
        </w:rPr>
        <w:t>负责校园内</w:t>
      </w:r>
      <w:r>
        <w:rPr>
          <w:rFonts w:hint="eastAsia" w:ascii="宋体" w:hAnsi="宋体" w:eastAsia="宋体" w:cs="宋体"/>
          <w:b w:val="0"/>
          <w:bCs/>
          <w:spacing w:val="-2"/>
          <w:sz w:val="24"/>
          <w:szCs w:val="24"/>
          <w:lang w:eastAsia="zh-CN"/>
        </w:rPr>
        <w:t>水电系统、</w:t>
      </w:r>
      <w:r>
        <w:rPr>
          <w:rFonts w:hint="eastAsia" w:ascii="宋体" w:hAnsi="宋体" w:eastAsia="宋体" w:cs="宋体"/>
          <w:b w:val="0"/>
          <w:bCs/>
          <w:spacing w:val="-2"/>
          <w:sz w:val="24"/>
          <w:szCs w:val="24"/>
        </w:rPr>
        <w:t>教室设备、安防监控系统、网络系统、饮水设备</w:t>
      </w:r>
      <w:r>
        <w:rPr>
          <w:rFonts w:hint="eastAsia" w:ascii="宋体" w:hAnsi="宋体" w:eastAsia="宋体" w:cs="宋体"/>
          <w:b w:val="0"/>
          <w:bCs/>
          <w:spacing w:val="-2"/>
          <w:sz w:val="24"/>
          <w:szCs w:val="24"/>
          <w:lang w:eastAsia="zh-CN"/>
        </w:rPr>
        <w:t>、</w:t>
      </w:r>
      <w:r>
        <w:rPr>
          <w:rFonts w:hint="eastAsia" w:ascii="宋体" w:hAnsi="宋体" w:eastAsia="宋体" w:cs="宋体"/>
          <w:b w:val="0"/>
          <w:bCs/>
          <w:spacing w:val="-2"/>
          <w:sz w:val="24"/>
          <w:szCs w:val="24"/>
        </w:rPr>
        <w:t>办公电器设备的</w:t>
      </w:r>
      <w:r>
        <w:rPr>
          <w:rFonts w:hint="eastAsia" w:ascii="宋体" w:hAnsi="宋体" w:eastAsia="宋体" w:cs="宋体"/>
          <w:b w:val="0"/>
          <w:bCs/>
          <w:sz w:val="24"/>
          <w:szCs w:val="24"/>
        </w:rPr>
        <w:t>管理与维护</w:t>
      </w:r>
      <w:r>
        <w:rPr>
          <w:rFonts w:hint="eastAsia" w:ascii="宋体" w:hAnsi="宋体" w:eastAsia="宋体" w:cs="宋体"/>
          <w:b w:val="0"/>
          <w:bCs/>
          <w:sz w:val="24"/>
          <w:szCs w:val="24"/>
          <w:lang w:eastAsia="zh-CN"/>
        </w:rPr>
        <w:t>，主要分为：</w:t>
      </w:r>
    </w:p>
    <w:p w14:paraId="5ED2309E">
      <w:pPr>
        <w:numPr>
          <w:ilvl w:val="0"/>
          <w:numId w:val="4"/>
        </w:numPr>
        <w:spacing w:line="360" w:lineRule="auto"/>
        <w:ind w:firstLine="540"/>
        <w:rPr>
          <w:rFonts w:hint="eastAsia" w:ascii="宋体" w:hAnsi="宋体" w:eastAsia="宋体" w:cs="宋体"/>
          <w:color w:val="auto"/>
          <w:sz w:val="24"/>
          <w:szCs w:val="24"/>
        </w:rPr>
      </w:pPr>
      <w:r>
        <w:rPr>
          <w:rFonts w:hint="eastAsia" w:ascii="宋体" w:hAnsi="宋体" w:eastAsia="宋体" w:cs="宋体"/>
          <w:spacing w:val="1"/>
          <w:sz w:val="24"/>
          <w:szCs w:val="24"/>
        </w:rPr>
        <w:t>照明及动力等电力系统：包括配电房的电力系统。校园内外</w:t>
      </w:r>
      <w:r>
        <w:rPr>
          <w:rFonts w:hint="eastAsia" w:ascii="宋体" w:hAnsi="宋体" w:eastAsia="宋体" w:cs="宋体"/>
          <w:spacing w:val="-6"/>
          <w:sz w:val="24"/>
          <w:szCs w:val="24"/>
        </w:rPr>
        <w:t>照明、开关插座、所有配电房，母线排及各线路的一般性保养、检查、维修和更换工作</w:t>
      </w:r>
      <w:r>
        <w:rPr>
          <w:rFonts w:hint="eastAsia" w:ascii="宋体" w:hAnsi="宋体" w:eastAsia="宋体" w:cs="宋体"/>
          <w:color w:val="auto"/>
          <w:sz w:val="24"/>
          <w:szCs w:val="24"/>
        </w:rPr>
        <w:t>。</w:t>
      </w:r>
    </w:p>
    <w:p w14:paraId="3E2F898F">
      <w:pPr>
        <w:numPr>
          <w:ilvl w:val="0"/>
          <w:numId w:val="4"/>
        </w:numPr>
        <w:spacing w:line="360" w:lineRule="auto"/>
        <w:ind w:left="0" w:leftChars="0" w:firstLine="540" w:firstLineChars="0"/>
        <w:rPr>
          <w:rFonts w:hint="eastAsia" w:ascii="宋体" w:hAnsi="宋体" w:eastAsia="宋体" w:cs="宋体"/>
          <w:color w:val="auto"/>
          <w:sz w:val="24"/>
          <w:szCs w:val="24"/>
        </w:rPr>
      </w:pPr>
      <w:r>
        <w:rPr>
          <w:rFonts w:hint="eastAsia" w:ascii="宋体" w:hAnsi="宋体" w:eastAsia="宋体" w:cs="宋体"/>
          <w:spacing w:val="1"/>
          <w:sz w:val="24"/>
          <w:szCs w:val="24"/>
        </w:rPr>
        <w:t>给排水系统（大修除外</w:t>
      </w:r>
      <w:r>
        <w:rPr>
          <w:rFonts w:hint="eastAsia" w:ascii="宋体" w:hAnsi="宋体" w:eastAsia="宋体" w:cs="宋体"/>
          <w:spacing w:val="13"/>
          <w:sz w:val="24"/>
          <w:szCs w:val="24"/>
        </w:rPr>
        <w:t>）：</w:t>
      </w:r>
      <w:r>
        <w:rPr>
          <w:rFonts w:hint="eastAsia" w:ascii="宋体" w:hAnsi="宋体" w:eastAsia="宋体" w:cs="宋体"/>
          <w:spacing w:val="1"/>
          <w:sz w:val="24"/>
          <w:szCs w:val="24"/>
        </w:rPr>
        <w:t>雨水管、排污管、给水管、进水阀</w:t>
      </w:r>
      <w:r>
        <w:rPr>
          <w:rFonts w:hint="eastAsia" w:ascii="宋体" w:hAnsi="宋体" w:eastAsia="宋体" w:cs="宋体"/>
          <w:sz w:val="24"/>
          <w:szCs w:val="24"/>
        </w:rPr>
        <w:t xml:space="preserve">门等全部水系 </w:t>
      </w:r>
      <w:r>
        <w:rPr>
          <w:rFonts w:hint="eastAsia" w:ascii="宋体" w:hAnsi="宋体" w:eastAsia="宋体" w:cs="宋体"/>
          <w:spacing w:val="-1"/>
          <w:sz w:val="24"/>
          <w:szCs w:val="24"/>
        </w:rPr>
        <w:t>统的日常管理、保养、一般性维修和急修</w:t>
      </w:r>
      <w:r>
        <w:rPr>
          <w:rFonts w:hint="eastAsia" w:ascii="宋体" w:hAnsi="宋体" w:eastAsia="宋体" w:cs="宋体"/>
          <w:color w:val="auto"/>
          <w:sz w:val="24"/>
          <w:szCs w:val="24"/>
        </w:rPr>
        <w:t>。</w:t>
      </w:r>
    </w:p>
    <w:p w14:paraId="593EB69F">
      <w:pPr>
        <w:numPr>
          <w:ilvl w:val="0"/>
          <w:numId w:val="4"/>
        </w:numPr>
        <w:spacing w:line="360" w:lineRule="auto"/>
        <w:ind w:left="0" w:leftChars="0" w:firstLine="540" w:firstLineChars="0"/>
        <w:rPr>
          <w:rFonts w:hint="eastAsia" w:ascii="宋体" w:hAnsi="宋体" w:eastAsia="宋体" w:cs="宋体"/>
          <w:color w:val="000000"/>
          <w:sz w:val="24"/>
          <w:szCs w:val="24"/>
        </w:rPr>
      </w:pPr>
      <w:r>
        <w:rPr>
          <w:rFonts w:hint="eastAsia" w:ascii="宋体" w:hAnsi="宋体" w:eastAsia="宋体" w:cs="宋体"/>
          <w:color w:val="auto"/>
          <w:sz w:val="24"/>
          <w:szCs w:val="24"/>
        </w:rPr>
        <w:t>校区教学设备、办公设备、空调、安防监控系统、网络系统、饮水设备及学生课桌椅等的日常维修维护。</w:t>
      </w:r>
    </w:p>
    <w:p w14:paraId="561F6FCC">
      <w:pPr>
        <w:numPr>
          <w:ilvl w:val="0"/>
          <w:numId w:val="4"/>
        </w:numPr>
        <w:spacing w:line="360" w:lineRule="auto"/>
        <w:ind w:left="0" w:leftChars="0" w:firstLine="54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根据学校总务科的安排，完成相应的</w:t>
      </w:r>
      <w:r>
        <w:rPr>
          <w:rFonts w:hint="eastAsia" w:ascii="宋体" w:hAnsi="宋体" w:eastAsia="宋体" w:cs="宋体"/>
          <w:color w:val="000000"/>
          <w:sz w:val="24"/>
          <w:szCs w:val="24"/>
          <w:lang w:eastAsia="zh-CN"/>
        </w:rPr>
        <w:t>工作</w:t>
      </w:r>
      <w:r>
        <w:rPr>
          <w:rFonts w:hint="eastAsia" w:ascii="宋体" w:hAnsi="宋体" w:eastAsia="宋体" w:cs="宋体"/>
          <w:color w:val="000000"/>
          <w:sz w:val="24"/>
          <w:szCs w:val="24"/>
        </w:rPr>
        <w:t>任务。</w:t>
      </w:r>
    </w:p>
    <w:p w14:paraId="69866A55">
      <w:pPr>
        <w:pStyle w:val="4"/>
        <w:numPr>
          <w:ilvl w:val="2"/>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p w14:paraId="6814FE6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（1）保证各类水电设施、设备的正常运行，负责水电设施的日常维修做好供水供电系统运行情况记录，保证正常供水供电。</w:t>
      </w:r>
    </w:p>
    <w:p w14:paraId="7FFD3818">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）提高安全意识，经常检查水电设施、设备，发现问题及时处理。</w:t>
      </w:r>
    </w:p>
    <w:p w14:paraId="063C9C99">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）做好用水用电的抄表核对工作，配合财会及时、足额收缴水电费。认真管理学校的管道设施，杜绝浪费现像。</w:t>
      </w:r>
    </w:p>
    <w:p w14:paraId="38C41E2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）严格遵守操作规程，不准他人乱接乱拉电线，对线路接头要包扎牢固，各隐蔽线路不得外露。</w:t>
      </w:r>
    </w:p>
    <w:p w14:paraId="5B7467D9">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）清查全校水电路线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合理利用学校水电，防止浪费，不得私自将水源、电源接出校外。</w:t>
      </w:r>
    </w:p>
    <w:p w14:paraId="155141FF">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）实行每天24小时客户报修电话接待，将报修电话向校方业主公布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接到报修电话及时记录，并通知维修部门派人员维修。</w:t>
      </w:r>
    </w:p>
    <w:p w14:paraId="6A17F76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水电急修项目：接报修后20分钟到达现场，2小时内修复；其他</w:t>
      </w:r>
      <w:r>
        <w:rPr>
          <w:rFonts w:hint="eastAsia" w:ascii="宋体" w:hAnsi="宋体" w:eastAsia="宋体" w:cs="宋体"/>
          <w:b w:val="0"/>
          <w:bCs w:val="0"/>
          <w:color w:val="auto"/>
          <w:sz w:val="24"/>
          <w:szCs w:val="24"/>
          <w:lang w:eastAsia="zh-CN"/>
        </w:rPr>
        <w:t>设备</w:t>
      </w:r>
      <w:r>
        <w:rPr>
          <w:rFonts w:hint="eastAsia" w:ascii="宋体" w:hAnsi="宋体" w:eastAsia="宋体" w:cs="宋体"/>
          <w:b w:val="0"/>
          <w:bCs w:val="0"/>
          <w:color w:val="auto"/>
          <w:sz w:val="24"/>
          <w:szCs w:val="24"/>
        </w:rPr>
        <w:t>维修项目：30分钟之内到达现场查勘，根据维修项目情况，能立即修复的，当场给予解决；不能马上修复的，按约定时间给予修复；非责任维修：1小时到达现场查勘，与客户洽谈，确定维修费和维修时间，按约维修。</w:t>
      </w:r>
    </w:p>
    <w:p w14:paraId="0EAA0A74">
      <w:pPr>
        <w:pStyle w:val="4"/>
        <w:numPr>
          <w:ilvl w:val="2"/>
          <w:numId w:val="0"/>
        </w:numPr>
        <w:spacing w:line="360" w:lineRule="auto"/>
        <w:ind w:left="40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维修完毕应要求客户签名确认，并征求满意度。</w:t>
      </w:r>
    </w:p>
    <w:p w14:paraId="4AEA6D6E">
      <w:pPr>
        <w:pStyle w:val="4"/>
        <w:numPr>
          <w:ilvl w:val="2"/>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p w14:paraId="612EFA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（1）维修服务应达到：临修急修及时率100%；维修质量合格率99%以上；客户满意率95%以上；服务回访率100%，回访中发现维修质量问题，及时预约整改。</w:t>
      </w:r>
    </w:p>
    <w:p w14:paraId="39E865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（2）设备定期巡检，确保正常运行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绘制简单的平面图，管线大致系统图，能清楚正确的在图纸上标出发生故障的位置。</w:t>
      </w:r>
    </w:p>
    <w:p w14:paraId="2DAA9AC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及时处理用电隐患、更换损坏灯具及设备，对存在用电隐患提出整改意见。</w:t>
      </w:r>
    </w:p>
    <w:p w14:paraId="5E7EF179">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）增值服务内容、服务要求</w:t>
      </w:r>
    </w:p>
    <w:p w14:paraId="18A156C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（1）校园科技课：能配合学校开展校园科技课，进行现场布置，道具摆放、桌椅排布等临时性工作。</w:t>
      </w:r>
    </w:p>
    <w:p w14:paraId="2763BDC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（2）学生劳动课：能配合学校开展学生义务劳动课，提供清洁技能、绿化养护的基本培训。劳动课产生的劳动工具，扫把、拖把、锄头、化肥等均有中标单位提供。</w:t>
      </w:r>
    </w:p>
    <w:p w14:paraId="0CF1595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（3）重大节假日的突击工作：对于重大节假日及迎检前突击工作，中标单位需要临时派8-12人进行现场保洁、绿化的突击工作。该项工作需要供应商进行承诺。</w:t>
      </w:r>
    </w:p>
    <w:p w14:paraId="6288D07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（4）以上增值服务内容需要供应商提供服务方案及承诺。</w:t>
      </w:r>
    </w:p>
    <w:p w14:paraId="7301DDF4">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物业服务人员配置及要求</w:t>
      </w:r>
    </w:p>
    <w:p w14:paraId="7E545577">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（1）水电维修工1人：需有5年以上相关岗位工作经验，要求</w:t>
      </w:r>
      <w:r>
        <w:rPr>
          <w:rFonts w:hint="eastAsia" w:ascii="宋体" w:hAnsi="宋体" w:eastAsia="宋体" w:cs="宋体"/>
          <w:b/>
          <w:bCs/>
          <w:color w:val="auto"/>
          <w:sz w:val="24"/>
          <w:szCs w:val="24"/>
        </w:rPr>
        <w:t>持有高、低压电工证</w:t>
      </w:r>
      <w:r>
        <w:rPr>
          <w:rFonts w:hint="eastAsia" w:ascii="宋体" w:hAnsi="宋体" w:cs="宋体"/>
          <w:b/>
          <w:bCs/>
          <w:color w:val="auto"/>
          <w:sz w:val="24"/>
          <w:szCs w:val="24"/>
          <w:lang w:eastAsia="zh-CN"/>
        </w:rPr>
        <w:t>，须在响应文件中提供相关证件。</w:t>
      </w:r>
    </w:p>
    <w:p w14:paraId="0EAA0A4C">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（2）电教设备维护工1人：需有3年以上维修多媒体设备等相关岗位工作经验，要求</w:t>
      </w:r>
      <w:r>
        <w:rPr>
          <w:rFonts w:hint="eastAsia" w:ascii="宋体" w:hAnsi="宋体" w:eastAsia="宋体" w:cs="宋体"/>
          <w:b/>
          <w:bCs/>
          <w:color w:val="auto"/>
          <w:sz w:val="24"/>
          <w:szCs w:val="24"/>
        </w:rPr>
        <w:t>持有电工证</w:t>
      </w:r>
      <w:r>
        <w:rPr>
          <w:rFonts w:hint="eastAsia" w:ascii="宋体" w:hAnsi="宋体" w:cs="宋体"/>
          <w:color w:val="auto"/>
          <w:sz w:val="24"/>
          <w:szCs w:val="24"/>
          <w:lang w:eastAsia="zh-CN"/>
        </w:rPr>
        <w:t>，须在响应文件中提供相关证件</w:t>
      </w:r>
    </w:p>
    <w:p w14:paraId="3773CE34">
      <w:pPr>
        <w:spacing w:line="360" w:lineRule="auto"/>
        <w:ind w:firstLine="540"/>
        <w:rPr>
          <w:rFonts w:hint="eastAsia" w:ascii="宋体" w:hAnsi="宋体" w:cs="宋体"/>
          <w:color w:val="auto"/>
          <w:sz w:val="24"/>
          <w:szCs w:val="24"/>
          <w:lang w:eastAsia="zh-CN"/>
        </w:rPr>
      </w:pPr>
      <w:r>
        <w:rPr>
          <w:rFonts w:hint="eastAsia" w:ascii="宋体" w:hAnsi="宋体" w:eastAsia="宋体" w:cs="宋体"/>
          <w:color w:val="auto"/>
          <w:sz w:val="24"/>
          <w:szCs w:val="24"/>
        </w:rPr>
        <w:t>（3）保洁员</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人：保洁人员需有2年以上相关岗位工作经验，年龄要求男性不得超过55岁、女性不超过50岁，具有服务意识，其中至少一人</w:t>
      </w:r>
      <w:r>
        <w:rPr>
          <w:rFonts w:hint="eastAsia" w:ascii="宋体" w:hAnsi="宋体" w:eastAsia="宋体" w:cs="宋体"/>
          <w:b/>
          <w:bCs/>
          <w:color w:val="auto"/>
          <w:sz w:val="24"/>
          <w:szCs w:val="24"/>
        </w:rPr>
        <w:t>持有</w:t>
      </w:r>
      <w:r>
        <w:rPr>
          <w:rFonts w:hint="eastAsia" w:ascii="宋体" w:hAnsi="宋体" w:eastAsia="宋体" w:cs="宋体"/>
          <w:b/>
          <w:bCs/>
          <w:color w:val="auto"/>
          <w:sz w:val="24"/>
          <w:szCs w:val="24"/>
          <w:lang w:eastAsia="zh-CN"/>
        </w:rPr>
        <w:t>高级</w:t>
      </w:r>
      <w:r>
        <w:rPr>
          <w:rFonts w:hint="eastAsia" w:ascii="宋体" w:hAnsi="宋体" w:eastAsia="宋体" w:cs="宋体"/>
          <w:b/>
          <w:bCs/>
          <w:color w:val="auto"/>
          <w:sz w:val="24"/>
          <w:szCs w:val="24"/>
        </w:rPr>
        <w:t>公共卫生消毒员证书</w:t>
      </w:r>
      <w:r>
        <w:rPr>
          <w:rFonts w:hint="eastAsia" w:ascii="宋体" w:hAnsi="宋体" w:cs="宋体"/>
          <w:color w:val="auto"/>
          <w:sz w:val="24"/>
          <w:szCs w:val="24"/>
          <w:lang w:eastAsia="zh-CN"/>
        </w:rPr>
        <w:t>，须在响应文件中提供相关证件。</w:t>
      </w:r>
    </w:p>
    <w:p w14:paraId="2E6C44A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总人数：</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所有服务人员需经过采购方面试合格后才可上岗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rPr>
        <w:t>须在响应文件中提供相关证件复印件，原件备查</w:t>
      </w:r>
      <w:r>
        <w:rPr>
          <w:rFonts w:hint="eastAsia" w:ascii="宋体" w:hAnsi="宋体" w:eastAsia="宋体" w:cs="宋体"/>
          <w:color w:val="auto"/>
          <w:sz w:val="24"/>
          <w:szCs w:val="24"/>
          <w:lang w:eastAsia="zh-CN"/>
        </w:rPr>
        <w:t>；供应商需在本采购单位所在地为服务人员购买社保，并</w:t>
      </w:r>
      <w:r>
        <w:rPr>
          <w:rFonts w:hint="eastAsia" w:ascii="宋体" w:hAnsi="宋体" w:eastAsia="宋体" w:cs="宋体"/>
          <w:b w:val="0"/>
          <w:bCs w:val="0"/>
          <w:color w:val="auto"/>
          <w:sz w:val="24"/>
          <w:szCs w:val="24"/>
        </w:rPr>
        <w:t>提供为其缴纳的在响应文件递交截止之日前3个月的在该单位社保缴纳证明复印件。</w:t>
      </w:r>
      <w:r>
        <w:rPr>
          <w:rFonts w:hint="eastAsia" w:ascii="宋体" w:hAnsi="宋体" w:eastAsia="宋体" w:cs="宋体"/>
          <w:b w:val="0"/>
          <w:bCs w:val="0"/>
          <w:color w:val="auto"/>
          <w:sz w:val="24"/>
          <w:szCs w:val="24"/>
          <w:lang w:eastAsia="zh-CN"/>
        </w:rPr>
        <w:t>】</w:t>
      </w:r>
    </w:p>
    <w:p w14:paraId="1E777EC7">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二、报价说明</w:t>
      </w:r>
    </w:p>
    <w:p w14:paraId="06BA7308">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1、物业服务费包含供应商为完成各项物业服务需要所需聘请的工作人员的工资费用、社会保险费用、加班费、服装费、物业服务使用工具费用、各项税费及管理费用等；</w:t>
      </w:r>
    </w:p>
    <w:p w14:paraId="2B53BBDE">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2、为了避免不合理报价、降低服务质量，规定报价应遵循优质、合理的原则。</w:t>
      </w:r>
    </w:p>
    <w:p w14:paraId="79A1CB46">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3、报价需按照报价表（附件一）进行报价。</w:t>
      </w:r>
    </w:p>
    <w:p w14:paraId="089A2E99">
      <w:pPr>
        <w:spacing w:line="360" w:lineRule="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商务条款</w:t>
      </w:r>
    </w:p>
    <w:p w14:paraId="3494BA7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、合同签订期：自成交通知书发出之日起25日内。若因成交供应商自身原因未能在约定的时间内与采购人签订合同的，采购人将不再受理合同签订事宜，成交供应商自行承担由此产生的后果。 </w:t>
      </w:r>
    </w:p>
    <w:p w14:paraId="4FED4A1C">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、服务期限：</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个月</w:t>
      </w:r>
    </w:p>
    <w:p w14:paraId="72E315A6">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服务地点：</w:t>
      </w:r>
      <w:r>
        <w:rPr>
          <w:rFonts w:hint="eastAsia" w:ascii="宋体" w:hAnsi="宋体" w:eastAsia="宋体" w:cs="宋体"/>
          <w:color w:val="auto"/>
          <w:sz w:val="24"/>
          <w:szCs w:val="24"/>
          <w:lang w:eastAsia="zh-CN"/>
        </w:rPr>
        <w:t>玉林市玉州区</w:t>
      </w:r>
      <w:r>
        <w:rPr>
          <w:rFonts w:hint="eastAsia" w:ascii="宋体" w:hAnsi="宋体" w:cs="宋体"/>
          <w:color w:val="auto"/>
          <w:sz w:val="24"/>
          <w:szCs w:val="24"/>
          <w:lang w:eastAsia="zh-CN"/>
        </w:rPr>
        <w:t>育苗小学</w:t>
      </w:r>
    </w:p>
    <w:p w14:paraId="0EB9DF0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、服务要求：</w:t>
      </w:r>
    </w:p>
    <w:p w14:paraId="55DBB692">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成交供应商应严格遵守国家有关保密法律法规，不得泄露与本项目有关的秘密，不得将其用于履行本项目之外的其他用途，造成泄密的，将依法追究有关人员的法律责任。</w:t>
      </w:r>
    </w:p>
    <w:p w14:paraId="3FC8CB8A">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服务及验收标准：按国家有关服务行业规定执行，如标注有“▲号”的服务内容则在竞标时必须满足；</w:t>
      </w:r>
    </w:p>
    <w:p w14:paraId="337EE0D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需承诺严格遵守国家有关保密的法律法规，绝对保密任何有关采购人的资料和信息。未经采购人同意，成交供应商不得将采购人的任何资料数据泄露给第三方，否则成交供应商承担由此造成的责任，并赔偿相应的损失。</w:t>
      </w:r>
    </w:p>
    <w:p w14:paraId="5537A6D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成交供应商在进行日常维护工作中，必须遵守相关安全法律法规，并确保安全，由于成交供应商原因造成的安全事件，成交供应商承担全部责任。</w:t>
      </w:r>
    </w:p>
    <w:p w14:paraId="51DCCEF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、售后服务：按国家有关规定执行“三包”并按学校要求派驻工作人员服务。 </w:t>
      </w:r>
    </w:p>
    <w:p w14:paraId="5A9B653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、付款方式：按学校实际使用的数量据实进行结算付款。</w:t>
      </w:r>
    </w:p>
    <w:p w14:paraId="1730378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供应商自觉接受我单位的监督和检查，如发现不按规定和标准执行的，我单位有权视情况扣除物业服务相关费用，供应商对此无异议。</w:t>
      </w:r>
    </w:p>
    <w:p w14:paraId="0A23725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供应商委派驻场的工作人员必须按时到岗，全勤在岗，工作时佩戴工作牌。</w:t>
      </w:r>
    </w:p>
    <w:p w14:paraId="1233868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请参与在线询价的供应商看清相关文件要求后再进行报价，如出现故意、恶意竞标者，我单位将上报相关部门并追究相应责任。</w:t>
      </w:r>
    </w:p>
    <w:p w14:paraId="474F558F">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供应商在进行报价响应时必须上传响应文件，响应文件中的报价必须与政采云系统报价一致，否则报价无效。</w:t>
      </w:r>
    </w:p>
    <w:p w14:paraId="5DFB6AD1">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四、供应商在政采云系统内报价的同时须上传响应文件，包含但不限于以下内容：</w:t>
      </w:r>
    </w:p>
    <w:p w14:paraId="4268125B">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1.供应商服务响应、偏离情况表（格式自拟），注明响应偏离内容与说明（格式自拟，</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41C4758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2.供应商有效的营业执照复印件（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32E4138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3.提供2024年度经第三方审计机构出具的审计报告或财务报表。新成立单位据实提供（</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1ED44CB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4.响应文件递交截止之日前半年内供应商依法缴纳税费或依法免缴税费的证明复印件；无纳税记录的，应提供由供应商所在地主管税务部门出具的《依法纳税或依法免税证明》复印件。（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3D8A506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5.供应商依法缴纳社会保障资金的相关材料(2025年1月至 2025 年 6月内连续3个月的依法缴纳社会保障资金的缴费凭证（专用收据或者社会保险缴纳清单）复印件；无缴费记录的，应提供由供应商所在地社保部门出具的《依法缴纳或依法免缴社保费证明》复印件。（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rPr>
        <w:t>；</w:t>
      </w:r>
    </w:p>
    <w:p w14:paraId="1B8F35F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6.报价表（格式见附件一，</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4970761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7.拟派驻服务人员名单及资料（附相关证书复印件）（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162F88C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参加政府采购活动前三年内在经营活动中没有重大违法记录的书面声明（格式自拟，必须提供，否则响应文件按无效响应处理）；供应商可在“信用中国”网站（www.creditchina.gov.cn）、中国政府采购网（www.ccgp.gov.cn）查询相关供应商主体信用记录。“信用中国”查询内容：失信被执行人、重大税收违法案件当事人名单、政府采购严重违法失信行为记录名单查询结果或界面截图。“中国政府采购网”的查询方法：点击“政府采购严重违法失信行为记录名单”进行查询。页面中的处罚日期不设置起始时间，只设置截止时间，截止时间为本项目磋商截止时间前10日至磋商截止时间中任意一天。国家企业信用信息公示系统查询内容：行政处罚信息、列入经营异常名录信息、列入严重违法失信名单（黑名单）信息。</w:t>
      </w:r>
    </w:p>
    <w:p w14:paraId="68A9A6D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9.增值服务承诺书；</w:t>
      </w:r>
    </w:p>
    <w:p w14:paraId="3FC2A0F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10.供应商认为需要提供的其他文件。注： 以上标明“必须提供 ”的材料文件，</w:t>
      </w:r>
      <w:r>
        <w:rPr>
          <w:rFonts w:hint="eastAsia" w:ascii="宋体" w:hAnsi="宋体" w:eastAsia="宋体" w:cs="宋体"/>
          <w:b/>
          <w:bCs/>
          <w:color w:val="auto"/>
          <w:sz w:val="24"/>
          <w:szCs w:val="24"/>
        </w:rPr>
        <w:t>必须加盖供应商签章，否则响应文件作无效处理。</w:t>
      </w:r>
    </w:p>
    <w:p w14:paraId="080B932D">
      <w:pPr>
        <w:spacing w:line="360" w:lineRule="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五、成交规则</w:t>
      </w:r>
    </w:p>
    <w:p w14:paraId="1F787E1A">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（一）经对上传的响应文件比较，以全部条件完全响应本询价要求及单位采购需求原则且价格最低者确定成交供应商。</w:t>
      </w:r>
    </w:p>
    <w:p w14:paraId="13B91385">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（二）本次报价如果第一候选人放弃后，以第二候选人入选递补，以此类推。</w:t>
      </w:r>
    </w:p>
    <w:p w14:paraId="679E3702">
      <w:pPr>
        <w:spacing w:line="360" w:lineRule="auto"/>
        <w:ind w:firstLine="54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（三）如只在政采云系统内报价，不提供响应文件或响应文件内容不全的，且</w:t>
      </w:r>
      <w:r>
        <w:rPr>
          <w:rFonts w:hint="eastAsia" w:ascii="宋体" w:hAnsi="宋体" w:eastAsia="宋体" w:cs="宋体"/>
          <w:b/>
          <w:bCs/>
          <w:color w:val="auto"/>
          <w:sz w:val="24"/>
          <w:szCs w:val="24"/>
        </w:rPr>
        <w:t>响应文件中的报价必须与政采云系统报价一致，</w:t>
      </w:r>
      <w:r>
        <w:rPr>
          <w:rFonts w:hint="eastAsia" w:ascii="宋体" w:hAnsi="宋体" w:eastAsia="宋体" w:cs="宋体"/>
          <w:b/>
          <w:bCs/>
          <w:color w:val="auto"/>
          <w:sz w:val="24"/>
          <w:szCs w:val="24"/>
          <w:lang w:eastAsia="zh-CN"/>
        </w:rPr>
        <w:t>否则</w:t>
      </w:r>
      <w:r>
        <w:rPr>
          <w:rFonts w:hint="eastAsia" w:ascii="宋体" w:hAnsi="宋体" w:eastAsia="宋体" w:cs="宋体"/>
          <w:b/>
          <w:bCs/>
          <w:color w:val="auto"/>
          <w:kern w:val="2"/>
          <w:sz w:val="24"/>
          <w:szCs w:val="24"/>
          <w:lang w:val="en-US" w:eastAsia="zh-CN" w:bidi="ar-SA"/>
        </w:rPr>
        <w:t>我单位以无效投标处理</w:t>
      </w:r>
      <w:r>
        <w:rPr>
          <w:rFonts w:hint="eastAsia" w:ascii="宋体" w:hAnsi="宋体" w:eastAsia="宋体" w:cs="宋体"/>
          <w:color w:val="auto"/>
          <w:kern w:val="2"/>
          <w:sz w:val="24"/>
          <w:szCs w:val="24"/>
          <w:lang w:val="en-US" w:eastAsia="zh-CN" w:bidi="ar-SA"/>
        </w:rPr>
        <w:t>。</w:t>
      </w:r>
    </w:p>
    <w:p w14:paraId="6F44272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供应商上传的响应文件必须加盖单位公章，以PDF格式进行上传，内容必须清晰可见，否则竞标无效。供应商参与在线询价时，应在响应文件中提交完全符合询价资格条件的证书复印件，供应商没有按照本项目询价公告要求提供全部资料，或者供应商没有对上述采购需求的所有内容作出实质性响应的，其竞标无效。</w:t>
      </w:r>
    </w:p>
    <w:p w14:paraId="50316789">
      <w:pPr>
        <w:spacing w:line="360" w:lineRule="auto"/>
        <w:ind w:firstLine="480" w:firstLineChars="200"/>
        <w:rPr>
          <w:rFonts w:hint="eastAsia" w:ascii="宋体" w:hAnsi="宋体" w:eastAsia="宋体" w:cs="宋体"/>
          <w:color w:val="auto"/>
          <w:kern w:val="2"/>
          <w:sz w:val="24"/>
          <w:szCs w:val="24"/>
          <w:lang w:val="en-US" w:eastAsia="zh-CN" w:bidi="ar-SA"/>
        </w:rPr>
      </w:pPr>
    </w:p>
    <w:p w14:paraId="5B08C159">
      <w:pPr>
        <w:spacing w:line="360" w:lineRule="auto"/>
        <w:ind w:firstLine="480" w:firstLineChars="200"/>
        <w:rPr>
          <w:rFonts w:hint="eastAsia" w:ascii="宋体" w:hAnsi="宋体" w:eastAsia="宋体" w:cs="宋体"/>
          <w:color w:val="auto"/>
          <w:kern w:val="2"/>
          <w:sz w:val="24"/>
          <w:szCs w:val="24"/>
          <w:lang w:val="en-US" w:eastAsia="zh-CN" w:bidi="ar-SA"/>
        </w:rPr>
      </w:pPr>
    </w:p>
    <w:p w14:paraId="32A85680">
      <w:pPr>
        <w:spacing w:line="360" w:lineRule="auto"/>
        <w:ind w:firstLine="480" w:firstLineChars="200"/>
        <w:rPr>
          <w:rFonts w:hint="eastAsia" w:ascii="宋体" w:hAnsi="宋体" w:eastAsia="宋体" w:cs="宋体"/>
          <w:color w:val="auto"/>
          <w:kern w:val="2"/>
          <w:sz w:val="24"/>
          <w:szCs w:val="24"/>
          <w:lang w:val="en-US" w:eastAsia="zh-CN" w:bidi="ar-SA"/>
        </w:rPr>
      </w:pPr>
    </w:p>
    <w:p w14:paraId="4A9B2262">
      <w:pPr>
        <w:spacing w:line="360" w:lineRule="auto"/>
        <w:ind w:firstLine="480" w:firstLineChars="200"/>
        <w:rPr>
          <w:rFonts w:hint="eastAsia" w:ascii="宋体" w:hAnsi="宋体" w:eastAsia="宋体" w:cs="宋体"/>
          <w:color w:val="auto"/>
          <w:kern w:val="2"/>
          <w:sz w:val="24"/>
          <w:szCs w:val="24"/>
          <w:lang w:val="en-US" w:eastAsia="zh-CN" w:bidi="ar-SA"/>
        </w:rPr>
      </w:pPr>
    </w:p>
    <w:p w14:paraId="7D55A402">
      <w:pPr>
        <w:spacing w:line="360" w:lineRule="auto"/>
        <w:ind w:firstLine="480" w:firstLineChars="200"/>
        <w:rPr>
          <w:rFonts w:hint="eastAsia" w:ascii="宋体" w:hAnsi="宋体" w:eastAsia="宋体" w:cs="宋体"/>
          <w:color w:val="auto"/>
          <w:kern w:val="2"/>
          <w:sz w:val="24"/>
          <w:szCs w:val="24"/>
          <w:lang w:val="en-US" w:eastAsia="zh-CN" w:bidi="ar-SA"/>
        </w:rPr>
      </w:pPr>
    </w:p>
    <w:p w14:paraId="63529DE7">
      <w:pPr>
        <w:spacing w:line="360" w:lineRule="auto"/>
        <w:ind w:firstLine="480" w:firstLineChars="200"/>
        <w:rPr>
          <w:rFonts w:hint="eastAsia" w:ascii="宋体" w:hAnsi="宋体" w:eastAsia="宋体" w:cs="宋体"/>
          <w:color w:val="auto"/>
          <w:kern w:val="2"/>
          <w:sz w:val="24"/>
          <w:szCs w:val="24"/>
          <w:lang w:val="en-US" w:eastAsia="zh-CN" w:bidi="ar-SA"/>
        </w:rPr>
      </w:pPr>
    </w:p>
    <w:p w14:paraId="1BA9D3FD">
      <w:pPr>
        <w:spacing w:line="360" w:lineRule="auto"/>
        <w:ind w:firstLine="480" w:firstLineChars="200"/>
        <w:rPr>
          <w:rFonts w:hint="eastAsia" w:ascii="宋体" w:hAnsi="宋体" w:eastAsia="宋体" w:cs="宋体"/>
          <w:color w:val="auto"/>
          <w:kern w:val="2"/>
          <w:sz w:val="24"/>
          <w:szCs w:val="24"/>
          <w:lang w:val="en-US" w:eastAsia="zh-CN" w:bidi="ar-SA"/>
        </w:rPr>
      </w:pPr>
    </w:p>
    <w:p w14:paraId="2CAC4FC3">
      <w:pPr>
        <w:spacing w:line="360" w:lineRule="auto"/>
        <w:ind w:firstLine="480" w:firstLineChars="200"/>
        <w:rPr>
          <w:rFonts w:hint="eastAsia" w:ascii="宋体" w:hAnsi="宋体" w:eastAsia="宋体" w:cs="宋体"/>
          <w:color w:val="auto"/>
          <w:kern w:val="2"/>
          <w:sz w:val="24"/>
          <w:szCs w:val="24"/>
          <w:lang w:val="en-US" w:eastAsia="zh-CN" w:bidi="ar-SA"/>
        </w:rPr>
      </w:pPr>
    </w:p>
    <w:p w14:paraId="7542DD70">
      <w:pPr>
        <w:spacing w:line="360" w:lineRule="auto"/>
        <w:ind w:firstLine="480" w:firstLineChars="200"/>
        <w:rPr>
          <w:rFonts w:hint="eastAsia" w:ascii="宋体" w:hAnsi="宋体" w:eastAsia="宋体" w:cs="宋体"/>
          <w:color w:val="auto"/>
          <w:kern w:val="2"/>
          <w:sz w:val="24"/>
          <w:szCs w:val="24"/>
          <w:lang w:val="en-US" w:eastAsia="zh-CN" w:bidi="ar-SA"/>
        </w:rPr>
      </w:pPr>
    </w:p>
    <w:p w14:paraId="1E1759EB">
      <w:pPr>
        <w:spacing w:line="360" w:lineRule="auto"/>
        <w:ind w:firstLine="480" w:firstLineChars="200"/>
        <w:rPr>
          <w:rFonts w:hint="eastAsia" w:ascii="宋体" w:hAnsi="宋体" w:eastAsia="宋体" w:cs="宋体"/>
          <w:color w:val="auto"/>
          <w:kern w:val="2"/>
          <w:sz w:val="24"/>
          <w:szCs w:val="24"/>
          <w:lang w:val="en-US" w:eastAsia="zh-CN" w:bidi="ar-SA"/>
        </w:rPr>
      </w:pPr>
    </w:p>
    <w:p w14:paraId="4CF85A26">
      <w:pPr>
        <w:spacing w:line="360" w:lineRule="auto"/>
        <w:ind w:firstLine="480" w:firstLineChars="200"/>
        <w:rPr>
          <w:rFonts w:hint="eastAsia" w:ascii="宋体" w:hAnsi="宋体" w:eastAsia="宋体" w:cs="宋体"/>
          <w:color w:val="auto"/>
          <w:kern w:val="2"/>
          <w:sz w:val="24"/>
          <w:szCs w:val="24"/>
          <w:lang w:val="en-US" w:eastAsia="zh-CN" w:bidi="ar-SA"/>
        </w:rPr>
      </w:pPr>
    </w:p>
    <w:p w14:paraId="1D95F435">
      <w:pPr>
        <w:spacing w:line="360" w:lineRule="auto"/>
        <w:ind w:firstLine="480" w:firstLineChars="200"/>
        <w:rPr>
          <w:rFonts w:hint="eastAsia" w:ascii="宋体" w:hAnsi="宋体" w:eastAsia="宋体" w:cs="宋体"/>
          <w:color w:val="auto"/>
          <w:kern w:val="2"/>
          <w:sz w:val="24"/>
          <w:szCs w:val="24"/>
          <w:lang w:val="en-US" w:eastAsia="zh-CN" w:bidi="ar-SA"/>
        </w:rPr>
      </w:pPr>
    </w:p>
    <w:p w14:paraId="7FADA1F2">
      <w:pPr>
        <w:spacing w:line="360" w:lineRule="auto"/>
        <w:ind w:firstLine="480" w:firstLineChars="200"/>
        <w:rPr>
          <w:rFonts w:hint="eastAsia" w:ascii="宋体" w:hAnsi="宋体" w:eastAsia="宋体" w:cs="宋体"/>
          <w:color w:val="auto"/>
          <w:kern w:val="2"/>
          <w:sz w:val="24"/>
          <w:szCs w:val="24"/>
          <w:lang w:val="en-US" w:eastAsia="zh-CN" w:bidi="ar-SA"/>
        </w:rPr>
      </w:pPr>
    </w:p>
    <w:p w14:paraId="1F7E08B3">
      <w:pPr>
        <w:spacing w:line="360" w:lineRule="auto"/>
        <w:ind w:firstLine="480" w:firstLineChars="200"/>
        <w:rPr>
          <w:rFonts w:hint="eastAsia" w:ascii="宋体" w:hAnsi="宋体" w:eastAsia="宋体" w:cs="宋体"/>
          <w:color w:val="auto"/>
          <w:kern w:val="2"/>
          <w:sz w:val="24"/>
          <w:szCs w:val="24"/>
          <w:lang w:val="en-US" w:eastAsia="zh-CN" w:bidi="ar-SA"/>
        </w:rPr>
      </w:pPr>
    </w:p>
    <w:p w14:paraId="0C8F2DFB">
      <w:pPr>
        <w:spacing w:line="360" w:lineRule="auto"/>
        <w:ind w:firstLine="480" w:firstLineChars="200"/>
        <w:rPr>
          <w:rFonts w:hint="eastAsia" w:ascii="宋体" w:hAnsi="宋体" w:eastAsia="宋体" w:cs="宋体"/>
          <w:color w:val="auto"/>
          <w:kern w:val="2"/>
          <w:sz w:val="24"/>
          <w:szCs w:val="24"/>
          <w:lang w:val="en-US" w:eastAsia="zh-CN" w:bidi="ar-SA"/>
        </w:rPr>
      </w:pPr>
    </w:p>
    <w:p w14:paraId="25AE499A">
      <w:pPr>
        <w:spacing w:line="360" w:lineRule="auto"/>
        <w:ind w:firstLine="480" w:firstLineChars="200"/>
        <w:rPr>
          <w:rFonts w:hint="eastAsia" w:ascii="宋体" w:hAnsi="宋体" w:eastAsia="宋体" w:cs="宋体"/>
          <w:color w:val="auto"/>
          <w:kern w:val="2"/>
          <w:sz w:val="24"/>
          <w:szCs w:val="24"/>
          <w:lang w:val="en-US" w:eastAsia="zh-CN" w:bidi="ar-SA"/>
        </w:rPr>
      </w:pPr>
    </w:p>
    <w:p w14:paraId="40088F4E">
      <w:pPr>
        <w:spacing w:line="360" w:lineRule="auto"/>
        <w:ind w:firstLine="480" w:firstLineChars="200"/>
        <w:rPr>
          <w:rFonts w:hint="eastAsia" w:ascii="宋体" w:hAnsi="宋体" w:eastAsia="宋体" w:cs="宋体"/>
          <w:color w:val="auto"/>
          <w:kern w:val="2"/>
          <w:sz w:val="24"/>
          <w:szCs w:val="24"/>
          <w:lang w:val="en-US" w:eastAsia="zh-CN" w:bidi="ar-SA"/>
        </w:rPr>
      </w:pPr>
    </w:p>
    <w:p w14:paraId="390553BF">
      <w:pPr>
        <w:tabs>
          <w:tab w:val="left" w:pos="3479"/>
        </w:tabs>
        <w:spacing w:line="520" w:lineRule="exact"/>
        <w:jc w:val="center"/>
        <w:rPr>
          <w:rFonts w:hint="eastAsia" w:ascii="宋体" w:hAnsi="宋体" w:eastAsia="宋体" w:cs="宋体"/>
          <w:color w:val="000000"/>
          <w:sz w:val="32"/>
          <w:szCs w:val="32"/>
        </w:rPr>
      </w:pPr>
      <w:r>
        <w:rPr>
          <w:rFonts w:hint="eastAsia" w:ascii="宋体" w:hAnsi="宋体" w:eastAsia="宋体" w:cs="宋体"/>
          <w:color w:val="000000"/>
          <w:sz w:val="44"/>
          <w:szCs w:val="44"/>
        </w:rPr>
        <w:t xml:space="preserve"> </w:t>
      </w:r>
      <w:r>
        <w:rPr>
          <w:rFonts w:hint="eastAsia" w:ascii="宋体" w:hAnsi="宋体" w:eastAsia="宋体" w:cs="宋体"/>
          <w:b/>
          <w:bCs/>
          <w:color w:val="000000"/>
          <w:sz w:val="44"/>
          <w:szCs w:val="44"/>
        </w:rPr>
        <w:t>报  价  表</w:t>
      </w:r>
    </w:p>
    <w:p w14:paraId="3D316FB7">
      <w:pPr>
        <w:spacing w:line="520" w:lineRule="exact"/>
        <w:jc w:val="center"/>
        <w:rPr>
          <w:rFonts w:hint="eastAsia" w:ascii="宋体" w:hAnsi="宋体" w:eastAsia="宋体" w:cs="宋体"/>
          <w:color w:val="000000"/>
          <w:sz w:val="32"/>
          <w:szCs w:val="32"/>
        </w:rPr>
      </w:pPr>
    </w:p>
    <w:p w14:paraId="1ACBED24">
      <w:pPr>
        <w:snapToGrid w:val="0"/>
        <w:spacing w:before="50" w:after="50" w:line="360" w:lineRule="auto"/>
        <w:rPr>
          <w:rFonts w:hint="eastAsia" w:ascii="宋体" w:hAnsi="宋体" w:eastAsia="宋体" w:cs="宋体"/>
          <w:color w:val="000000"/>
          <w:sz w:val="24"/>
        </w:rPr>
      </w:pPr>
      <w:bookmarkStart w:id="0" w:name="_Hlk48036220"/>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986E2A0">
      <w:pPr>
        <w:snapToGrid w:val="0"/>
        <w:spacing w:before="50" w:after="50" w:line="360" w:lineRule="auto"/>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7EEC6E3">
      <w:pPr>
        <w:snapToGrid w:val="0"/>
        <w:spacing w:before="50" w:after="50" w:line="360" w:lineRule="auto"/>
        <w:ind w:firstLine="7080" w:firstLineChars="2950"/>
        <w:rPr>
          <w:rFonts w:hint="eastAsia" w:ascii="宋体" w:hAnsi="宋体" w:eastAsia="宋体" w:cs="宋体"/>
          <w:color w:val="000000"/>
          <w:sz w:val="24"/>
        </w:rPr>
      </w:pPr>
      <w:r>
        <w:rPr>
          <w:rFonts w:hint="eastAsia" w:ascii="宋体" w:hAnsi="宋体" w:eastAsia="宋体" w:cs="宋体"/>
          <w:color w:val="000000"/>
          <w:sz w:val="24"/>
        </w:rPr>
        <w:t>单位：元</w:t>
      </w:r>
    </w:p>
    <w:tbl>
      <w:tblPr>
        <w:tblStyle w:val="1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1D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21C577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0555837">
            <w:pPr>
              <w:spacing w:line="360" w:lineRule="auto"/>
              <w:jc w:val="center"/>
              <w:rPr>
                <w:rFonts w:hint="eastAsia" w:ascii="宋体" w:hAnsi="宋体" w:eastAsia="宋体" w:cs="宋体"/>
                <w:color w:val="000000"/>
                <w:sz w:val="24"/>
              </w:rPr>
            </w:pPr>
            <w:r>
              <w:rPr>
                <w:rFonts w:hint="eastAsia" w:ascii="宋体" w:hAnsi="宋体" w:eastAsia="宋体" w:cs="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704AEFB">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EF3FA3D">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5A93EE9">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7DE8B2E">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97EA013">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40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8EBC1A2">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60F1DDB">
            <w:pPr>
              <w:spacing w:line="360" w:lineRule="auto"/>
              <w:jc w:val="center"/>
              <w:rPr>
                <w:rFonts w:hint="eastAsia" w:ascii="宋体" w:hAnsi="宋体" w:eastAsia="宋体" w:cs="宋体"/>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0E3F5A55">
            <w:pPr>
              <w:spacing w:line="360" w:lineRule="auto"/>
              <w:jc w:val="center"/>
              <w:rPr>
                <w:rFonts w:hint="eastAsia" w:ascii="宋体" w:hAnsi="宋体" w:eastAsia="宋体" w:cs="宋体"/>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3E0A4C32">
            <w:pPr>
              <w:spacing w:line="360" w:lineRule="auto"/>
              <w:rPr>
                <w:rFonts w:hint="eastAsia" w:ascii="宋体" w:hAnsi="宋体" w:eastAsia="宋体" w:cs="宋体"/>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1C7CD272">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2BE1745">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6F19861">
            <w:pPr>
              <w:spacing w:line="360" w:lineRule="auto"/>
              <w:rPr>
                <w:rFonts w:hint="eastAsia" w:ascii="宋体" w:hAnsi="宋体" w:eastAsia="宋体" w:cs="宋体"/>
                <w:color w:val="000000"/>
                <w:sz w:val="24"/>
              </w:rPr>
            </w:pPr>
          </w:p>
        </w:tc>
      </w:tr>
      <w:tr w14:paraId="485D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C6044D8">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02465CD">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73602772">
            <w:pPr>
              <w:spacing w:line="360" w:lineRule="auto"/>
              <w:jc w:val="center"/>
              <w:rPr>
                <w:rFonts w:hint="eastAsia" w:ascii="宋体" w:hAnsi="宋体" w:eastAsia="宋体" w:cs="宋体"/>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24531AAC">
            <w:pPr>
              <w:spacing w:line="360" w:lineRule="auto"/>
              <w:rPr>
                <w:rFonts w:hint="eastAsia" w:ascii="宋体" w:hAnsi="宋体" w:eastAsia="宋体" w:cs="宋体"/>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6B10436D">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39D7940D">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12DB070">
            <w:pPr>
              <w:spacing w:line="360" w:lineRule="auto"/>
              <w:rPr>
                <w:rFonts w:hint="eastAsia" w:ascii="宋体" w:hAnsi="宋体" w:eastAsia="宋体" w:cs="宋体"/>
                <w:color w:val="000000"/>
                <w:sz w:val="24"/>
              </w:rPr>
            </w:pPr>
          </w:p>
        </w:tc>
      </w:tr>
      <w:tr w14:paraId="0FE1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30D8569">
            <w:pPr>
              <w:snapToGrid w:val="0"/>
              <w:spacing w:before="50" w:after="50" w:line="360" w:lineRule="auto"/>
              <w:rPr>
                <w:rFonts w:hint="eastAsia" w:ascii="宋体" w:hAnsi="宋体" w:eastAsia="宋体" w:cs="宋体"/>
                <w:color w:val="000000"/>
                <w:sz w:val="24"/>
              </w:rPr>
            </w:pPr>
            <w:r>
              <w:rPr>
                <w:rFonts w:hint="eastAsia" w:ascii="宋体" w:hAnsi="宋体" w:eastAsia="宋体" w:cs="宋体"/>
                <w:color w:val="000000"/>
                <w:sz w:val="24"/>
              </w:rPr>
              <w:t>合计金额大写：人民币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tc>
      </w:tr>
      <w:tr w14:paraId="5FCF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B94BE01">
            <w:pPr>
              <w:snapToGrid w:val="0"/>
              <w:spacing w:before="50" w:after="50"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服务期限：</w:t>
            </w:r>
            <w:r>
              <w:rPr>
                <w:rFonts w:hint="eastAsia" w:ascii="宋体" w:hAnsi="宋体" w:eastAsia="宋体" w:cs="宋体"/>
                <w:color w:val="000000"/>
                <w:sz w:val="24"/>
                <w:lang w:val="en-US" w:eastAsia="zh-CN"/>
              </w:rPr>
              <w:t>1年（具体起止时间以合同签订为准）</w:t>
            </w:r>
          </w:p>
        </w:tc>
      </w:tr>
    </w:tbl>
    <w:p w14:paraId="5F0F4A34">
      <w:pPr>
        <w:spacing w:line="360" w:lineRule="auto"/>
        <w:contextualSpacing/>
        <w:jc w:val="left"/>
        <w:rPr>
          <w:rFonts w:hint="eastAsia" w:ascii="宋体" w:hAnsi="宋体" w:eastAsia="宋体" w:cs="宋体"/>
          <w:color w:val="000000"/>
          <w:sz w:val="24"/>
        </w:rPr>
      </w:pPr>
      <w:r>
        <w:rPr>
          <w:rFonts w:hint="eastAsia" w:ascii="宋体" w:hAnsi="宋体" w:eastAsia="宋体" w:cs="宋体"/>
          <w:color w:val="000000"/>
          <w:sz w:val="24"/>
        </w:rPr>
        <w:t xml:space="preserve">注: </w:t>
      </w:r>
    </w:p>
    <w:p w14:paraId="4B232514">
      <w:pPr>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1.供应商的报价表必须加盖供应商公章</w:t>
      </w:r>
      <w:r>
        <w:rPr>
          <w:rFonts w:hint="eastAsia" w:ascii="宋体" w:hAnsi="宋体" w:eastAsia="宋体" w:cs="宋体"/>
          <w:b/>
          <w:color w:val="000000"/>
          <w:sz w:val="24"/>
        </w:rPr>
        <w:t>否则其响应文件按无效响应处理</w:t>
      </w:r>
      <w:r>
        <w:rPr>
          <w:rFonts w:hint="eastAsia" w:ascii="宋体" w:hAnsi="宋体" w:eastAsia="宋体" w:cs="宋体"/>
          <w:color w:val="000000"/>
          <w:sz w:val="24"/>
        </w:rPr>
        <w:t>。</w:t>
      </w:r>
    </w:p>
    <w:p w14:paraId="572339DA">
      <w:pPr>
        <w:spacing w:line="360" w:lineRule="auto"/>
        <w:ind w:firstLine="480" w:firstLineChars="200"/>
        <w:contextualSpacing/>
        <w:jc w:val="left"/>
        <w:rPr>
          <w:rFonts w:hint="eastAsia" w:ascii="宋体" w:hAnsi="宋体" w:eastAsia="宋体" w:cs="宋体"/>
          <w:b/>
          <w:color w:val="000000"/>
          <w:sz w:val="24"/>
        </w:rPr>
      </w:pPr>
      <w:r>
        <w:rPr>
          <w:rFonts w:hint="eastAsia" w:ascii="宋体" w:hAnsi="宋体" w:eastAsia="宋体" w:cs="宋体"/>
          <w:color w:val="000000"/>
          <w:sz w:val="24"/>
        </w:rPr>
        <w:t>2.报价一经涂改，应在涂改处加盖供应商公章</w:t>
      </w:r>
      <w:r>
        <w:rPr>
          <w:rFonts w:hint="eastAsia" w:ascii="宋体" w:hAnsi="宋体" w:eastAsia="宋体" w:cs="宋体"/>
          <w:color w:val="000000"/>
          <w:sz w:val="24"/>
          <w:lang w:eastAsia="zh-CN"/>
        </w:rPr>
        <w:t>，</w:t>
      </w:r>
      <w:r>
        <w:rPr>
          <w:rFonts w:hint="eastAsia" w:ascii="宋体" w:hAnsi="宋体" w:eastAsia="宋体" w:cs="宋体"/>
          <w:b/>
          <w:color w:val="000000"/>
          <w:sz w:val="24"/>
        </w:rPr>
        <w:t>否则其响应文件按无效响应处理。</w:t>
      </w:r>
    </w:p>
    <w:p w14:paraId="2082D188">
      <w:pPr>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3.报价应保留两位小数，</w:t>
      </w:r>
      <w:r>
        <w:rPr>
          <w:rFonts w:hint="eastAsia" w:ascii="宋体" w:hAnsi="宋体" w:eastAsia="宋体" w:cs="宋体"/>
          <w:b/>
          <w:color w:val="000000"/>
          <w:sz w:val="24"/>
        </w:rPr>
        <w:t>否则其响应文件按无效响应处理</w:t>
      </w:r>
      <w:r>
        <w:rPr>
          <w:rFonts w:hint="eastAsia" w:ascii="宋体" w:hAnsi="宋体" w:eastAsia="宋体" w:cs="宋体"/>
          <w:color w:val="000000"/>
          <w:sz w:val="24"/>
        </w:rPr>
        <w:t>。</w:t>
      </w:r>
    </w:p>
    <w:p w14:paraId="72C46E97">
      <w:pPr>
        <w:spacing w:line="360" w:lineRule="auto"/>
        <w:ind w:right="-817" w:rightChars="-389" w:firstLine="2640" w:firstLineChars="1100"/>
        <w:contextualSpacing/>
        <w:rPr>
          <w:rFonts w:hint="eastAsia" w:ascii="宋体" w:hAnsi="宋体" w:eastAsia="宋体" w:cs="宋体"/>
          <w:color w:val="000000"/>
          <w:sz w:val="24"/>
        </w:rPr>
      </w:pPr>
    </w:p>
    <w:p w14:paraId="6F0B8AA7">
      <w:pPr>
        <w:spacing w:line="360" w:lineRule="auto"/>
        <w:ind w:right="-817" w:rightChars="-389" w:firstLine="2640" w:firstLineChars="1100"/>
        <w:contextualSpacing/>
        <w:rPr>
          <w:rFonts w:hint="eastAsia" w:ascii="宋体" w:hAnsi="宋体" w:eastAsia="宋体" w:cs="宋体"/>
          <w:color w:val="000000"/>
          <w:sz w:val="24"/>
        </w:rPr>
      </w:pPr>
    </w:p>
    <w:p w14:paraId="26D73915">
      <w:pPr>
        <w:spacing w:line="360" w:lineRule="auto"/>
        <w:ind w:right="-817" w:rightChars="-389" w:firstLine="2640" w:firstLineChars="1100"/>
        <w:contextualSpacing/>
        <w:rPr>
          <w:rFonts w:hint="eastAsia" w:ascii="宋体" w:hAnsi="宋体" w:eastAsia="宋体" w:cs="宋体"/>
          <w:color w:val="000000"/>
          <w:sz w:val="24"/>
        </w:rPr>
      </w:pPr>
    </w:p>
    <w:p w14:paraId="7FC4D6A0">
      <w:pPr>
        <w:spacing w:line="360" w:lineRule="auto"/>
        <w:ind w:right="-817" w:rightChars="-389" w:firstLine="3960" w:firstLineChars="1650"/>
        <w:contextualSpacing/>
        <w:rPr>
          <w:rFonts w:hint="eastAsia" w:ascii="宋体" w:hAnsi="宋体" w:eastAsia="宋体" w:cs="宋体"/>
          <w:color w:val="000000"/>
          <w:sz w:val="24"/>
        </w:rPr>
      </w:pPr>
      <w:r>
        <w:rPr>
          <w:rFonts w:hint="eastAsia" w:ascii="宋体" w:hAnsi="宋体" w:eastAsia="宋体" w:cs="宋体"/>
          <w:color w:val="000000"/>
          <w:sz w:val="24"/>
        </w:rPr>
        <w:t xml:space="preserve">                    </w:t>
      </w:r>
    </w:p>
    <w:p w14:paraId="74770512">
      <w:pPr>
        <w:spacing w:line="360" w:lineRule="auto"/>
        <w:ind w:right="-817" w:rightChars="-389" w:firstLine="4080" w:firstLineChars="1700"/>
        <w:contextualSpacing/>
        <w:rPr>
          <w:rFonts w:hint="eastAsia" w:ascii="宋体" w:hAnsi="宋体" w:eastAsia="宋体" w:cs="宋体"/>
          <w:color w:val="000000"/>
          <w:sz w:val="24"/>
        </w:rPr>
      </w:pPr>
      <w:r>
        <w:rPr>
          <w:rFonts w:hint="eastAsia" w:ascii="宋体" w:hAnsi="宋体" w:eastAsia="宋体" w:cs="宋体"/>
          <w:color w:val="000000"/>
          <w:sz w:val="24"/>
        </w:rPr>
        <w:t xml:space="preserve">供应商（签章）：      </w:t>
      </w:r>
    </w:p>
    <w:p w14:paraId="2E491FD8">
      <w:pPr>
        <w:spacing w:line="360" w:lineRule="auto"/>
        <w:ind w:right="-817" w:rightChars="-389" w:firstLine="4080" w:firstLineChars="1700"/>
        <w:contextualSpacing/>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rPr>
        <w:t>日期：   年   月   日</w:t>
      </w:r>
      <w:bookmarkEnd w:id="0"/>
    </w:p>
    <w:p w14:paraId="31A8E61E">
      <w:pPr>
        <w:spacing w:line="360" w:lineRule="auto"/>
        <w:ind w:firstLine="480" w:firstLineChars="200"/>
        <w:rPr>
          <w:rFonts w:hint="eastAsia" w:ascii="宋体" w:hAnsi="宋体" w:eastAsia="宋体" w:cs="宋体"/>
          <w:color w:val="auto"/>
          <w:kern w:val="2"/>
          <w:sz w:val="24"/>
          <w:szCs w:val="24"/>
          <w:lang w:val="en-US" w:eastAsia="zh-CN" w:bidi="ar-SA"/>
        </w:rPr>
      </w:pPr>
    </w:p>
    <w:sectPr>
      <w:footerReference r:id="rId3" w:type="default"/>
      <w:pgSz w:w="11906" w:h="16838"/>
      <w:pgMar w:top="820" w:right="1797" w:bottom="9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78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74EC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274EC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64C5E"/>
    <w:multiLevelType w:val="singleLevel"/>
    <w:tmpl w:val="9B864C5E"/>
    <w:lvl w:ilvl="0" w:tentative="0">
      <w:start w:val="1"/>
      <w:numFmt w:val="decimal"/>
      <w:pStyle w:val="5"/>
      <w:lvlText w:val="%1."/>
      <w:lvlJc w:val="left"/>
      <w:pPr>
        <w:tabs>
          <w:tab w:val="left" w:pos="360"/>
        </w:tabs>
        <w:ind w:left="360" w:hanging="360"/>
      </w:pPr>
    </w:lvl>
  </w:abstractNum>
  <w:abstractNum w:abstractNumId="1">
    <w:nsid w:val="093450B5"/>
    <w:multiLevelType w:val="singleLevel"/>
    <w:tmpl w:val="093450B5"/>
    <w:lvl w:ilvl="0" w:tentative="0">
      <w:start w:val="1"/>
      <w:numFmt w:val="decimal"/>
      <w:suff w:val="nothing"/>
      <w:lvlText w:val="（%1）"/>
      <w:lvlJc w:val="left"/>
    </w:lvl>
  </w:abstractNum>
  <w:abstractNum w:abstractNumId="2">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DA0MDlmZmJhNjQ4YjNiODE4YmU1MDI0ODE1YjgifQ=="/>
  </w:docVars>
  <w:rsids>
    <w:rsidRoot w:val="5A3F751D"/>
    <w:rsid w:val="018F38F6"/>
    <w:rsid w:val="04E45813"/>
    <w:rsid w:val="050531F4"/>
    <w:rsid w:val="055E6E53"/>
    <w:rsid w:val="05790336"/>
    <w:rsid w:val="067E0BBE"/>
    <w:rsid w:val="0684105D"/>
    <w:rsid w:val="069C50F1"/>
    <w:rsid w:val="06A62718"/>
    <w:rsid w:val="072916E2"/>
    <w:rsid w:val="0734173C"/>
    <w:rsid w:val="074240D0"/>
    <w:rsid w:val="080953AA"/>
    <w:rsid w:val="08512C9F"/>
    <w:rsid w:val="092F1C11"/>
    <w:rsid w:val="09A03FC2"/>
    <w:rsid w:val="0DE417ED"/>
    <w:rsid w:val="0E2D3866"/>
    <w:rsid w:val="0EF4796D"/>
    <w:rsid w:val="0F655282"/>
    <w:rsid w:val="0FA423B1"/>
    <w:rsid w:val="10667F1C"/>
    <w:rsid w:val="11131E71"/>
    <w:rsid w:val="114F61E9"/>
    <w:rsid w:val="1368553F"/>
    <w:rsid w:val="13CE1647"/>
    <w:rsid w:val="13DB3D64"/>
    <w:rsid w:val="146D0B1E"/>
    <w:rsid w:val="178B0D94"/>
    <w:rsid w:val="17957572"/>
    <w:rsid w:val="17AF0882"/>
    <w:rsid w:val="186A4132"/>
    <w:rsid w:val="18B85D9C"/>
    <w:rsid w:val="18BF5A03"/>
    <w:rsid w:val="18C179CD"/>
    <w:rsid w:val="1AC47579"/>
    <w:rsid w:val="1BCC3399"/>
    <w:rsid w:val="1C073A38"/>
    <w:rsid w:val="1C177F56"/>
    <w:rsid w:val="1C8138C9"/>
    <w:rsid w:val="1C8B5906"/>
    <w:rsid w:val="1E6D00FB"/>
    <w:rsid w:val="1F51312D"/>
    <w:rsid w:val="1FA60737"/>
    <w:rsid w:val="1FC956D4"/>
    <w:rsid w:val="204C78C3"/>
    <w:rsid w:val="20B70241"/>
    <w:rsid w:val="20CE00EF"/>
    <w:rsid w:val="25AD37B3"/>
    <w:rsid w:val="2879265E"/>
    <w:rsid w:val="28B65451"/>
    <w:rsid w:val="296E7C07"/>
    <w:rsid w:val="299627B0"/>
    <w:rsid w:val="2B546836"/>
    <w:rsid w:val="2B98409C"/>
    <w:rsid w:val="2BA74026"/>
    <w:rsid w:val="2C792640"/>
    <w:rsid w:val="2D1934DC"/>
    <w:rsid w:val="2E3C4CA4"/>
    <w:rsid w:val="30676426"/>
    <w:rsid w:val="30A661AC"/>
    <w:rsid w:val="30FA44EA"/>
    <w:rsid w:val="32AE58F9"/>
    <w:rsid w:val="33010E09"/>
    <w:rsid w:val="338830BA"/>
    <w:rsid w:val="3504046E"/>
    <w:rsid w:val="37C4498C"/>
    <w:rsid w:val="398919E9"/>
    <w:rsid w:val="3C793F97"/>
    <w:rsid w:val="3CAA70B7"/>
    <w:rsid w:val="3CC95186"/>
    <w:rsid w:val="3CD74F51"/>
    <w:rsid w:val="3D4972FF"/>
    <w:rsid w:val="3D874491"/>
    <w:rsid w:val="4171065E"/>
    <w:rsid w:val="42310E70"/>
    <w:rsid w:val="424566C9"/>
    <w:rsid w:val="42975AAB"/>
    <w:rsid w:val="429A3325"/>
    <w:rsid w:val="43882A36"/>
    <w:rsid w:val="44C602C6"/>
    <w:rsid w:val="467852BF"/>
    <w:rsid w:val="46E26BDC"/>
    <w:rsid w:val="46EA2912"/>
    <w:rsid w:val="48D61225"/>
    <w:rsid w:val="4B0F6DC8"/>
    <w:rsid w:val="4D2A1D88"/>
    <w:rsid w:val="4DE120BE"/>
    <w:rsid w:val="4F102BE2"/>
    <w:rsid w:val="4F423342"/>
    <w:rsid w:val="4F773CEF"/>
    <w:rsid w:val="508433D5"/>
    <w:rsid w:val="50DA74C8"/>
    <w:rsid w:val="50DE21C3"/>
    <w:rsid w:val="53397B4D"/>
    <w:rsid w:val="549F28CA"/>
    <w:rsid w:val="54E23EFE"/>
    <w:rsid w:val="5577614A"/>
    <w:rsid w:val="569864A3"/>
    <w:rsid w:val="57823F3E"/>
    <w:rsid w:val="5783023E"/>
    <w:rsid w:val="5A0A0C84"/>
    <w:rsid w:val="5A3F751D"/>
    <w:rsid w:val="5BDB3ECE"/>
    <w:rsid w:val="5CE609FA"/>
    <w:rsid w:val="5E1875E1"/>
    <w:rsid w:val="6002296F"/>
    <w:rsid w:val="6184058B"/>
    <w:rsid w:val="62DE0FD8"/>
    <w:rsid w:val="632830D8"/>
    <w:rsid w:val="64835103"/>
    <w:rsid w:val="6545060B"/>
    <w:rsid w:val="65725B42"/>
    <w:rsid w:val="65B45650"/>
    <w:rsid w:val="69730251"/>
    <w:rsid w:val="6A51271E"/>
    <w:rsid w:val="6A907BF0"/>
    <w:rsid w:val="6ACD38A3"/>
    <w:rsid w:val="6B071A62"/>
    <w:rsid w:val="6B382D3A"/>
    <w:rsid w:val="6CC56A5C"/>
    <w:rsid w:val="6D046757"/>
    <w:rsid w:val="6FC80BA5"/>
    <w:rsid w:val="6FD956D8"/>
    <w:rsid w:val="708F2934"/>
    <w:rsid w:val="71DB0960"/>
    <w:rsid w:val="729C7FB4"/>
    <w:rsid w:val="736F3422"/>
    <w:rsid w:val="77775ED1"/>
    <w:rsid w:val="77B419E0"/>
    <w:rsid w:val="79393B8B"/>
    <w:rsid w:val="7B5C3AC4"/>
    <w:rsid w:val="7FF6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numPr>
        <w:ilvl w:val="0"/>
        <w:numId w:val="1"/>
      </w:numPr>
      <w:spacing w:beforeLines="0" w:beforeAutospacing="0" w:afterLines="0" w:afterAutospacing="0" w:line="360" w:lineRule="auto"/>
      <w:outlineLvl w:val="0"/>
    </w:pPr>
    <w:rPr>
      <w:rFonts w:ascii="宋体" w:hAnsi="宋体" w:eastAsia="宋体"/>
      <w:b/>
      <w:kern w:val="44"/>
      <w:sz w:val="32"/>
    </w:rPr>
  </w:style>
  <w:style w:type="paragraph" w:styleId="3">
    <w:name w:val="heading 2"/>
    <w:basedOn w:val="1"/>
    <w:next w:val="1"/>
    <w:autoRedefine/>
    <w:qFormat/>
    <w:uiPriority w:val="9"/>
    <w:pPr>
      <w:keepNext/>
      <w:keepLines/>
      <w:numPr>
        <w:ilvl w:val="1"/>
        <w:numId w:val="1"/>
      </w:numPr>
      <w:outlineLvl w:val="1"/>
    </w:pPr>
    <w:rPr>
      <w:rFonts w:ascii="宋体" w:hAnsi="宋体" w:eastAsia="宋体" w:cs="Times New Roman"/>
      <w:b/>
      <w:sz w:val="30"/>
      <w:szCs w:val="22"/>
    </w:rPr>
  </w:style>
  <w:style w:type="paragraph" w:styleId="4">
    <w:name w:val="heading 3"/>
    <w:basedOn w:val="1"/>
    <w:next w:val="1"/>
    <w:autoRedefine/>
    <w:qFormat/>
    <w:uiPriority w:val="9"/>
    <w:pPr>
      <w:keepNext/>
      <w:keepLines/>
      <w:numPr>
        <w:ilvl w:val="2"/>
        <w:numId w:val="1"/>
      </w:numPr>
      <w:outlineLvl w:val="2"/>
    </w:pPr>
    <w:rPr>
      <w:rFonts w:ascii="宋体" w:hAnsi="宋体" w:eastAsia="宋体" w:cs="Times New Roman"/>
      <w:b/>
      <w:sz w:val="28"/>
      <w:szCs w:val="2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Body Text"/>
    <w:basedOn w:val="1"/>
    <w:next w:val="7"/>
    <w:semiHidden/>
    <w:qFormat/>
    <w:uiPriority w:val="0"/>
    <w:rPr>
      <w:rFonts w:ascii="宋体" w:hAnsi="宋体" w:eastAsia="宋体" w:cs="宋体"/>
      <w:sz w:val="24"/>
      <w:szCs w:val="24"/>
      <w:lang w:val="en-US" w:eastAsia="en-US" w:bidi="ar-SA"/>
    </w:rPr>
  </w:style>
  <w:style w:type="paragraph" w:styleId="7">
    <w:name w:val="Body Text 2"/>
    <w:basedOn w:val="1"/>
    <w:qFormat/>
    <w:uiPriority w:val="0"/>
    <w:pPr>
      <w:spacing w:after="120" w:line="480" w:lineRule="auto"/>
    </w:pPr>
    <w:rPr>
      <w:kern w:val="0"/>
      <w:sz w:val="20"/>
      <w:szCs w:val="24"/>
    </w:rPr>
  </w:style>
  <w:style w:type="paragraph" w:styleId="8">
    <w:name w:val="Plain Text"/>
    <w:basedOn w:val="1"/>
    <w:autoRedefine/>
    <w:qFormat/>
    <w:uiPriority w:val="0"/>
    <w:rPr>
      <w:rFonts w:ascii="宋体" w:hAnsi="Courier New"/>
      <w:kern w:val="0"/>
      <w:sz w:val="20"/>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Body Text First Indent"/>
    <w:basedOn w:val="6"/>
    <w:qFormat/>
    <w:uiPriority w:val="0"/>
    <w:pPr>
      <w:ind w:firstLine="420" w:firstLineChars="100"/>
    </w:pPr>
  </w:style>
  <w:style w:type="character" w:styleId="13">
    <w:name w:val="Hyperlink"/>
    <w:autoRedefine/>
    <w:qFormat/>
    <w:uiPriority w:val="0"/>
    <w:rPr>
      <w:color w:val="0000FF"/>
      <w:u w:val="single"/>
    </w:rPr>
  </w:style>
  <w:style w:type="character" w:customStyle="1" w:styleId="14">
    <w:name w:val="font11"/>
    <w:basedOn w:val="12"/>
    <w:autoRedefine/>
    <w:qFormat/>
    <w:uiPriority w:val="0"/>
    <w:rPr>
      <w:rFonts w:hint="eastAsia" w:ascii="宋体" w:hAnsi="宋体" w:eastAsia="宋体" w:cs="宋体"/>
      <w:b/>
      <w:bCs/>
      <w:color w:val="000000"/>
      <w:sz w:val="20"/>
      <w:szCs w:val="20"/>
      <w:u w:val="none"/>
    </w:rPr>
  </w:style>
  <w:style w:type="character" w:customStyle="1" w:styleId="15">
    <w:name w:val="font31"/>
    <w:basedOn w:val="12"/>
    <w:autoRedefine/>
    <w:qFormat/>
    <w:uiPriority w:val="0"/>
    <w:rPr>
      <w:rFonts w:hint="eastAsia" w:ascii="宋体" w:hAnsi="宋体" w:eastAsia="宋体" w:cs="宋体"/>
      <w:color w:val="000000"/>
      <w:sz w:val="22"/>
      <w:szCs w:val="22"/>
      <w:u w:val="none"/>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5187</Words>
  <Characters>5285</Characters>
  <Lines>0</Lines>
  <Paragraphs>0</Paragraphs>
  <TotalTime>0</TotalTime>
  <ScaleCrop>false</ScaleCrop>
  <LinksUpToDate>false</LinksUpToDate>
  <CharactersWithSpaces>5294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2023-07-13T10:04:00Z</dcterms:created>
  <dc:creator>迈克</dc:creator>
  <cp:lastModifiedBy>迈克</cp:lastModifiedBy>
  <dcterms:modified xsi:type="dcterms:W3CDTF">2025-08-11T08:29:07Z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8ED5AB6CCA6D41DB92FED3A740D0D36C_11</vt:lpwstr>
  </property>
  <property fmtid="{D5CDD505-2E9C-101B-9397-08002B2CF9AE}" pid="4" name="KSOTemplateDocerSaveRecord">
    <vt:lpwstr>eyJoZGlkIjoiMGU0ODA0MDlmZmJhNjQ4YjNiODE4YmU1MDI0ODE1YjgiLCJ1c2VySWQiOiIyNDAyNTM2ODUifQ==</vt:lpwstr>
  </property>
</Properties>
</file>