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B6FD">
      <w:pPr>
        <w:pStyle w:val="4"/>
        <w:spacing w:before="162" w:line="224" w:lineRule="auto"/>
        <w:jc w:val="center"/>
        <w:rPr>
          <w:rFonts w:hint="eastAsia" w:ascii="仿宋" w:hAnsi="仿宋" w:eastAsia="仿宋" w:cs="仿宋"/>
          <w:b/>
          <w:bCs/>
          <w:spacing w:val="5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铁架床采购需求明细表</w:t>
      </w:r>
    </w:p>
    <w:p w14:paraId="267803B2">
      <w:pPr>
        <w:pStyle w:val="4"/>
        <w:spacing w:before="162" w:line="224" w:lineRule="auto"/>
        <w:ind w:left="3311"/>
        <w:rPr>
          <w:rFonts w:hint="eastAsia" w:ascii="仿宋" w:hAnsi="仿宋" w:eastAsia="仿宋" w:cs="仿宋"/>
          <w:b/>
          <w:bCs/>
          <w:spacing w:val="5"/>
          <w:sz w:val="31"/>
          <w:szCs w:val="31"/>
        </w:rPr>
      </w:pPr>
    </w:p>
    <w:p w14:paraId="2AA2495A">
      <w:pPr>
        <w:pStyle w:val="4"/>
        <w:spacing w:before="78" w:line="219" w:lineRule="auto"/>
        <w:ind w:left="12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4"/>
        </w:rPr>
        <w:t>一、采购内容：</w:t>
      </w:r>
    </w:p>
    <w:p w14:paraId="30B29014">
      <w:pPr>
        <w:spacing w:line="135" w:lineRule="auto"/>
        <w:rPr>
          <w:rFonts w:hint="eastAsia" w:ascii="仿宋" w:hAnsi="仿宋" w:eastAsia="仿宋" w:cs="仿宋"/>
          <w:sz w:val="2"/>
        </w:rPr>
      </w:pPr>
    </w:p>
    <w:tbl>
      <w:tblPr>
        <w:tblStyle w:val="10"/>
        <w:tblW w:w="9193" w:type="dxa"/>
        <w:tblInd w:w="-2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538"/>
        <w:gridCol w:w="2233"/>
        <w:gridCol w:w="1021"/>
        <w:gridCol w:w="1343"/>
        <w:gridCol w:w="1921"/>
      </w:tblGrid>
      <w:tr w14:paraId="6355C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37" w:type="dxa"/>
            <w:vAlign w:val="top"/>
          </w:tcPr>
          <w:p w14:paraId="25D18E47">
            <w:pPr>
              <w:spacing w:before="225" w:line="221" w:lineRule="auto"/>
              <w:ind w:left="2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538" w:type="dxa"/>
            <w:vAlign w:val="top"/>
          </w:tcPr>
          <w:p w14:paraId="5E22A48B">
            <w:pPr>
              <w:spacing w:before="226" w:line="219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产品名称</w:t>
            </w:r>
          </w:p>
        </w:tc>
        <w:tc>
          <w:tcPr>
            <w:tcW w:w="2233" w:type="dxa"/>
            <w:vAlign w:val="top"/>
          </w:tcPr>
          <w:p w14:paraId="342B2E6A">
            <w:pPr>
              <w:spacing w:before="226" w:line="219" w:lineRule="auto"/>
              <w:ind w:left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品牌型号</w:t>
            </w:r>
          </w:p>
        </w:tc>
        <w:tc>
          <w:tcPr>
            <w:tcW w:w="1021" w:type="dxa"/>
            <w:vAlign w:val="top"/>
          </w:tcPr>
          <w:p w14:paraId="1913FC3E">
            <w:pPr>
              <w:spacing w:before="226" w:line="219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343" w:type="dxa"/>
            <w:vAlign w:val="top"/>
          </w:tcPr>
          <w:p w14:paraId="50C606CE">
            <w:pPr>
              <w:spacing w:before="225" w:line="220" w:lineRule="auto"/>
              <w:ind w:left="43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1921" w:type="dxa"/>
            <w:vAlign w:val="top"/>
          </w:tcPr>
          <w:p w14:paraId="78FECBFC">
            <w:pPr>
              <w:spacing w:before="225" w:line="221" w:lineRule="auto"/>
              <w:ind w:left="5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6D95D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137" w:type="dxa"/>
            <w:vAlign w:val="top"/>
          </w:tcPr>
          <w:p w14:paraId="54C425D3">
            <w:pPr>
              <w:spacing w:before="78" w:line="241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599FA1">
            <w:pPr>
              <w:spacing w:before="78" w:line="241" w:lineRule="auto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38" w:type="dxa"/>
            <w:vAlign w:val="top"/>
          </w:tcPr>
          <w:p w14:paraId="04AEA3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CDAF9C">
            <w:pPr>
              <w:spacing w:before="182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学生铁架床</w:t>
            </w:r>
          </w:p>
        </w:tc>
        <w:tc>
          <w:tcPr>
            <w:tcW w:w="2233" w:type="dxa"/>
            <w:vAlign w:val="top"/>
          </w:tcPr>
          <w:p w14:paraId="620E24D0">
            <w:pPr>
              <w:spacing w:before="78" w:line="218" w:lineRule="auto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</w:p>
          <w:p w14:paraId="1586925E">
            <w:pPr>
              <w:spacing w:before="78"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悦语诚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JX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YYC203</w:t>
            </w:r>
          </w:p>
        </w:tc>
        <w:tc>
          <w:tcPr>
            <w:tcW w:w="1021" w:type="dxa"/>
            <w:vAlign w:val="top"/>
          </w:tcPr>
          <w:p w14:paraId="3BD9C0EC">
            <w:pPr>
              <w:spacing w:before="78"/>
              <w:jc w:val="both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</w:p>
          <w:p w14:paraId="314B9D97">
            <w:pPr>
              <w:spacing w:before="7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343" w:type="dxa"/>
            <w:vAlign w:val="top"/>
          </w:tcPr>
          <w:p w14:paraId="00080C98">
            <w:pPr>
              <w:spacing w:before="78" w:line="219" w:lineRule="auto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</w:p>
          <w:p w14:paraId="554AB877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921" w:type="dxa"/>
            <w:vAlign w:val="top"/>
          </w:tcPr>
          <w:p w14:paraId="3219FE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CD3124">
            <w:pPr>
              <w:spacing w:before="182" w:line="220" w:lineRule="auto"/>
              <w:ind w:left="2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FF4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193" w:type="dxa"/>
            <w:gridSpan w:val="6"/>
            <w:vAlign w:val="top"/>
          </w:tcPr>
          <w:p w14:paraId="608F6898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商务要求：</w:t>
            </w:r>
          </w:p>
          <w:p w14:paraId="7725D9F1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求中带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号的内容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条款为实质性要求，必须全部满足，否则，视为实质不响应文件要求，其竞标无效，采购人可以拒绝签订合同并追究供应商责任。</w:t>
            </w:r>
          </w:p>
          <w:p w14:paraId="4ED41F57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（1）产品要求：竞标产品必须为全新厂商原装产品，成交供应商所提供的产品、资料等要满足相应标准。</w:t>
            </w:r>
          </w:p>
          <w:p w14:paraId="364A34AC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（2）本项目供应商报价仅限推荐品牌及型号，不接受推荐品牌及型号外的产品，供应商不得以任何理由更改设备的品牌、配置，配置必须是原厂出厂标配，否则报价将无效。</w:t>
            </w:r>
          </w:p>
          <w:p w14:paraId="3BC4A88D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服务响应保障：按国家有关产品“三包”规定执行“三包”，免费送货到采购人指定地点，免费安装调试。免费保修期为1年（免费保修期从所有货物验收合格之日起计算），免费保修期内提供免费上门维修服务（含免费更换零部件、免人工费），并提供终身维修维护服务。如果需要更换配件的，所更换的配件应当为原供货产品品牌、类型相一致或者是同等档次的替代品，后者需征得用户方管理人员同意；若采购人发现产品存在制造上的缺陷，投标人应负责采取补救措施，若该缺陷导致产品存在安全隐患或不能使用的，投标人应负责免费更换整件产品。</w:t>
            </w:r>
          </w:p>
          <w:p w14:paraId="135B746C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4.本次采购方式为反向竞价，所有产品均指定“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lang w:val="en-US" w:eastAsia="zh-CN"/>
              </w:rPr>
              <w:t>悦语诚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”品牌和型号，为确保采购人的合法权益，验收时，要求中标供应商提供所投品牌产品的商品合格证，如中标供应商未提供或者提供不全，则视为虚假应标，采购人有权追究中标人相应的法律责任。</w:t>
            </w:r>
          </w:p>
          <w:p w14:paraId="44F44798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5.采购人有权要求进行样机抽检(如产生检测费用的由中标人承担)，以确认功能的真实有效性；如中标人提供的产品和招标文件要求不符的,以虚假应标处理，采购人不予验收，并追究中标人相应的法律责任。</w:t>
            </w:r>
          </w:p>
          <w:p w14:paraId="575E9F85">
            <w:pPr>
              <w:spacing w:before="182" w:line="2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验收标准：成交供应商应提供货物的有效检验文件，经采购人认可后，与合同的性能指标一起作为货物验收标准，采购人可对货物进行复检与性能测试，成交供应商应派出有经验、高水平的技术人员协助此项工作。采购人对货物验收合格后，签署验收合格证书，验收标准应符合中国有关的国家、地方、行业标准。</w:t>
            </w:r>
          </w:p>
        </w:tc>
      </w:tr>
    </w:tbl>
    <w:p w14:paraId="520ACF8C">
      <w:pPr>
        <w:pStyle w:val="4"/>
        <w:spacing w:before="78" w:line="219" w:lineRule="auto"/>
        <w:ind w:left="124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226880E7">
      <w:pPr>
        <w:pStyle w:val="4"/>
        <w:spacing w:before="78" w:line="219" w:lineRule="auto"/>
        <w:ind w:left="124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198F3C67">
      <w:pPr>
        <w:pStyle w:val="4"/>
        <w:spacing w:before="78" w:line="219" w:lineRule="auto"/>
        <w:ind w:left="124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1DB3B382">
      <w:pPr>
        <w:pStyle w:val="4"/>
        <w:spacing w:before="78" w:line="219" w:lineRule="auto"/>
        <w:ind w:left="124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76360033">
      <w:pPr>
        <w:pStyle w:val="4"/>
        <w:spacing w:before="78" w:line="219" w:lineRule="auto"/>
        <w:ind w:left="124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0903B29A">
      <w:pPr>
        <w:pStyle w:val="4"/>
        <w:spacing w:before="78" w:line="219" w:lineRule="auto"/>
        <w:ind w:left="124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4B2B4193">
      <w:pPr>
        <w:pStyle w:val="4"/>
        <w:spacing w:before="78" w:line="219" w:lineRule="auto"/>
        <w:ind w:left="12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二、技术参数及要求：</w:t>
      </w:r>
    </w:p>
    <w:p w14:paraId="44C16F97">
      <w:pPr>
        <w:rPr>
          <w:rFonts w:hint="eastAsia" w:ascii="仿宋" w:hAnsi="仿宋" w:eastAsia="仿宋" w:cs="仿宋"/>
          <w:szCs w:val="21"/>
        </w:rPr>
      </w:pPr>
    </w:p>
    <w:p w14:paraId="2A6F0F71">
      <w:pPr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</w:pPr>
    </w:p>
    <w:p w14:paraId="584AB9B9">
      <w:pPr>
        <w:pStyle w:val="4"/>
        <w:spacing w:before="78" w:line="219" w:lineRule="auto"/>
        <w:ind w:left="2708"/>
        <w:outlineLvl w:val="0"/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学生铁架床技术参数说明</w:t>
      </w:r>
    </w:p>
    <w:p w14:paraId="23D63DAD">
      <w:pPr>
        <w:rPr>
          <w:rFonts w:hint="eastAsia" w:ascii="新宋体" w:hAnsi="新宋体" w:eastAsia="新宋体" w:cs="新宋体"/>
          <w:sz w:val="28"/>
          <w:szCs w:val="28"/>
        </w:rPr>
      </w:pPr>
    </w:p>
    <w:p w14:paraId="6DE131FA">
      <w:pPr>
        <w:rPr>
          <w:rFonts w:hint="eastAsia" w:ascii="新宋体" w:hAnsi="新宋体" w:eastAsia="新宋体" w:cs="新宋体"/>
          <w:szCs w:val="21"/>
        </w:rPr>
      </w:pPr>
    </w:p>
    <w:p w14:paraId="74FA69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铁架床：包含（床下柜+鞋架）</w:t>
      </w:r>
    </w:p>
    <w:p w14:paraId="04E215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一、外观整体规格：2000mm×900mm×1800mm(长×宽×高)，上下床铺面间的层间净高为1000mm。</w:t>
      </w:r>
    </w:p>
    <w:p w14:paraId="44E9EA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二、床架部分：</w:t>
      </w:r>
    </w:p>
    <w:p w14:paraId="46A5F2A5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1.立柱:采用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0mm*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0mm*1.2mm冷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轧钢管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 w14:paraId="5C186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 立柱横担:采用优质冷轧钢管30mm*20mm*1.0mm扁管；</w:t>
      </w:r>
    </w:p>
    <w:p w14:paraId="37BE31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 床梃（床母）：①采用≥50mm*25mm*1.2mm冷轧钢管，</w:t>
      </w:r>
    </w:p>
    <w:p w14:paraId="3F9B1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 床梃（床母）横担：采用优质冷轧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钢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管30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mm*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mm*1.0mm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扁管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。上床铺床梃（床母）横担不少于4根，下床铺床梃（床母）横担不少于4根。</w:t>
      </w:r>
    </w:p>
    <w:p w14:paraId="7B676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. 安全护栏：安全栏板规格：≥1200mm×300mm（长×高），安全栏竖管不少于3根，采用优质冷轧钢管直径不小于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mm壁厚不小于1.0mm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圆管。安全栏板与主柱距离（缺口长度）为500mm。</w:t>
      </w:r>
    </w:p>
    <w:p w14:paraId="0A3FD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.床梯： 采用优质冷轧钢管25mm×25mm*1.2 mm，床梯宽度为300mm，脚踏数量不少于3根。</w:t>
      </w:r>
    </w:p>
    <w:p w14:paraId="3D0570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.整体结构：①整张床架采用卡扣式连接，不得采用螺丝连接， ②连接扣件经冲床冲压而成，连接卡口不少于三个，成型后卡梢部位钢材厚度为1.5mm,卡梢总宽度不小于20mm；卡梢进深不少于15mm，床梃（床母）扣件规格不小于205 mm×70mm。</w:t>
      </w:r>
    </w:p>
    <w:p w14:paraId="65ED06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.脚套：床脚和床主柱顶端的脚套为内嵌式黑色脚套，采用超高分子量PE材料制作，壁厚不小于2mm,底厚不小于5mm；进深不小于25mm，加强筋不少于5圈, 加强筋厚度不小于1mm，底面规格不小于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2mm×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2mm,脚套与床脚（或主柱顶端）应结合紧密，牢靠，不脱落。</w:t>
      </w:r>
    </w:p>
    <w:p w14:paraId="3A2615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.床板：①采用厚度不小于12mm的单面光杉木板；每块床板的拼装板料数量最多不得超过8块；固定横条不少于3条，规格为30mm×20mm的实木方料。</w:t>
      </w:r>
    </w:p>
    <w:p w14:paraId="6AF5C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en-US"/>
        </w:rPr>
        <w:t>50*50方管、25*50方管、20*30方管、25*25方管应符合GB/T 1741-2020《漆膜耐霉菌性测定法》、 QB/T 3832-1999 《轻工产品金属镀层腐蚀试验结果的评价》、QB/T 3827-1999《 轻工产品金属镀层和化学处理层的耐腐蚀试验方法 乙酸盐雾试验(ASS)法》的检测标准，检测内容至少包括：乙酸盐雾试验（≥1200h）耐腐蚀等级10级、保护等级10级；耐霉菌性等级（黑曲霉、黄曲霉、腊叶芽枝霉、宛氏拟青霉、桔青霉、绿色木霉、出芽短梗霉、链格孢）0级或1级；涂层中可溶性重金属：可溶性铅≤5mg/kg、可溶性汞≤5mg/kg、可溶性铬≤5mg/kg、可溶性镉≤5mg/kg；金属喷漆（塑）涂层：硬度≥4H，冲击高度400mm无剥落、裂纹、皱纹，附着力0级；拉伸试验：抗拉强度Rm≥300MPa、断后伸长率A50mm≤35%、规定塑性延伸强度Rp0.2≥300MPa。</w:t>
      </w:r>
    </w:p>
    <w:p w14:paraId="0A27DF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二、床下柜规格约：H400* W1800* D600mm。</w:t>
      </w:r>
    </w:p>
    <w:p w14:paraId="1759C2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1.基材：采用0.5mm优质冷轧钢板经剪切，冲压，折弯，焊接，装配而成。表面经防锈处理后静电粉末喷塑，锁具安全可靠，不易仿配。经久耐用，不易变形。</w:t>
      </w:r>
    </w:p>
    <w:p w14:paraId="7EC02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2.金属件须经酸洗→清洗→预处理→清洗→磷化→清洗→喷塑→固化→包装等工艺，产品表面应光滑平整，色泽均匀，无露底、无剥落、伤痕等,组装后的设备不准有影响外观和使用性能的永久变形。</w:t>
      </w:r>
    </w:p>
    <w:p w14:paraId="0677AC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3.柜体；分为左右2门，中间放置一层鞋架，柜门均配置明挂锁具及拉手，柜门板外部上方应设置信息卡框并固定，鞋架：采用25×25×1.2mm壁厚优质梯形压型钢管。</w:t>
      </w:r>
    </w:p>
    <w:p w14:paraId="0B086D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三、做工工艺流程及相关要求：</w:t>
      </w:r>
    </w:p>
    <w:p w14:paraId="2BB690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所有床的立柱、立柱横担、安全护栏、床梯都必须经过酸洗、磷化、除锈等工艺流程方可进行，烤漆工艺程序必须是烤漆喷塑不能有毒害气味气挥发、以免宿舍环境有污染，造成对人体伤害。</w:t>
      </w:r>
    </w:p>
    <w:p w14:paraId="4103ACDB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其他要求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第10项中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要求需提供带CMA或CNAS标识的抽样检测报告及检测报告发票的复印件进行佐证，检测报告中的佐证内容需完全符合上述第10项中内容描述。并提供检测报告的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全国认证认可信息公共服务平台（http://cx.cnca.cn）上查询的网页截图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报价时必须提交检测报告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未提供或不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符合要求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的，将作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无效投标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文件处理。</w:t>
      </w:r>
    </w:p>
    <w:p w14:paraId="212A3CB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27A3C"/>
    <w:rsid w:val="0DE6245C"/>
    <w:rsid w:val="135E1EF6"/>
    <w:rsid w:val="17684151"/>
    <w:rsid w:val="1D682BD4"/>
    <w:rsid w:val="1DBD7CA2"/>
    <w:rsid w:val="36A2093B"/>
    <w:rsid w:val="3B927A3C"/>
    <w:rsid w:val="46C84F30"/>
    <w:rsid w:val="5AC8371E"/>
    <w:rsid w:val="655658D2"/>
    <w:rsid w:val="6A61012B"/>
    <w:rsid w:val="71F86874"/>
    <w:rsid w:val="737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Ђˎ̥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2173</Words>
  <Characters>2509</Characters>
  <Lines>0</Lines>
  <Paragraphs>0</Paragraphs>
  <TotalTime>0</TotalTime>
  <ScaleCrop>false</ScaleCrop>
  <LinksUpToDate>false</LinksUpToDate>
  <CharactersWithSpaces>2527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2025-06-14T09:59:00Z</dcterms:created>
  <dc:creator>奔跑</dc:creator>
  <cp:lastModifiedBy>WPS_1664439036</cp:lastModifiedBy>
  <dcterms:modified xsi:type="dcterms:W3CDTF">2025-06-23T00:53:59Z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54A5493F35444AC087C1C605A7E40BF7_13</vt:lpwstr>
  </property>
  <property fmtid="{D5CDD505-2E9C-101B-9397-08002B2CF9AE}" pid="4" name="KSOTemplateDocerSaveRecord">
    <vt:lpwstr>eyJoZGlkIjoiOWRjMDFjOTVhNmFiZTBlMDZhYWM3YzJkZWUzMmEzMDEiLCJ1c2VySWQiOiIxNDE3MTY0ODg0In0=</vt:lpwstr>
  </property>
</Properties>
</file>