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473"/>
        <w:gridCol w:w="177"/>
        <w:gridCol w:w="6091"/>
        <w:gridCol w:w="59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288" w:type="dxa"/>
            <w:gridSpan w:val="6"/>
            <w:vAlign w:val="center"/>
          </w:tcPr>
          <w:p>
            <w:pPr>
              <w:widowControl/>
              <w:jc w:val="center"/>
              <w:rPr>
                <w:rFonts w:hint="eastAsia" w:ascii="宋体" w:hAnsi="宋体" w:cs="宋体"/>
                <w:b/>
                <w:bCs/>
                <w:color w:val="000000"/>
                <w:kern w:val="0"/>
                <w:sz w:val="20"/>
                <w:szCs w:val="20"/>
              </w:rPr>
            </w:pPr>
            <w:r>
              <w:rPr>
                <w:rFonts w:hint="eastAsia" w:ascii="宋体" w:hAnsi="宋体" w:cs="宋体"/>
                <w:b/>
                <w:bCs/>
                <w:sz w:val="44"/>
                <w:szCs w:val="44"/>
              </w:rPr>
              <w:t>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288" w:type="dxa"/>
            <w:gridSpan w:val="6"/>
            <w:vAlign w:val="center"/>
          </w:tcPr>
          <w:p>
            <w:pPr>
              <w:widowControl/>
              <w:rPr>
                <w:rFonts w:hint="eastAsia" w:ascii="宋体" w:hAnsi="宋体" w:cs="宋体"/>
                <w:b/>
                <w:bCs/>
                <w:color w:val="000000"/>
                <w:kern w:val="0"/>
                <w:sz w:val="20"/>
                <w:szCs w:val="20"/>
              </w:rPr>
            </w:pPr>
            <w:r>
              <w:rPr>
                <w:rFonts w:hint="eastAsia" w:ascii="宋体" w:hAnsi="宋体" w:cs="宋体"/>
                <w:b/>
                <w:bCs/>
                <w:sz w:val="30"/>
                <w:szCs w:val="30"/>
              </w:rPr>
              <w:t>一、技术需求表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84"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473"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c>
          <w:tcPr>
            <w:tcW w:w="6268" w:type="dxa"/>
            <w:gridSpan w:val="2"/>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技术参数</w:t>
            </w:r>
          </w:p>
        </w:tc>
        <w:tc>
          <w:tcPr>
            <w:tcW w:w="593"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70"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Align w:val="center"/>
          </w:tcPr>
          <w:p>
            <w:pPr>
              <w:widowControl/>
              <w:jc w:val="center"/>
              <w:rPr>
                <w:rFonts w:ascii="Calibri" w:hAnsi="Calibri" w:eastAsia="等线" w:cs="Calibri"/>
                <w:color w:val="000000"/>
                <w:kern w:val="0"/>
                <w:szCs w:val="21"/>
              </w:rPr>
            </w:pPr>
            <w:r>
              <w:rPr>
                <w:rFonts w:ascii="Calibri" w:hAnsi="Calibri" w:eastAsia="等线" w:cs="Calibri"/>
                <w:color w:val="000000"/>
                <w:kern w:val="0"/>
                <w:szCs w:val="21"/>
              </w:rPr>
              <w:t>1</w:t>
            </w:r>
          </w:p>
        </w:tc>
        <w:tc>
          <w:tcPr>
            <w:tcW w:w="1473" w:type="dxa"/>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传祺M8大师尊贵版</w:t>
            </w:r>
          </w:p>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指导价：22.98万元</w:t>
            </w:r>
          </w:p>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优惠：2.8万元</w:t>
            </w:r>
          </w:p>
        </w:tc>
        <w:tc>
          <w:tcPr>
            <w:tcW w:w="6268" w:type="dxa"/>
            <w:gridSpan w:val="2"/>
            <w:vAlign w:val="center"/>
          </w:tcPr>
          <w:p>
            <w:pPr>
              <w:rPr>
                <w:rFonts w:hint="eastAsia"/>
                <w:lang w:val="en-US" w:eastAsia="zh-CN"/>
              </w:rPr>
            </w:pPr>
            <w:r>
              <w:rPr>
                <w:rFonts w:hint="eastAsia"/>
                <w:lang w:val="en-US" w:eastAsia="zh-CN"/>
              </w:rPr>
              <w:t>长</w:t>
            </w:r>
            <w:r>
              <w:rPr>
                <w:rFonts w:hint="default" w:eastAsia="宋体"/>
                <w:lang w:val="en-US" w:eastAsia="zh-CN"/>
              </w:rPr>
              <w:t>5212 ×</w:t>
            </w:r>
            <w:r>
              <w:rPr>
                <w:rFonts w:hint="eastAsia"/>
                <w:lang w:val="en-US" w:eastAsia="zh-CN"/>
              </w:rPr>
              <w:t>宽</w:t>
            </w:r>
            <w:r>
              <w:rPr>
                <w:rFonts w:hint="default" w:eastAsia="宋体"/>
                <w:lang w:val="en-US" w:eastAsia="zh-CN"/>
              </w:rPr>
              <w:t xml:space="preserve"> 1893 ×</w:t>
            </w:r>
            <w:r>
              <w:rPr>
                <w:rFonts w:hint="eastAsia"/>
                <w:lang w:val="en-US" w:eastAsia="zh-CN"/>
              </w:rPr>
              <w:t>高</w:t>
            </w:r>
            <w:r>
              <w:rPr>
                <w:rFonts w:hint="default" w:eastAsia="宋体"/>
                <w:lang w:val="en-US" w:eastAsia="zh-CN"/>
              </w:rPr>
              <w:t xml:space="preserve"> 1823</w:t>
            </w:r>
            <w:r>
              <w:rPr>
                <w:rFonts w:hint="eastAsia"/>
                <w:lang w:val="en-US" w:eastAsia="zh-CN"/>
              </w:rPr>
              <w:t xml:space="preserve">，轴距3070，传祺高功率2.0TGDI发动机，前麦弗逊/后多连杆，前：通风盘式 / 后：盘式，爱信8AT变速箱                        </w:t>
            </w:r>
          </w:p>
          <w:p>
            <w:pPr>
              <w:rPr>
                <w:rFonts w:hint="default"/>
                <w:lang w:val="en-US" w:eastAsia="zh-CN"/>
              </w:rPr>
            </w:pPr>
            <w:r>
              <w:rPr>
                <w:rFonts w:hint="eastAsia"/>
                <w:lang w:val="en-US" w:eastAsia="zh-CN"/>
              </w:rPr>
              <w:t xml:space="preserve">            广汽传祺M8大师尊贵版主要配置参数</w:t>
            </w:r>
          </w:p>
          <w:tbl>
            <w:tblPr>
              <w:tblStyle w:val="10"/>
              <w:tblW w:w="6556"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制动系统：电子驻车（含Autohold）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制动系统：上/下坡辅助控制系统（HHC/HDC）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博世ESP 9.3 车辆电子稳定控制系统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广汽AVDC影子车手（自适应车辆动态控制系统）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驾驶模式切换+转向模式可选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跃迁光栅前脸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电翼之眼LED前大灯(延时关闭)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前大灯自动感应开启/关闭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ind w:firstLine="2000" w:firstLineChars="10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LED日间行车灯、位置灯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时空之门LED尾灯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LED后转向灯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LED后雾灯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隐私玻璃（后排车窗、后挡风）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雨量感应式自动雨刮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隐藏式后挡风雨刮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分段式全景天窗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外后视镜（自动折叠、除霜除雾）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天鹅之翼座舱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守护权杖电子档杆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一排驾驶员座椅8向电动调节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排座椅头枕2向调节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真皮方向盘 （4向调节）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高级真皮：一、二排座椅（三排PVC）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56" w:type="dxa"/>
                  <w:tcBorders>
                    <w:top w:val="nil"/>
                    <w:left w:val="nil"/>
                    <w:bottom w:val="nil"/>
                    <w:right w:val="nil"/>
                  </w:tcBorders>
                  <w:shd w:val="clear" w:color="auto" w:fill="auto"/>
                  <w:vAlign w:val="bottom"/>
                </w:tcPr>
                <w:p>
                  <w:pPr>
                    <w:keepNext w:val="0"/>
                    <w:keepLines w:val="0"/>
                    <w:widowControl/>
                    <w:suppressLineNumbers w:val="0"/>
                    <w:ind w:firstLine="1080" w:firstLineChars="600"/>
                    <w:jc w:val="left"/>
                    <w:textAlignment w:val="bottom"/>
                    <w:rPr>
                      <w:rFonts w:ascii="寰蒋闆呴粦" w:hAnsi="寰蒋闆呴粦" w:eastAsia="寰蒋闆呴粦" w:cs="寰蒋闆呴粦"/>
                      <w:i w:val="0"/>
                      <w:iCs w:val="0"/>
                      <w:color w:val="000000"/>
                      <w:sz w:val="18"/>
                      <w:szCs w:val="18"/>
                      <w:u w:val="none"/>
                    </w:rPr>
                  </w:pPr>
                  <w:r>
                    <w:rPr>
                      <w:rFonts w:hint="default" w:ascii="寰蒋闆呴粦" w:hAnsi="寰蒋闆呴粦" w:eastAsia="寰蒋闆呴粦" w:cs="寰蒋闆呴粦"/>
                      <w:i w:val="0"/>
                      <w:iCs w:val="0"/>
                      <w:color w:val="000000"/>
                      <w:kern w:val="0"/>
                      <w:sz w:val="18"/>
                      <w:szCs w:val="18"/>
                      <w:u w:val="none"/>
                      <w:lang w:val="en-US" w:eastAsia="zh-CN" w:bidi="ar"/>
                    </w:rPr>
                    <w:t>二排头等舱座椅（带通风、加热、</w:t>
                  </w:r>
                  <w:r>
                    <w:rPr>
                      <w:rFonts w:hint="eastAsia" w:asciiTheme="majorEastAsia" w:hAnsiTheme="majorEastAsia" w:eastAsiaTheme="majorEastAsia" w:cstheme="majorEastAsia"/>
                      <w:i w:val="0"/>
                      <w:iCs w:val="0"/>
                      <w:color w:val="000000"/>
                      <w:kern w:val="0"/>
                      <w:sz w:val="18"/>
                      <w:szCs w:val="18"/>
                      <w:u w:val="none"/>
                      <w:lang w:val="en-US" w:eastAsia="zh-CN" w:bidi="ar"/>
                    </w:rPr>
                    <w:t>10点式按摩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556" w:type="dxa"/>
                  <w:tcBorders>
                    <w:top w:val="nil"/>
                    <w:left w:val="nil"/>
                    <w:bottom w:val="nil"/>
                    <w:right w:val="nil"/>
                  </w:tcBorders>
                  <w:shd w:val="clear" w:color="auto" w:fill="auto"/>
                  <w:vAlign w:val="bottom"/>
                </w:tcPr>
                <w:p>
                  <w:pPr>
                    <w:keepNext w:val="0"/>
                    <w:keepLines w:val="0"/>
                    <w:widowControl/>
                    <w:suppressLineNumbers w:val="0"/>
                    <w:ind w:left="178" w:leftChars="85" w:firstLine="720" w:firstLineChars="400"/>
                    <w:jc w:val="left"/>
                    <w:textAlignment w:val="bottom"/>
                    <w:rPr>
                      <w:rFonts w:hint="default" w:ascii="寰蒋闆呴粦" w:hAnsi="寰蒋闆呴粦" w:eastAsia="寰蒋闆呴粦" w:cs="寰蒋闆呴粦"/>
                      <w:i w:val="0"/>
                      <w:iCs w:val="0"/>
                      <w:color w:val="000000"/>
                      <w:sz w:val="18"/>
                      <w:szCs w:val="18"/>
                      <w:u w:val="none"/>
                    </w:rPr>
                  </w:pPr>
                  <w:r>
                    <w:rPr>
                      <w:rFonts w:hint="default" w:ascii="寰蒋闆呴粦" w:hAnsi="寰蒋闆呴粦" w:eastAsia="寰蒋闆呴粦" w:cs="寰蒋闆呴粦"/>
                      <w:i w:val="0"/>
                      <w:iCs w:val="0"/>
                      <w:color w:val="000000"/>
                      <w:kern w:val="0"/>
                      <w:sz w:val="18"/>
                      <w:szCs w:val="18"/>
                      <w:u w:val="none"/>
                      <w:lang w:val="en-US" w:eastAsia="zh-CN" w:bidi="ar"/>
                    </w:rPr>
                    <w:t>二排头等舱座椅</w:t>
                  </w:r>
                  <w:r>
                    <w:rPr>
                      <w:rFonts w:hint="eastAsia" w:asciiTheme="majorEastAsia" w:hAnsiTheme="majorEastAsia" w:eastAsiaTheme="majorEastAsia" w:cstheme="majorEastAsia"/>
                      <w:i w:val="0"/>
                      <w:iCs w:val="0"/>
                      <w:color w:val="000000"/>
                      <w:kern w:val="0"/>
                      <w:sz w:val="18"/>
                      <w:szCs w:val="18"/>
                      <w:u w:val="none"/>
                      <w:lang w:val="en-US" w:eastAsia="zh-CN" w:bidi="ar"/>
                    </w:rPr>
                    <w:t>10向调节（2向前后手动、2向靠背电调、2向腿托电调、4向头枕）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三排座椅6向调节（2向头枕、2向前后、2向靠背）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三排座椅4/6折叠（靠背、坐垫双翻折）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双侧电动滑移门（一键开启）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四门车窗一触式升降（带防夹）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电动尾门（遥控、按键、感应开启）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三区自动空调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无风感空调（顶棚位置）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PM1滤芯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超感交互智能座舱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四区语音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12.3吋高清液晶仪表盘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14.6吋高清液晶中控屏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高算力车机（8155车规级芯片）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手机无线充电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PEPS无钥匙进入及一键启动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OTA在线升级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T-Box远程控制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在线导航（GPS+北斗双模）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AR导航、行车记录仪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8扬声器音响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摄像头数量：4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超声波雷达数量：6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CCS定速巡航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540度高清全景影像（含透明车底）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前排安全气囊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前排侧气囊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6"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侧气帘（3.2米一体式覆盖一二三排）</w:t>
                  </w:r>
                </w:p>
              </w:tc>
            </w:tr>
          </w:tbl>
          <w:p>
            <w:pPr>
              <w:rPr>
                <w:rFonts w:hint="default" w:eastAsia="宋体"/>
                <w:lang w:val="en-US" w:eastAsia="zh-CN"/>
              </w:rPr>
            </w:pPr>
          </w:p>
        </w:tc>
        <w:tc>
          <w:tcPr>
            <w:tcW w:w="593" w:type="dxa"/>
            <w:vAlign w:val="center"/>
          </w:tcPr>
          <w:p>
            <w:pPr>
              <w:widowControl/>
              <w:jc w:val="center"/>
              <w:rPr>
                <w:rFonts w:hint="default" w:ascii="等线" w:hAnsi="等线" w:eastAsia="等线" w:cs="宋体"/>
                <w:color w:val="000000"/>
                <w:kern w:val="0"/>
                <w:sz w:val="22"/>
                <w:szCs w:val="22"/>
                <w:lang w:val="en-US" w:eastAsia="zh-CN"/>
              </w:rPr>
            </w:pPr>
          </w:p>
        </w:tc>
        <w:tc>
          <w:tcPr>
            <w:tcW w:w="470" w:type="dxa"/>
            <w:vAlign w:val="center"/>
          </w:tcPr>
          <w:p>
            <w:pPr>
              <w:widowControl/>
              <w:jc w:val="center"/>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288" w:type="dxa"/>
            <w:gridSpan w:val="6"/>
            <w:vAlign w:val="center"/>
          </w:tcPr>
          <w:p>
            <w:pPr>
              <w:widowControl/>
              <w:spacing w:line="360" w:lineRule="auto"/>
              <w:jc w:val="left"/>
              <w:rPr>
                <w:rFonts w:hint="eastAsia" w:ascii="宋体" w:hAnsi="宋体" w:cs="宋体"/>
                <w:b/>
                <w:bCs/>
                <w:sz w:val="30"/>
                <w:szCs w:val="30"/>
              </w:rPr>
            </w:pPr>
            <w:bookmarkStart w:id="0" w:name="_Hlk164099248"/>
            <w:r>
              <w:rPr>
                <w:rFonts w:hint="eastAsia" w:ascii="宋体" w:hAnsi="宋体" w:cs="宋体"/>
                <w:sz w:val="24"/>
              </w:rPr>
              <w:t>▲</w:t>
            </w:r>
            <w:r>
              <w:rPr>
                <w:rFonts w:hint="eastAsia" w:ascii="宋体" w:hAnsi="宋体" w:cs="宋体"/>
                <w:b/>
                <w:bCs/>
                <w:sz w:val="30"/>
                <w:szCs w:val="30"/>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gridSpan w:val="3"/>
            <w:vAlign w:val="center"/>
          </w:tcPr>
          <w:p>
            <w:pPr>
              <w:widowControl/>
              <w:spacing w:line="360" w:lineRule="auto"/>
              <w:jc w:val="center"/>
              <w:rPr>
                <w:rFonts w:hint="eastAsia" w:ascii="宋体" w:hAnsi="宋体" w:cs="宋体"/>
                <w:sz w:val="24"/>
              </w:rPr>
            </w:pPr>
            <w:r>
              <w:rPr>
                <w:rFonts w:hint="eastAsia" w:ascii="宋体" w:hAnsi="宋体" w:cs="宋体"/>
                <w:b/>
                <w:bCs/>
                <w:szCs w:val="21"/>
              </w:rPr>
              <w:t>投标报价</w:t>
            </w:r>
          </w:p>
        </w:tc>
        <w:tc>
          <w:tcPr>
            <w:tcW w:w="7154" w:type="dxa"/>
            <w:gridSpan w:val="3"/>
            <w:vAlign w:val="center"/>
          </w:tcPr>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34" w:type="dxa"/>
            <w:gridSpan w:val="3"/>
            <w:vAlign w:val="center"/>
          </w:tcPr>
          <w:p>
            <w:pPr>
              <w:widowControl/>
              <w:spacing w:line="360" w:lineRule="auto"/>
              <w:jc w:val="center"/>
              <w:rPr>
                <w:rFonts w:hint="eastAsia" w:ascii="宋体" w:hAnsi="宋体" w:cs="宋体"/>
                <w:b/>
                <w:bCs/>
                <w:szCs w:val="21"/>
              </w:rPr>
            </w:pPr>
            <w:r>
              <w:rPr>
                <w:rFonts w:hint="eastAsia" w:ascii="宋体" w:hAnsi="宋体" w:cs="宋体"/>
                <w:b/>
                <w:bCs/>
                <w:sz w:val="24"/>
              </w:rPr>
              <w:t>合同签订时间</w:t>
            </w:r>
          </w:p>
        </w:tc>
        <w:tc>
          <w:tcPr>
            <w:tcW w:w="7154" w:type="dxa"/>
            <w:gridSpan w:val="3"/>
            <w:vAlign w:val="center"/>
          </w:tcPr>
          <w:p>
            <w:pPr>
              <w:spacing w:line="360" w:lineRule="auto"/>
              <w:ind w:firstLine="480" w:firstLineChars="200"/>
              <w:rPr>
                <w:rFonts w:hint="eastAsia" w:ascii="宋体" w:hAnsi="宋体" w:cs="宋体"/>
                <w:sz w:val="24"/>
              </w:rPr>
            </w:pPr>
            <w:r>
              <w:rPr>
                <w:rFonts w:hint="eastAsia" w:ascii="宋体" w:hAnsi="宋体" w:cs="宋体"/>
                <w:sz w:val="24"/>
              </w:rPr>
              <w:t>自成交通知书发出之日起</w:t>
            </w:r>
            <w:r>
              <w:rPr>
                <w:rFonts w:hint="eastAsia" w:ascii="宋体" w:hAnsi="宋体" w:cs="宋体"/>
                <w:sz w:val="24"/>
                <w:u w:val="single"/>
                <w:lang w:val="en-US" w:eastAsia="zh-CN"/>
              </w:rPr>
              <w:t>7</w:t>
            </w:r>
            <w:r>
              <w:rPr>
                <w:rFonts w:hint="eastAsia" w:ascii="宋体" w:hAnsi="宋体" w:cs="宋体"/>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134" w:type="dxa"/>
            <w:gridSpan w:val="3"/>
            <w:vAlign w:val="center"/>
          </w:tcPr>
          <w:p>
            <w:pPr>
              <w:widowControl/>
              <w:spacing w:line="360" w:lineRule="auto"/>
              <w:jc w:val="center"/>
              <w:rPr>
                <w:rFonts w:hint="eastAsia" w:ascii="宋体" w:hAnsi="宋体" w:cs="宋体"/>
                <w:b/>
                <w:bCs/>
                <w:szCs w:val="21"/>
              </w:rPr>
            </w:pPr>
            <w:r>
              <w:rPr>
                <w:rFonts w:hint="eastAsia" w:ascii="宋体" w:hAnsi="宋体" w:cs="宋体"/>
                <w:b/>
                <w:bCs/>
                <w:szCs w:val="21"/>
              </w:rPr>
              <w:t>货物交付时限</w:t>
            </w:r>
          </w:p>
        </w:tc>
        <w:tc>
          <w:tcPr>
            <w:tcW w:w="7154" w:type="dxa"/>
            <w:gridSpan w:val="3"/>
            <w:vAlign w:val="center"/>
          </w:tcPr>
          <w:p>
            <w:pPr>
              <w:spacing w:line="360" w:lineRule="auto"/>
              <w:ind w:firstLine="480" w:firstLineChars="200"/>
              <w:rPr>
                <w:rFonts w:hint="eastAsia"/>
              </w:rPr>
            </w:pPr>
            <w:r>
              <w:rPr>
                <w:rFonts w:hint="eastAsia" w:ascii="宋体" w:hAnsi="宋体" w:cs="宋体"/>
                <w:sz w:val="24"/>
              </w:rPr>
              <w:t>签订合同后，自支付日起计算，15个自然日内完成交付。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34" w:type="dxa"/>
            <w:gridSpan w:val="3"/>
            <w:vAlign w:val="center"/>
          </w:tcPr>
          <w:p>
            <w:pPr>
              <w:widowControl/>
              <w:spacing w:line="360" w:lineRule="auto"/>
              <w:jc w:val="center"/>
              <w:rPr>
                <w:rFonts w:hint="eastAsia" w:ascii="宋体" w:hAnsi="宋体" w:cs="宋体"/>
                <w:b/>
                <w:bCs/>
                <w:sz w:val="24"/>
              </w:rPr>
            </w:pPr>
            <w:r>
              <w:rPr>
                <w:rFonts w:hint="eastAsia" w:ascii="宋体" w:hAnsi="宋体" w:cs="宋体"/>
                <w:b/>
                <w:bCs/>
                <w:sz w:val="24"/>
              </w:rPr>
              <w:t>货物交付地点</w:t>
            </w:r>
          </w:p>
        </w:tc>
        <w:tc>
          <w:tcPr>
            <w:tcW w:w="7154" w:type="dxa"/>
            <w:gridSpan w:val="3"/>
            <w:vAlign w:val="center"/>
          </w:tcPr>
          <w:p>
            <w:pPr>
              <w:pStyle w:val="12"/>
              <w:ind w:firstLine="480" w:firstLineChars="200"/>
              <w:rPr>
                <w:rFonts w:ascii="宋体" w:hAnsi="宋体" w:cs="宋体"/>
                <w:sz w:val="24"/>
                <w:szCs w:val="24"/>
              </w:rPr>
            </w:pPr>
            <w:r>
              <w:rPr>
                <w:rFonts w:hint="eastAsia" w:ascii="宋体" w:hAnsi="宋体" w:cs="宋体"/>
                <w:color w:val="FF0000"/>
                <w:sz w:val="24"/>
              </w:rPr>
              <w:t>货物的交付地点即货物的安装地点，货物的交付地点均为具体货物对应的项目所涉单位住所内的采购人指定位置</w:t>
            </w:r>
            <w:r>
              <w:rPr>
                <w:rFonts w:hint="eastAsia" w:ascii="宋体" w:hAnsi="宋体" w:cs="宋体"/>
                <w:sz w:val="24"/>
                <w:szCs w:val="24"/>
              </w:rPr>
              <w:t>。</w:t>
            </w:r>
          </w:p>
          <w:p>
            <w:pPr>
              <w:widowControl/>
              <w:spacing w:line="360" w:lineRule="auto"/>
              <w:ind w:firstLine="480" w:firstLineChars="200"/>
              <w:jc w:val="left"/>
              <w:rPr>
                <w:rFonts w:hint="eastAsia" w:ascii="宋体" w:hAnsi="宋体" w:cs="宋体"/>
                <w:color w:val="FF0000"/>
                <w:sz w:val="24"/>
              </w:rPr>
            </w:pPr>
            <w:r>
              <w:rPr>
                <w:rFonts w:hint="eastAsia" w:ascii="宋体" w:hAnsi="宋体" w:cs="宋体"/>
                <w:color w:val="FF0000"/>
                <w:sz w:val="24"/>
              </w:rPr>
              <w:t>项目所涉单位名称及其住所地址：</w:t>
            </w:r>
          </w:p>
          <w:p>
            <w:pPr>
              <w:widowControl/>
              <w:spacing w:line="360" w:lineRule="auto"/>
              <w:ind w:firstLine="480" w:firstLineChars="200"/>
              <w:jc w:val="left"/>
              <w:rPr>
                <w:rFonts w:hint="default" w:ascii="宋体" w:hAnsi="宋体" w:eastAsia="宋体" w:cs="宋体"/>
                <w:color w:val="FF0000"/>
                <w:sz w:val="24"/>
                <w:lang w:val="en-US" w:eastAsia="zh-CN"/>
              </w:rPr>
            </w:pPr>
            <w:r>
              <w:rPr>
                <w:rFonts w:hint="eastAsia" w:ascii="宋体" w:hAnsi="宋体" w:cs="宋体"/>
                <w:color w:val="FF0000"/>
                <w:sz w:val="24"/>
                <w:lang w:val="en-US" w:eastAsia="zh-CN"/>
              </w:rPr>
              <w:t>合浦县东环大道8号合浦县公安局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34" w:type="dxa"/>
            <w:gridSpan w:val="3"/>
            <w:vAlign w:val="top"/>
          </w:tcPr>
          <w:p>
            <w:pPr>
              <w:pStyle w:val="8"/>
              <w:snapToGrid w:val="0"/>
              <w:spacing w:line="320" w:lineRule="exact"/>
              <w:jc w:val="center"/>
              <w:outlineLvl w:val="0"/>
              <w:rPr>
                <w:rFonts w:hint="eastAsia" w:ascii="宋体" w:hAnsi="宋体" w:cs="宋体"/>
                <w:b/>
                <w:bCs/>
                <w:sz w:val="24"/>
              </w:rPr>
            </w:pPr>
            <w:r>
              <w:rPr>
                <w:rFonts w:hint="eastAsia" w:hAnsi="宋体"/>
                <w:b/>
                <w:bCs/>
                <w:sz w:val="24"/>
                <w:szCs w:val="24"/>
              </w:rPr>
              <w:t>质保期</w:t>
            </w:r>
          </w:p>
        </w:tc>
        <w:tc>
          <w:tcPr>
            <w:tcW w:w="7154" w:type="dxa"/>
            <w:gridSpan w:val="3"/>
            <w:vAlign w:val="top"/>
          </w:tcPr>
          <w:p>
            <w:pPr>
              <w:pStyle w:val="8"/>
              <w:numPr>
                <w:ilvl w:val="0"/>
                <w:numId w:val="3"/>
              </w:numPr>
              <w:snapToGrid w:val="0"/>
              <w:spacing w:line="320" w:lineRule="exact"/>
              <w:outlineLvl w:val="0"/>
              <w:rPr>
                <w:rFonts w:hint="eastAsia"/>
                <w:sz w:val="24"/>
                <w:szCs w:val="24"/>
                <w:lang w:val="en-US" w:eastAsia="zh-CN"/>
              </w:rPr>
            </w:pPr>
            <w:r>
              <w:rPr>
                <w:rFonts w:hint="eastAsia" w:hAnsi="宋体"/>
                <w:sz w:val="24"/>
                <w:szCs w:val="24"/>
              </w:rPr>
              <w:t>自验收合格后</w:t>
            </w:r>
            <w:r>
              <w:rPr>
                <w:rFonts w:hint="eastAsia"/>
                <w:sz w:val="24"/>
                <w:szCs w:val="24"/>
                <w:lang w:val="en-US" w:eastAsia="zh-CN"/>
              </w:rPr>
              <w:t>整车质保期为6年或者15万公里。</w:t>
            </w:r>
          </w:p>
          <w:p>
            <w:pPr>
              <w:pStyle w:val="8"/>
              <w:numPr>
                <w:ilvl w:val="0"/>
                <w:numId w:val="3"/>
              </w:numPr>
              <w:snapToGrid w:val="0"/>
              <w:spacing w:line="320" w:lineRule="exact"/>
              <w:outlineLvl w:val="0"/>
              <w:rPr>
                <w:rFonts w:hint="eastAsia" w:ascii="宋体" w:hAnsi="宋体" w:cs="宋体"/>
                <w:sz w:val="24"/>
              </w:rPr>
            </w:pPr>
            <w:r>
              <w:rPr>
                <w:rFonts w:hint="eastAsia" w:hAnsi="宋体"/>
                <w:sz w:val="24"/>
                <w:szCs w:val="24"/>
              </w:rPr>
              <w:t>自验收合格后</w:t>
            </w:r>
            <w:r>
              <w:rPr>
                <w:rFonts w:hint="eastAsia"/>
                <w:sz w:val="24"/>
                <w:szCs w:val="24"/>
                <w:lang w:val="en-US" w:eastAsia="zh-CN"/>
              </w:rPr>
              <w:t>三电系统质保期为8年或者15万公里。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trPr>
        <w:tc>
          <w:tcPr>
            <w:tcW w:w="2134" w:type="dxa"/>
            <w:gridSpan w:val="3"/>
            <w:vAlign w:val="center"/>
          </w:tcPr>
          <w:p>
            <w:pPr>
              <w:widowControl/>
              <w:spacing w:line="360" w:lineRule="auto"/>
              <w:jc w:val="center"/>
              <w:rPr>
                <w:rFonts w:hint="eastAsia" w:ascii="宋体" w:hAnsi="宋体" w:cs="宋体"/>
                <w:b/>
                <w:bCs/>
                <w:sz w:val="24"/>
              </w:rPr>
            </w:pPr>
            <w:r>
              <w:rPr>
                <w:rFonts w:hint="eastAsia" w:ascii="宋体" w:hAnsi="宋体" w:cs="宋体"/>
                <w:b/>
                <w:bCs/>
                <w:sz w:val="24"/>
              </w:rPr>
              <w:t>售后服务</w:t>
            </w:r>
          </w:p>
        </w:tc>
        <w:tc>
          <w:tcPr>
            <w:tcW w:w="7154" w:type="dxa"/>
            <w:gridSpan w:val="3"/>
            <w:vAlign w:val="center"/>
          </w:tcPr>
          <w:p>
            <w:pPr>
              <w:widowControl/>
              <w:spacing w:line="360" w:lineRule="auto"/>
              <w:ind w:firstLine="480" w:firstLineChars="200"/>
              <w:rPr>
                <w:rFonts w:hint="eastAsia" w:ascii="宋体" w:hAnsi="宋体" w:cs="宋体"/>
                <w:sz w:val="24"/>
                <w:szCs w:val="21"/>
              </w:rPr>
            </w:pPr>
            <w:r>
              <w:rPr>
                <w:rFonts w:hint="eastAsia" w:ascii="宋体" w:hAnsi="宋体" w:cs="宋体"/>
                <w:sz w:val="24"/>
                <w:szCs w:val="21"/>
              </w:rPr>
              <w:t>1、按国家有关产品“三包”规定执行“三包”，货物因其自身原因或质量缺陷导致问题的，成交供应商应负责免费予以处理（包括修理和换货）。成交供应商在接到用户通知后24小时内予以响应售后服务要求，5个日历日内对应换货的货物进行免费更换。</w:t>
            </w:r>
          </w:p>
          <w:p>
            <w:pPr>
              <w:widowControl/>
              <w:spacing w:line="360" w:lineRule="auto"/>
              <w:ind w:firstLine="480" w:firstLineChars="200"/>
              <w:rPr>
                <w:rFonts w:hint="eastAsia" w:ascii="宋体" w:hAnsi="宋体" w:cs="宋体"/>
                <w:sz w:val="24"/>
                <w:szCs w:val="21"/>
              </w:rPr>
            </w:pPr>
            <w:r>
              <w:rPr>
                <w:rFonts w:hint="eastAsia" w:ascii="宋体" w:hAnsi="宋体" w:cs="宋体"/>
                <w:sz w:val="24"/>
                <w:szCs w:val="21"/>
              </w:rPr>
              <w:t>2、①按国家有关规定实行产品“三包”；②问题响应时间:成交供应商接到采购单位的通知后，按国家及行业标准及其售后服务承诺（如有不一致，以标准高者为准，下同）响应，提供备品备件，备品备件必须保证是同型号或相近型号、性能不低于原型号的全新、未使用过的备品备件，保证采购人正常使用。③定期回访、走访；④提供售后服务人员名单、联系电话及E-mail等，以便为采购人提供完善的售前和售后技术咨询服务。</w:t>
            </w:r>
          </w:p>
          <w:p>
            <w:pPr>
              <w:pStyle w:val="12"/>
              <w:spacing w:line="360" w:lineRule="auto"/>
              <w:ind w:firstLine="480" w:firstLineChars="200"/>
              <w:rPr>
                <w:rFonts w:hint="eastAsia" w:ascii="宋体" w:hAnsi="宋体" w:cs="宋体"/>
                <w:sz w:val="24"/>
                <w:szCs w:val="24"/>
              </w:rPr>
            </w:pPr>
            <w:r>
              <w:rPr>
                <w:rFonts w:hint="eastAsia" w:ascii="宋体" w:hAnsi="宋体" w:cs="宋体"/>
                <w:sz w:val="24"/>
              </w:rPr>
              <w:t>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34" w:type="dxa"/>
            <w:gridSpan w:val="3"/>
            <w:vAlign w:val="center"/>
          </w:tcPr>
          <w:p>
            <w:pPr>
              <w:widowControl/>
              <w:spacing w:line="360" w:lineRule="auto"/>
              <w:jc w:val="center"/>
              <w:rPr>
                <w:rFonts w:hint="eastAsia" w:ascii="宋体" w:hAnsi="宋体" w:cs="宋体"/>
                <w:b/>
                <w:bCs/>
                <w:kern w:val="0"/>
                <w:sz w:val="24"/>
                <w:lang w:bidi="ar"/>
              </w:rPr>
            </w:pPr>
            <w:r>
              <w:rPr>
                <w:rFonts w:hint="eastAsia" w:ascii="宋体" w:hAnsi="宋体" w:cs="宋体"/>
                <w:b/>
                <w:bCs/>
                <w:sz w:val="24"/>
              </w:rPr>
              <w:t>付款方式</w:t>
            </w:r>
          </w:p>
        </w:tc>
        <w:tc>
          <w:tcPr>
            <w:tcW w:w="7154" w:type="dxa"/>
            <w:gridSpan w:val="3"/>
            <w:vAlign w:val="center"/>
          </w:tcPr>
          <w:p>
            <w:pPr>
              <w:widowControl/>
              <w:spacing w:line="360" w:lineRule="auto"/>
              <w:ind w:firstLine="480" w:firstLineChars="200"/>
              <w:jc w:val="left"/>
              <w:rPr>
                <w:rFonts w:hint="eastAsia" w:ascii="宋体" w:hAnsi="宋体" w:cs="宋体"/>
                <w:sz w:val="24"/>
              </w:rPr>
            </w:pPr>
            <w:r>
              <w:rPr>
                <w:rFonts w:hint="eastAsia" w:ascii="宋体" w:hAnsi="宋体" w:cs="宋体"/>
                <w:sz w:val="24"/>
              </w:rPr>
              <w:t>合同价款以银行转账方式支付至成交供应商收款账户：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财政性资金按财政国库集中支付规定程序办理；自合同签订15个工作日支付合同 100 %总金额。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34" w:type="dxa"/>
            <w:gridSpan w:val="3"/>
            <w:vAlign w:val="center"/>
          </w:tcPr>
          <w:p>
            <w:pPr>
              <w:widowControl/>
              <w:spacing w:line="360" w:lineRule="auto"/>
              <w:jc w:val="center"/>
              <w:rPr>
                <w:rFonts w:hint="eastAsia" w:ascii="宋体" w:hAnsi="宋体" w:cs="宋体"/>
                <w:b/>
                <w:bCs/>
                <w:sz w:val="24"/>
              </w:rPr>
            </w:pPr>
            <w:r>
              <w:rPr>
                <w:rFonts w:hint="eastAsia" w:ascii="宋体" w:hAnsi="宋体" w:cs="宋体"/>
                <w:b/>
                <w:bCs/>
                <w:sz w:val="24"/>
              </w:rPr>
              <w:t>其他要求</w:t>
            </w:r>
          </w:p>
        </w:tc>
        <w:tc>
          <w:tcPr>
            <w:tcW w:w="7154" w:type="dxa"/>
            <w:gridSpan w:val="3"/>
            <w:vAlign w:val="center"/>
          </w:tcPr>
          <w:p>
            <w:pPr>
              <w:widowControl/>
              <w:spacing w:line="360" w:lineRule="auto"/>
              <w:ind w:firstLine="480" w:firstLineChars="200"/>
              <w:jc w:val="left"/>
              <w:rPr>
                <w:rFonts w:hint="eastAsia" w:ascii="宋体" w:hAnsi="宋体" w:cs="宋体"/>
                <w:sz w:val="24"/>
                <w:lang w:val="en-US" w:eastAsia="zh-CN"/>
              </w:rPr>
            </w:pPr>
            <w:bookmarkStart w:id="1" w:name="_GoBack"/>
            <w:r>
              <w:rPr>
                <w:rFonts w:hint="eastAsia" w:ascii="宋体" w:hAnsi="宋体" w:cs="宋体"/>
                <w:sz w:val="24"/>
                <w:lang w:val="en-US" w:eastAsia="zh-CN"/>
              </w:rPr>
              <w:t>1、合同签订前，必须提供所对本项目的货物制造商销售授权证明书、售后服务承诺书、有效供货证明书的原件；且采购人有权要求成交供应商在合同签订前对所投产品的技术参数、性能指标进行检验测试，以供确认是否达到采购文件中所规定的技术功能要求，若检验及测试结果不能满足招标参数要求，属于虚假应标，按政府采购相关法规处罚，并追究其相应的法律责任。</w:t>
            </w:r>
          </w:p>
          <w:p>
            <w:pPr>
              <w:widowControl/>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2、货物必须是为原厂全新、完整、未使用过的产品，货物送达现场后，成交供应商和采购人应在现场进行清点；清点过程中如果发现因包装或运输不当引起的货物外观或内部的损坏，成交供应商应负责更换；若发现错发、漏发情况，成交供应商应负责更换和补发。成交供应商所提供的产品、资料等要满足中华人民共和国的相应国家、地方、行业标准，本项目货物质量技术参数要求及成交供应商承诺的货物质量标准（如有不一致，以标准高者为准），交货验收必须由采购人和成交供应商共同进行，采购人如认为有需要的，可委托相关检验部门对产品进行抽检，自检或检验部门抽检不合格的不给予验收，影响采购人使用货物的采购人将追究成交供应商的相关责任，抽检所产生的费用全部由成交供应商负责</w:t>
            </w:r>
          </w:p>
          <w:p>
            <w:pPr>
              <w:widowControl/>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3、验收条件及标准：①验收标准应符合中国有关的国家、地方、行业标准。</w:t>
            </w:r>
          </w:p>
          <w:p>
            <w:pPr>
              <w:widowControl/>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4、违约责任：投标人必须承诺不得转让或转包本项目，须在商务技术投标文件单独提供承诺函原件，承诺函须有法定代表人（负责人）或其委托代理人签字，并加盖投标单位公章，承诺函格式自拟。②成交供应商必须按本合同和投标文件中规定的服务承诺提供服务，如有违反标书服务承诺的违约行为，采购人可行使单方合同解除权解除合同。</w:t>
            </w:r>
          </w:p>
          <w:p>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5、投标人应根据项目要求，在商务、技术投标文件中做出详细的优化服务措施方案、本地化服务方案等能为采购人办公支撑提供可操作的附加服务（格式自拟）。</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288" w:type="dxa"/>
            <w:gridSpan w:val="6"/>
            <w:vAlign w:val="center"/>
          </w:tcPr>
          <w:p>
            <w:pPr>
              <w:widowControl/>
              <w:spacing w:line="360" w:lineRule="auto"/>
              <w:jc w:val="left"/>
              <w:rPr>
                <w:rFonts w:hint="eastAsia" w:ascii="宋体" w:hAnsi="宋体" w:cs="宋体"/>
                <w:b/>
                <w:bCs/>
                <w:sz w:val="30"/>
                <w:szCs w:val="30"/>
              </w:rPr>
            </w:pPr>
            <w:r>
              <w:rPr>
                <w:rFonts w:hint="eastAsia" w:ascii="宋体" w:hAnsi="宋体" w:cs="宋体"/>
                <w:b/>
                <w:bCs/>
                <w:sz w:val="30"/>
                <w:szCs w:val="30"/>
                <w:lang w:val="en-US" w:eastAsia="zh-CN"/>
              </w:rPr>
              <w:t>三</w:t>
            </w:r>
            <w:r>
              <w:rPr>
                <w:rFonts w:hint="eastAsia" w:ascii="宋体" w:hAnsi="宋体" w:cs="宋体"/>
                <w:b/>
                <w:bCs/>
                <w:sz w:val="30"/>
                <w:szCs w:val="30"/>
              </w:rPr>
              <w:t>、进口产品说明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34" w:type="dxa"/>
            <w:gridSpan w:val="3"/>
            <w:vAlign w:val="center"/>
          </w:tcPr>
          <w:p>
            <w:pPr>
              <w:spacing w:line="360" w:lineRule="auto"/>
              <w:rPr>
                <w:rFonts w:hint="eastAsia" w:ascii="宋体" w:hAnsi="宋体" w:cs="宋体"/>
                <w:sz w:val="24"/>
              </w:rPr>
            </w:pPr>
            <w:r>
              <w:rPr>
                <w:rFonts w:hint="eastAsia" w:ascii="宋体" w:hAnsi="宋体" w:cs="宋体"/>
                <w:sz w:val="24"/>
              </w:rPr>
              <w:t>进口产品说明</w:t>
            </w:r>
          </w:p>
        </w:tc>
        <w:tc>
          <w:tcPr>
            <w:tcW w:w="7154" w:type="dxa"/>
            <w:gridSpan w:val="3"/>
            <w:vAlign w:val="center"/>
          </w:tcPr>
          <w:p>
            <w:pPr>
              <w:widowControl/>
              <w:spacing w:line="360" w:lineRule="auto"/>
              <w:jc w:val="left"/>
              <w:rPr>
                <w:rFonts w:hint="eastAsia" w:ascii="宋体" w:hAnsi="宋体" w:cs="宋体"/>
                <w:sz w:val="24"/>
              </w:rPr>
            </w:pPr>
            <w:r>
              <w:rPr>
                <w:rFonts w:hint="eastAsia" w:ascii="宋体" w:hAnsi="宋体" w:cs="宋体"/>
                <w:sz w:val="24"/>
              </w:rPr>
              <w:t>货物不接受进口产品（即通过中国海关报关验放进入中国境内且产自关境外的产品）参与竞标，</w:t>
            </w:r>
            <w:r>
              <w:rPr>
                <w:rFonts w:hint="eastAsia" w:ascii="宋体" w:hAnsi="宋体" w:cs="宋体"/>
                <w:b/>
                <w:sz w:val="24"/>
              </w:rPr>
              <w:t>如有进口产品参与竞标的，其响应文件作无效处理</w:t>
            </w:r>
            <w:r>
              <w:rPr>
                <w:rFonts w:hint="eastAsia" w:ascii="宋体" w:hAnsi="宋体" w:cs="宋体"/>
                <w:sz w:val="24"/>
              </w:rPr>
              <w:t>。</w:t>
            </w:r>
          </w:p>
        </w:tc>
      </w:tr>
      <w:bookmarkEnd w:id="0"/>
    </w:tbl>
    <w:p/>
    <w:p>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BFE80C"/>
    <w:multiLevelType w:val="multilevel"/>
    <w:tmpl w:val="D1BFE80C"/>
    <w:lvl w:ilvl="0" w:tentative="0">
      <w:start w:val="1"/>
      <w:numFmt w:val="decimal"/>
      <w:lvlText w:val="第%1章"/>
      <w:lvlJc w:val="left"/>
      <w:pPr>
        <w:tabs>
          <w:tab w:val="left" w:pos="432"/>
        </w:tabs>
        <w:ind w:left="432" w:hanging="432"/>
      </w:pPr>
      <w:rPr>
        <w:rFonts w:hint="eastAsia"/>
        <w:lang w:val="en-US"/>
      </w:rPr>
    </w:lvl>
    <w:lvl w:ilvl="1" w:tentative="0">
      <w:start w:val="1"/>
      <w:numFmt w:val="decimal"/>
      <w:lvlText w:val="%1.%2"/>
      <w:lvlJc w:val="left"/>
      <w:pPr>
        <w:tabs>
          <w:tab w:val="left" w:pos="576"/>
        </w:tabs>
        <w:ind w:left="576" w:hanging="576"/>
      </w:pPr>
      <w:rPr>
        <w:rFonts w:hint="eastAsia"/>
      </w:rPr>
    </w:lvl>
    <w:lvl w:ilvl="2" w:tentative="0">
      <w:start w:val="1"/>
      <w:numFmt w:val="decimal"/>
      <w:pStyle w:val="3"/>
      <w:lvlText w:val="%1.%2.%3"/>
      <w:lvlJc w:val="left"/>
      <w:pPr>
        <w:tabs>
          <w:tab w:val="left" w:pos="4689"/>
        </w:tabs>
        <w:ind w:left="4689" w:hanging="720"/>
      </w:pPr>
      <w:rPr>
        <w:rFonts w:hint="default" w:ascii="Calibri" w:hAnsi="Calibri" w:cs="Arial"/>
      </w:rPr>
    </w:lvl>
    <w:lvl w:ilvl="3" w:tentative="0">
      <w:start w:val="1"/>
      <w:numFmt w:val="decimal"/>
      <w:lvlText w:val="%1.%2.%3.%4"/>
      <w:lvlJc w:val="left"/>
      <w:pPr>
        <w:tabs>
          <w:tab w:val="left" w:pos="2140"/>
        </w:tabs>
        <w:ind w:left="2140" w:hanging="864"/>
      </w:pPr>
      <w:rPr>
        <w:rFonts w:hint="default" w:ascii="Arial" w:hAnsi="Arial" w:cs="Arial"/>
        <w:color w:val="000000" w:themeColor="text1"/>
        <w14:textFill>
          <w14:solidFill>
            <w14:schemeClr w14:val="tx1"/>
          </w14:solidFill>
        </w14:textFill>
      </w:rPr>
    </w:lvl>
    <w:lvl w:ilvl="4" w:tentative="0">
      <w:start w:val="1"/>
      <w:numFmt w:val="decimal"/>
      <w:lvlText w:val="%1.%2.%3.%4.%5"/>
      <w:lvlJc w:val="left"/>
      <w:pPr>
        <w:tabs>
          <w:tab w:val="left" w:pos="2000"/>
        </w:tabs>
        <w:ind w:left="2000" w:hanging="1008"/>
      </w:pPr>
      <w:rPr>
        <w:rFonts w:hint="default" w:ascii="Arial" w:hAnsi="Arial" w:cs="Arial"/>
      </w:rPr>
    </w:lvl>
    <w:lvl w:ilvl="5" w:tentative="0">
      <w:start w:val="1"/>
      <w:numFmt w:val="decimal"/>
      <w:lvlText w:val="%1.%2.%3.%4.%5.%6"/>
      <w:lvlJc w:val="left"/>
      <w:pPr>
        <w:tabs>
          <w:tab w:val="left" w:pos="1152"/>
        </w:tabs>
        <w:ind w:left="1152" w:hanging="1152"/>
      </w:pPr>
      <w:rPr>
        <w:rFonts w:hint="default" w:ascii="Arial" w:hAnsi="Arial" w:eastAsia="黑体" w:cs="Arial"/>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b/>
      </w:rPr>
    </w:lvl>
    <w:lvl w:ilvl="8" w:tentative="0">
      <w:start w:val="1"/>
      <w:numFmt w:val="decimal"/>
      <w:lvlText w:val="%1.%2.%3.%4.%5.%6.%7.%8.%9"/>
      <w:lvlJc w:val="left"/>
      <w:pPr>
        <w:tabs>
          <w:tab w:val="left" w:pos="1584"/>
        </w:tabs>
        <w:ind w:left="1584" w:hanging="1584"/>
      </w:pPr>
      <w:rPr>
        <w:rFonts w:hint="eastAsia"/>
      </w:rPr>
    </w:lvl>
  </w:abstractNum>
  <w:abstractNum w:abstractNumId="1">
    <w:nsid w:val="34458D98"/>
    <w:multiLevelType w:val="singleLevel"/>
    <w:tmpl w:val="34458D98"/>
    <w:lvl w:ilvl="0" w:tentative="0">
      <w:start w:val="1"/>
      <w:numFmt w:val="decimal"/>
      <w:suff w:val="nothing"/>
      <w:lvlText w:val="%1、"/>
      <w:lvlJc w:val="left"/>
    </w:lvl>
  </w:abstractNum>
  <w:abstractNum w:abstractNumId="2">
    <w:nsid w:val="7AF475E9"/>
    <w:multiLevelType w:val="singleLevel"/>
    <w:tmpl w:val="7AF475E9"/>
    <w:lvl w:ilvl="0" w:tentative="0">
      <w:start w:val="1"/>
      <w:numFmt w:val="decimal"/>
      <w:pStyle w:val="5"/>
      <w:lvlText w:val="%1."/>
      <w:lvlJc w:val="left"/>
      <w:pPr>
        <w:tabs>
          <w:tab w:val="left"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F5BB5"/>
    <w:rsid w:val="027B5699"/>
    <w:rsid w:val="09580020"/>
    <w:rsid w:val="0D9C14EC"/>
    <w:rsid w:val="109A5BAD"/>
    <w:rsid w:val="142B1347"/>
    <w:rsid w:val="1B9C7815"/>
    <w:rsid w:val="202B62B8"/>
    <w:rsid w:val="21E75E51"/>
    <w:rsid w:val="26510172"/>
    <w:rsid w:val="32F20A57"/>
    <w:rsid w:val="34C74542"/>
    <w:rsid w:val="393C1D38"/>
    <w:rsid w:val="3B655471"/>
    <w:rsid w:val="3C8062AE"/>
    <w:rsid w:val="4B5D29D0"/>
    <w:rsid w:val="4D8F5BB5"/>
    <w:rsid w:val="50504BB7"/>
    <w:rsid w:val="52DD0710"/>
    <w:rsid w:val="54FE2E33"/>
    <w:rsid w:val="57E36A5C"/>
    <w:rsid w:val="58132182"/>
    <w:rsid w:val="638C206F"/>
    <w:rsid w:val="6C02550E"/>
    <w:rsid w:val="6D7A283F"/>
    <w:rsid w:val="6DB620A5"/>
    <w:rsid w:val="71AE6773"/>
    <w:rsid w:val="7AB06D96"/>
    <w:rsid w:val="7C057297"/>
    <w:rsid w:val="7C5351C6"/>
    <w:rsid w:val="7E4221C0"/>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semiHidden/>
    <w:unhideWhenUsed/>
    <w:qFormat/>
    <w:uiPriority w:val="0"/>
    <w:pPr>
      <w:keepNext/>
      <w:keepLines/>
      <w:numPr>
        <w:ilvl w:val="2"/>
        <w:numId w:val="1"/>
      </w:numPr>
      <w:tabs>
        <w:tab w:val="left" w:pos="432"/>
        <w:tab w:val="left" w:pos="720"/>
      </w:tabs>
      <w:spacing w:before="50" w:beforeLines="50" w:after="50" w:afterLines="50" w:line="360" w:lineRule="auto"/>
      <w:ind w:left="0" w:leftChars="100" w:hanging="720"/>
      <w:jc w:val="left"/>
      <w:outlineLvl w:val="2"/>
    </w:pPr>
    <w:rPr>
      <w:rFonts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Body Text Indent"/>
    <w:basedOn w:val="1"/>
    <w:qFormat/>
    <w:uiPriority w:val="0"/>
    <w:pPr>
      <w:ind w:firstLine="830" w:firstLineChars="352"/>
    </w:pPr>
    <w:rPr>
      <w:rFonts w:ascii="仿宋_GB2312" w:hAnsi="Times New Roman" w:eastAsia="仿宋_GB2312" w:cs="Times New Roman"/>
      <w:kern w:val="0"/>
      <w:sz w:val="32"/>
      <w:szCs w:val="20"/>
    </w:rPr>
  </w:style>
  <w:style w:type="paragraph" w:styleId="8">
    <w:name w:val="Plain Text"/>
    <w:basedOn w:val="1"/>
    <w:next w:val="1"/>
    <w:qFormat/>
    <w:uiPriority w:val="0"/>
    <w:rPr>
      <w:rFonts w:ascii="宋体" w:hAnsi="Courier New" w:eastAsia="宋体" w:cs="Times New Roman"/>
      <w:kern w:val="0"/>
      <w:sz w:val="20"/>
      <w:szCs w:val="21"/>
    </w:rPr>
  </w:style>
  <w:style w:type="paragraph" w:styleId="9">
    <w:name w:val="footer"/>
    <w:basedOn w:val="1"/>
    <w:next w:val="1"/>
    <w:unhideWhenUsed/>
    <w:qFormat/>
    <w:uiPriority w:val="99"/>
    <w:pPr>
      <w:tabs>
        <w:tab w:val="center" w:pos="4153"/>
        <w:tab w:val="right" w:pos="8306"/>
      </w:tabs>
      <w:snapToGrid w:val="0"/>
      <w:jc w:val="left"/>
    </w:pPr>
    <w:rPr>
      <w:kern w:val="0"/>
      <w:sz w:val="18"/>
      <w:szCs w:val="18"/>
    </w:rPr>
  </w:style>
  <w:style w:type="paragraph" w:customStyle="1" w:styleId="12">
    <w:name w:val="BodyText"/>
    <w:basedOn w:val="1"/>
    <w:qFormat/>
    <w:uiPriority w:val="0"/>
    <w:pPr>
      <w:spacing w:line="240" w:lineRule="auto"/>
      <w:jc w:val="both"/>
      <w:textAlignment w:val="baseline"/>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5</Pages>
  <Words>2550</Words>
  <Characters>2648</Characters>
  <Lines>0</Lines>
  <Paragraphs>0</Paragraphs>
  <TotalTime>7</TotalTime>
  <ScaleCrop>false</ScaleCrop>
  <LinksUpToDate>false</LinksUpToDate>
  <CharactersWithSpaces>2693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2025-05-14T06:56:00Z</dcterms:created>
  <dc:creator>A- 若颖</dc:creator>
  <cp:lastModifiedBy>Administrator</cp:lastModifiedBy>
  <cp:lastPrinted>2025-05-23T02:09:00Z</cp:lastPrinted>
  <dcterms:modified xsi:type="dcterms:W3CDTF">2025-07-03T09:46:03Z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382A22C048454155B7FA39B61F9AA527_13</vt:lpwstr>
  </property>
  <property fmtid="{D5CDD505-2E9C-101B-9397-08002B2CF9AE}" pid="4" name="KSOTemplateDocerSaveRecord">
    <vt:lpwstr>eyJoZGlkIjoiNzgxYjE0NWNiZDYxYWU0NTUxMDkwODhhOGI1YjdjYmUiLCJ1c2VySWQiOiIxNDI0MDg0MDQyIn0=</vt:lpwstr>
  </property>
</Properties>
</file>