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36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梧州市工人医院转运型救护车采购需求</w:t>
      </w:r>
    </w:p>
    <w:p>
      <w:pPr>
        <w:pStyle w:val="8"/>
        <w:keepNext w:val="0"/>
        <w:keepLines w:val="0"/>
        <w:pageBreakBefore w:val="0"/>
        <w:shd w:val="clear" w:color="auto" w:fill="FFFFFF"/>
        <w:kinsoku/>
        <w:wordWrap w:val="0"/>
        <w:overflowPunct/>
        <w:topLinePunct w:val="0"/>
        <w:bidi w:val="0"/>
        <w:spacing w:line="360" w:lineRule="exact"/>
        <w:ind w:firstLine="420" w:firstLineChars="200"/>
        <w:rPr>
          <w:rFonts w:hint="eastAsia" w:ascii="宋体" w:hAnsi="宋体" w:eastAsia="宋体" w:cs="宋体"/>
          <w:b w:val="0"/>
          <w:bCs w:val="0"/>
          <w:color w:val="auto"/>
          <w:sz w:val="21"/>
          <w:szCs w:val="21"/>
          <w:lang w:val="en-US" w:eastAsia="zh-CN"/>
        </w:rPr>
      </w:pPr>
    </w:p>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Style w:val="16"/>
          <w:rFonts w:hint="eastAsia" w:ascii="宋体" w:hAnsi="宋体" w:eastAsia="宋体" w:cs="宋体"/>
          <w:b/>
          <w:bCs/>
          <w:color w:val="auto"/>
          <w:sz w:val="21"/>
          <w:szCs w:val="21"/>
          <w:lang w:val="en-US"/>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5" name="自选图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8IywvM0BAACfAwAADgAAAGRycy9lMm9Eb2MueG1srZPPbtQwEMbvSLyD&#10;5TubdFErFG22QqzKpYJKCw/g2s7awv/k8W6yN26IZ+DGkXeAt6kEb8HYSZZSLj1wicZj++f5vpms&#10;LgdryEFG0N619GxRUyId90K7XUvfv7t69oISSMwJZryTLT1KoJfrp09WfWjk0itvhIwEIQ6aPrRU&#10;pRSaqgKupGWw8EE63Ox8tCzhMu4qEVmPdGuqZV1fVL2PIkTPJQBmN+MmnYjxMUDfdZrLjed7K10a&#10;qVEallASKB2Arku1XSd5ett1IBMxLUWlqXzxEYxv87dar1iziywozacS2GNKeKDJMu3w0RNqwxIj&#10;+6j/QVnNowffpQX3thqFFEdQxVn9wJutYkEWLWg1hJPp8P+w/M3hJhItcBLOKXHMYsd/fvr26+Pn&#10;uy8/7r5/JUtKlBZC5lnJbvUBGry0DTcx64Vw7fkHIM5vpUG38ylcvFLM7eRLCFMKL1Z/3cwLmBhD&#10;F21moRtkKK05nlojh0Q4Ji+en9c1No3j1hRnJmvmy3wP6bX0BcQO15DGzoo5YmqO+ODmMLA0pZF0&#10;n+D8lTamIIzLtZ0SeDBnippRQJZy68URfdyHqHeqmDArxr6VOqcZy4Nxf11If/6r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P3XpzwAAAAUBAAAPAAAAAAAAAAEAIAAAACIAAABkcnMvZG93bnJl&#10;di54bWxQSwECFAAUAAAACACHTuJA8IywvM0BAACfAwAADgAAAAAAAAABACAAAAAeAQAAZHJzL2Uy&#10;b0RvYy54bWxQSwUGAAAAAAYABgBZAQAAXQUAAAAA&#10;">
                <v:fill on="f" focussize="0,0"/>
                <v:stroke on="f"/>
                <v:imagedata o:title=""/>
                <o:lock v:ext="edit" selection="t" aspectratio="t"/>
              </v:shape>
            </w:pict>
          </mc:Fallback>
        </mc:AlternateContent>
      </w:r>
      <w:r>
        <w:rPr>
          <w:rStyle w:val="16"/>
          <w:rFonts w:hint="eastAsia" w:ascii="宋体" w:hAnsi="宋体" w:eastAsia="宋体" w:cs="宋体"/>
          <w:b/>
          <w:bCs/>
          <w:color w:val="auto"/>
          <w:sz w:val="21"/>
          <w:szCs w:val="21"/>
          <w:lang w:val="en-US" w:eastAsia="zh-CN"/>
        </w:rPr>
        <w:t>一</w:t>
      </w:r>
      <w:r>
        <w:rPr>
          <w:rStyle w:val="16"/>
          <w:rFonts w:hint="eastAsia" w:ascii="宋体" w:hAnsi="宋体" w:eastAsia="宋体" w:cs="宋体"/>
          <w:b/>
          <w:bCs/>
          <w:color w:val="auto"/>
          <w:sz w:val="21"/>
          <w:szCs w:val="21"/>
        </w:rPr>
        <w:t>、</w:t>
      </w:r>
      <w:r>
        <w:rPr>
          <w:rStyle w:val="16"/>
          <w:rFonts w:hint="eastAsia" w:ascii="宋体" w:hAnsi="宋体" w:eastAsia="宋体" w:cs="宋体"/>
          <w:b/>
          <w:bCs/>
          <w:color w:val="auto"/>
          <w:sz w:val="21"/>
          <w:szCs w:val="21"/>
          <w:lang w:val="en-US" w:eastAsia="zh-CN"/>
        </w:rPr>
        <w:t>车辆</w:t>
      </w:r>
      <w:r>
        <w:rPr>
          <w:rStyle w:val="16"/>
          <w:rFonts w:hint="eastAsia" w:ascii="宋体" w:hAnsi="宋体" w:eastAsia="宋体" w:cs="宋体"/>
          <w:b/>
          <w:bCs/>
          <w:color w:val="auto"/>
          <w:sz w:val="21"/>
          <w:szCs w:val="21"/>
        </w:rPr>
        <w:t>配置参数：</w:t>
      </w:r>
    </w:p>
    <w:tbl>
      <w:tblPr>
        <w:tblStyle w:val="11"/>
        <w:tblW w:w="99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6"/>
        <w:gridCol w:w="3060"/>
        <w:gridCol w:w="5296"/>
        <w:gridCol w:w="7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rPr>
              <w:t>1</w:t>
            </w:r>
          </w:p>
        </w:tc>
        <w:tc>
          <w:tcPr>
            <w:tcW w:w="3060" w:type="dxa"/>
          </w:tcPr>
          <w:p>
            <w:pPr>
              <w:keepNext w:val="0"/>
              <w:keepLines w:val="0"/>
              <w:pageBreakBefore w:val="0"/>
              <w:kinsoku/>
              <w:overflowPunct/>
              <w:topLinePunct w:val="0"/>
              <w:bidi w:val="0"/>
              <w:spacing w:line="360" w:lineRule="exac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品牌型号</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凯立扬牌</w:t>
            </w:r>
            <w:r>
              <w:rPr>
                <w:rFonts w:hint="eastAsia" w:ascii="宋体" w:hAnsi="宋体" w:eastAsia="宋体" w:cs="宋体"/>
                <w:color w:val="auto"/>
                <w:sz w:val="21"/>
                <w:szCs w:val="21"/>
              </w:rPr>
              <w:t>KLY5041XJHJX6</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3060" w:type="dxa"/>
            <w:vAlign w:val="top"/>
          </w:tcPr>
          <w:p>
            <w:pPr>
              <w:keepNext w:val="0"/>
              <w:keepLines w:val="0"/>
              <w:pageBreakBefore w:val="0"/>
              <w:kinsoku/>
              <w:overflowPunct/>
              <w:topLinePunct w:val="0"/>
              <w:bidi w:val="0"/>
              <w:spacing w:line="36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底盘</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sz w:val="21"/>
                <w:szCs w:val="21"/>
              </w:rPr>
              <w:t>福特新</w:t>
            </w:r>
            <w:r>
              <w:rPr>
                <w:rFonts w:hint="eastAsia" w:ascii="宋体" w:hAnsi="宋体" w:eastAsia="宋体" w:cs="宋体"/>
                <w:b w:val="0"/>
                <w:bCs/>
                <w:color w:val="auto"/>
                <w:sz w:val="21"/>
                <w:szCs w:val="21"/>
                <w:lang w:val="en-US" w:eastAsia="zh-CN"/>
              </w:rPr>
              <w:t>世</w:t>
            </w:r>
            <w:r>
              <w:rPr>
                <w:rFonts w:hint="eastAsia" w:ascii="宋体" w:hAnsi="宋体" w:eastAsia="宋体" w:cs="宋体"/>
                <w:b w:val="0"/>
                <w:bCs/>
                <w:color w:val="auto"/>
                <w:sz w:val="21"/>
                <w:szCs w:val="21"/>
              </w:rPr>
              <w:t>代全顺V348</w:t>
            </w:r>
            <w:r>
              <w:rPr>
                <w:rFonts w:hint="eastAsia" w:ascii="宋体" w:hAnsi="宋体" w:eastAsia="宋体" w:cs="宋体"/>
                <w:b w:val="0"/>
                <w:bCs/>
                <w:color w:val="auto"/>
                <w:sz w:val="21"/>
                <w:szCs w:val="21"/>
                <w:lang w:val="en-US" w:eastAsia="zh-CN"/>
              </w:rPr>
              <w:t>Pro</w:t>
            </w:r>
            <w:r>
              <w:rPr>
                <w:rFonts w:hint="eastAsia" w:ascii="宋体" w:hAnsi="宋体" w:eastAsia="宋体" w:cs="宋体"/>
                <w:b w:val="0"/>
                <w:bCs/>
                <w:color w:val="auto"/>
                <w:sz w:val="21"/>
                <w:szCs w:val="21"/>
              </w:rPr>
              <w:t>救护车</w:t>
            </w:r>
            <w:r>
              <w:rPr>
                <w:rFonts w:hint="eastAsia" w:ascii="宋体" w:hAnsi="宋体" w:eastAsia="宋体" w:cs="宋体"/>
                <w:b w:val="0"/>
                <w:bCs/>
                <w:color w:val="auto"/>
                <w:sz w:val="21"/>
                <w:szCs w:val="21"/>
                <w:lang w:val="en-US" w:eastAsia="zh-CN"/>
              </w:rPr>
              <w:t>（吸塑内饰、柴油国六）</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3060" w:type="dxa"/>
            <w:vAlign w:val="top"/>
          </w:tcPr>
          <w:p>
            <w:pPr>
              <w:keepNext w:val="0"/>
              <w:keepLines w:val="0"/>
              <w:pageBreakBefore w:val="0"/>
              <w:kinsoku/>
              <w:overflowPunct/>
              <w:topLinePunct w:val="0"/>
              <w:bidi w:val="0"/>
              <w:spacing w:line="36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底盘型号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JX6581TA-M6</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3060" w:type="dxa"/>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发动机型号 </w:t>
            </w:r>
          </w:p>
        </w:tc>
        <w:tc>
          <w:tcPr>
            <w:tcW w:w="5296" w:type="dxa"/>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DURATORQ4D226H</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3060" w:type="dxa"/>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发动机工作方式</w:t>
            </w:r>
          </w:p>
        </w:tc>
        <w:tc>
          <w:tcPr>
            <w:tcW w:w="5296" w:type="dxa"/>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增压中冷、高压共轨</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kinsoku/>
              <w:overflowPunct/>
              <w:topLinePunct w:val="0"/>
              <w:autoSpaceDE w:val="0"/>
              <w:autoSpaceDN w:val="0"/>
              <w:bidi w:val="0"/>
              <w:adjustRightInd w:val="0"/>
              <w:spacing w:line="36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燃料种类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柴油</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排量（ml）/功率（kw）</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2198/103</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排放标准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国六</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9</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外形尺寸（mm）</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5820×1974×2</w:t>
            </w:r>
            <w:r>
              <w:rPr>
                <w:rFonts w:hint="eastAsia" w:ascii="宋体" w:hAnsi="宋体" w:eastAsia="宋体" w:cs="宋体"/>
                <w:color w:val="auto"/>
                <w:sz w:val="21"/>
                <w:szCs w:val="21"/>
                <w:lang w:val="en-US" w:eastAsia="zh-CN"/>
              </w:rPr>
              <w:t>700</w:t>
            </w:r>
            <w:r>
              <w:rPr>
                <w:rFonts w:hint="eastAsia" w:ascii="宋体" w:hAnsi="宋体" w:eastAsia="宋体" w:cs="宋体"/>
                <w:color w:val="auto"/>
                <w:sz w:val="21"/>
                <w:szCs w:val="21"/>
              </w:rPr>
              <w:t xml:space="preserve"> (长×宽×高) </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舱内尺寸（mm）</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50×1750×1850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(长×宽×高)</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钢板弹簧片数</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轮胎数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轮胎规格</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215/75R16LT</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轮距(前/后)（mm）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1740/1704</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轴距（mm）</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3750</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轴荷</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1690/2010</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7</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轴数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转向型式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方向盘</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9</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总质量（kg）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3700</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20</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整备质量（kg）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2700</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额定载客（含驾驶员）（人）</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接近角/离去角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19/24</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3</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前悬/后悬（mm）</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973/1097</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4</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最高车速（km/h）</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25</w:t>
            </w:r>
          </w:p>
        </w:tc>
        <w:tc>
          <w:tcPr>
            <w:tcW w:w="3060" w:type="dxa"/>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变速器 </w:t>
            </w:r>
          </w:p>
        </w:tc>
        <w:tc>
          <w:tcPr>
            <w:tcW w:w="5296" w:type="dxa"/>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6个前进档、1个倒档</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26</w:t>
            </w:r>
          </w:p>
        </w:tc>
        <w:tc>
          <w:tcPr>
            <w:tcW w:w="3060"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燃油箱容量（L） </w:t>
            </w:r>
          </w:p>
        </w:tc>
        <w:tc>
          <w:tcPr>
            <w:tcW w:w="5296"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80 </w:t>
            </w:r>
          </w:p>
        </w:tc>
        <w:tc>
          <w:tcPr>
            <w:tcW w:w="796"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ABS+ ESP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28</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中控门锁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29</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驾驶室电动门窗，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30</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驾驶座安全气囊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31</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遥控钥匙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32</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驾驶室原厂冷暖系统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33</w:t>
            </w:r>
          </w:p>
        </w:tc>
        <w:tc>
          <w:tcPr>
            <w:tcW w:w="8356" w:type="dxa"/>
            <w:gridSpan w:val="2"/>
            <w:vAlign w:val="center"/>
          </w:tcPr>
          <w:p>
            <w:pPr>
              <w:keepNext w:val="0"/>
              <w:keepLines w:val="0"/>
              <w:pageBreakBefore w:val="0"/>
              <w:kinsoku/>
              <w:overflowPunct/>
              <w:topLinePunct w:val="0"/>
              <w:bidi w:val="0"/>
              <w:spacing w:line="360" w:lineRule="exact"/>
              <w:textAlignment w:val="top"/>
              <w:rPr>
                <w:rFonts w:hint="eastAsia" w:ascii="宋体" w:hAnsi="宋体" w:eastAsia="宋体" w:cs="宋体"/>
                <w:b/>
                <w:color w:val="auto"/>
                <w:sz w:val="21"/>
                <w:szCs w:val="21"/>
              </w:rPr>
            </w:pPr>
            <w:r>
              <w:rPr>
                <w:rFonts w:hint="eastAsia" w:ascii="宋体" w:hAnsi="宋体" w:eastAsia="宋体" w:cs="宋体"/>
                <w:b w:val="0"/>
                <w:bCs/>
                <w:color w:val="auto"/>
                <w:sz w:val="21"/>
                <w:szCs w:val="21"/>
              </w:rPr>
              <w:t xml:space="preserve">可视倒车影像  </w:t>
            </w:r>
            <w:r>
              <w:rPr>
                <w:rFonts w:hint="eastAsia" w:ascii="宋体" w:hAnsi="宋体" w:eastAsia="宋体" w:cs="宋体"/>
                <w:b/>
                <w:color w:val="auto"/>
                <w:sz w:val="21"/>
                <w:szCs w:val="21"/>
              </w:rPr>
              <w:t xml:space="preserve">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34</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同色保险杆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35</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驾驶室三座椅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36</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定</w:t>
            </w:r>
            <w:r>
              <w:rPr>
                <w:rFonts w:hint="eastAsia" w:ascii="宋体" w:hAnsi="宋体" w:eastAsia="宋体" w:cs="宋体"/>
                <w:b w:val="0"/>
                <w:bCs w:val="0"/>
                <w:color w:val="auto"/>
                <w:sz w:val="21"/>
                <w:szCs w:val="21"/>
                <w:lang w:val="en-US" w:eastAsia="zh-CN"/>
              </w:rPr>
              <w:t>速</w:t>
            </w:r>
            <w:r>
              <w:rPr>
                <w:rFonts w:hint="eastAsia" w:ascii="宋体" w:hAnsi="宋体" w:eastAsia="宋体" w:cs="宋体"/>
                <w:b w:val="0"/>
                <w:bCs w:val="0"/>
                <w:color w:val="auto"/>
                <w:sz w:val="21"/>
                <w:szCs w:val="21"/>
              </w:rPr>
              <w:t>巡航，自动雨刷</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7</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后门双开180度开启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766" w:type="dxa"/>
            <w:vAlign w:val="center"/>
          </w:tcPr>
          <w:p>
            <w:pPr>
              <w:keepNext w:val="0"/>
              <w:keepLines w:val="0"/>
              <w:pageBreakBefore w:val="0"/>
              <w:widowControl/>
              <w:kinsoku/>
              <w:overflowPunct/>
              <w:topLinePunct w:val="0"/>
              <w:bidi w:val="0"/>
              <w:spacing w:before="100" w:beforeAutospacing="1" w:after="100" w:afterAutospacing="1"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8</w:t>
            </w:r>
          </w:p>
        </w:tc>
        <w:tc>
          <w:tcPr>
            <w:tcW w:w="8356" w:type="dxa"/>
            <w:gridSpan w:val="2"/>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后门及侧门脚踏板,右侧中门为大开门，中门为伸缩式机械踏板 </w:t>
            </w:r>
          </w:p>
        </w:tc>
        <w:tc>
          <w:tcPr>
            <w:tcW w:w="796" w:type="dxa"/>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bl>
    <w:p>
      <w:pPr>
        <w:keepNext w:val="0"/>
        <w:keepLines w:val="0"/>
        <w:pageBreakBefore w:val="0"/>
        <w:widowControl/>
        <w:kinsoku/>
        <w:overflowPunct/>
        <w:topLinePunct w:val="0"/>
        <w:bidi w:val="0"/>
        <w:spacing w:line="360" w:lineRule="exact"/>
        <w:jc w:val="left"/>
        <w:rPr>
          <w:rFonts w:hint="eastAsia" w:ascii="宋体" w:hAnsi="宋体" w:cs="宋体"/>
          <w:b/>
          <w:bCs/>
          <w:color w:val="auto"/>
          <w:sz w:val="21"/>
          <w:szCs w:val="21"/>
          <w:lang w:eastAsia="zh-CN"/>
        </w:rPr>
      </w:pPr>
    </w:p>
    <w:p>
      <w:pPr>
        <w:keepNext w:val="0"/>
        <w:keepLines w:val="0"/>
        <w:pageBreakBefore w:val="0"/>
        <w:widowControl/>
        <w:kinsoku/>
        <w:overflowPunct/>
        <w:topLinePunct w:val="0"/>
        <w:bidi w:val="0"/>
        <w:spacing w:line="360" w:lineRule="exact"/>
        <w:jc w:val="left"/>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二、加装设备：</w:t>
      </w:r>
    </w:p>
    <w:tbl>
      <w:tblPr>
        <w:tblStyle w:val="11"/>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461"/>
        <w:gridCol w:w="5"/>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43" w:type="dxa"/>
            <w:gridSpan w:val="4"/>
            <w:vAlign w:val="center"/>
          </w:tcPr>
          <w:p>
            <w:pPr>
              <w:keepNext w:val="0"/>
              <w:keepLines w:val="0"/>
              <w:pageBreakBefore w:val="0"/>
              <w:kinsoku/>
              <w:overflowPunct/>
              <w:topLinePunct w:val="0"/>
              <w:bidi w:val="0"/>
              <w:spacing w:line="360" w:lineRule="exact"/>
              <w:ind w:left="-107" w:leftChars="-51" w:firstLine="95" w:firstLineChars="45"/>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车顶警灯及照明系统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驾驶舱安装警灯、警报控制器（含对外喊话麦克风及100W扩音喇叭）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车顶前部左右两侧各安装一套菱形镶嵌式蓝色灯罩，内安装LED蓝色爆闪灯</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车顶尾部左右两侧安装F形镶嵌式蓝色灯罩，内安装LED蓝色爆闪灯</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车头保险杠两侧安装方形LED蓝色爆闪灯各一盏</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车顶尾部安装外场照明灯（照射角度向车底倾斜）及高位刹车灯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43" w:type="dxa"/>
            <w:gridSpan w:val="4"/>
            <w:vAlign w:val="center"/>
          </w:tcPr>
          <w:p>
            <w:pPr>
              <w:keepNext w:val="0"/>
              <w:keepLines w:val="0"/>
              <w:pageBreakBefore w:val="0"/>
              <w:kinsoku/>
              <w:overflowPunct/>
              <w:topLinePunct w:val="0"/>
              <w:bidi w:val="0"/>
              <w:spacing w:line="36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电器设备</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8466" w:type="dxa"/>
            <w:gridSpan w:val="2"/>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舱配电采用钥匙点火控制装置，当钥匙开启至二档状态，医疗舱整套供电系统自动连接电瓶电源，全套设备可正常工作，当钥匙退到二档以下或拔出状态，全舱自动断电（起到防止用电器忘关导致电瓶电量流失而无法启动的作用）。</w:t>
            </w:r>
          </w:p>
        </w:tc>
        <w:tc>
          <w:tcPr>
            <w:tcW w:w="773"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8466" w:type="dxa"/>
            <w:gridSpan w:val="2"/>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医疗舱控制系统采用集成控制，改装电路系统配备集成控制主机箱（提高整套电路系统安全性；维修、更换保险方便快捷、易操作）</w:t>
            </w:r>
          </w:p>
        </w:tc>
        <w:tc>
          <w:tcPr>
            <w:tcW w:w="773"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8466" w:type="dxa"/>
            <w:gridSpan w:val="2"/>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舱主控开关为7寸液晶显示触摸开关，集成控制照明灯，换气扇（二级开关界面带送风和排风按钮开关），射灯，外场照明灯，暖风机，空调，交流电压，消毒灯1-60分钟定时设置；液晶显示器带医疗舱温度，湿度，吸引器开关状态，医疗舱12V/220V电压显示,并配备一组机械式应急按钮开关，防止液晶触摸开关失灵时，可以应急开启车内设备，提供实物照片证明；</w:t>
            </w:r>
          </w:p>
        </w:tc>
        <w:tc>
          <w:tcPr>
            <w:tcW w:w="773"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医疗舱车顶安装紫外线灭菌灯，可通过7寸液晶控制开关设置1-60分钟的消毒时间</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10</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医疗舱装独立冷暖空调系统，开启后舱空调制冷15分钟后，舱内温度相对外界温度至少降低7℃，须提供第三方实测检测报告，并提供检测机资质认定证书证明文件；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医疗舱顶部为ABS模具一次成型顶，顶部造型为3组口字形，每组口字形内嵌式加装隐藏式灯带</w:t>
            </w:r>
            <w:r>
              <w:rPr>
                <w:rFonts w:hint="eastAsia" w:ascii="宋体" w:hAnsi="宋体" w:eastAsia="宋体" w:cs="宋体"/>
                <w:color w:val="auto"/>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医疗舱顶部中间一组口字形造型面板上安装LED射灯 (供输液时使用)4盏，射灯</w:t>
            </w:r>
            <w:r>
              <w:rPr>
                <w:rFonts w:hint="eastAsia" w:ascii="宋体" w:hAnsi="宋体" w:eastAsia="宋体" w:cs="宋体"/>
                <w:color w:val="auto"/>
                <w:sz w:val="21"/>
                <w:szCs w:val="21"/>
              </w:rPr>
              <w:t>工作电压12V,光源角度120度可调，工作电压12V,功率3W，</w:t>
            </w:r>
            <w:r>
              <w:rPr>
                <w:rStyle w:val="16"/>
                <w:rFonts w:hint="eastAsia" w:ascii="宋体" w:hAnsi="宋体" w:eastAsia="宋体" w:cs="宋体"/>
                <w:color w:val="auto"/>
                <w:kern w:val="0"/>
                <w:sz w:val="21"/>
                <w:szCs w:val="21"/>
              </w:rPr>
              <w:t>色温中性白；</w:t>
            </w:r>
            <w:r>
              <w:rPr>
                <w:rFonts w:hint="eastAsia" w:ascii="宋体" w:hAnsi="宋体" w:eastAsia="宋体" w:cs="宋体"/>
                <w:color w:val="auto"/>
                <w:kern w:val="0"/>
                <w:sz w:val="21"/>
                <w:szCs w:val="21"/>
              </w:rPr>
              <w:t xml:space="preserve">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3</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医疗舱尾顶部加装一盏120度可调整的照明灯（担架上车照明）</w:t>
            </w:r>
            <w:r>
              <w:rPr>
                <w:rFonts w:hint="eastAsia" w:ascii="宋体" w:hAnsi="宋体" w:eastAsia="宋体" w:cs="宋体"/>
                <w:color w:val="auto"/>
                <w:kern w:val="0"/>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医疗舱安装顶部换气扇；换气量：700m³/小时，每小时气次≥60次，医疗舱换气扇内盖可手动关闭和打开</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 xml:space="preserve">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医疗舱配备</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00W车载智能纯正弦波充电逆变一体机，提供24小时不间断电源，</w:t>
            </w:r>
            <w:r>
              <w:rPr>
                <w:rFonts w:hint="eastAsia" w:ascii="宋体" w:hAnsi="宋体" w:eastAsia="宋体" w:cs="宋体"/>
                <w:color w:val="auto"/>
                <w:sz w:val="21"/>
                <w:szCs w:val="21"/>
              </w:rPr>
              <w:t>，配备220V/10A防水、带防护盖的中国规格外接电源系统一套；逆变器采用智能CPU控制技术，纯正弦波交流输出，市电互补，自动切转，市电充电；</w:t>
            </w:r>
            <w:r>
              <w:rPr>
                <w:rFonts w:hint="eastAsia" w:ascii="宋体" w:hAnsi="宋体" w:eastAsia="宋体" w:cs="宋体"/>
                <w:color w:val="auto"/>
                <w:kern w:val="0"/>
                <w:sz w:val="21"/>
                <w:szCs w:val="21"/>
              </w:rPr>
              <w:t>额定功率：1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KW，额定电压：DC12V, 充电电压: 13.5V（±2％）, 电压范围: 220VAC;±5％（逆变模式）,输出效率：＞85％（80％阻性负载），输出过载: 110-120％/30S；＞160％/300ms, 保护功能: 蓄电池过压和低压保护、过载保护、短路保护、过温保护等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医疗舱内安装交流 220v插座（</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套）直流12V插座（2套）</w:t>
            </w:r>
            <w:r>
              <w:rPr>
                <w:rFonts w:hint="eastAsia" w:ascii="宋体" w:hAnsi="宋体" w:eastAsia="宋体" w:cs="宋体"/>
                <w:color w:val="auto"/>
                <w:kern w:val="0"/>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43" w:type="dxa"/>
            <w:gridSpan w:val="4"/>
            <w:vAlign w:val="center"/>
          </w:tcPr>
          <w:p>
            <w:pPr>
              <w:keepNext w:val="0"/>
              <w:keepLines w:val="0"/>
              <w:pageBreakBefore w:val="0"/>
              <w:kinsoku/>
              <w:overflowPunct/>
              <w:topLinePunct w:val="0"/>
              <w:bidi w:val="0"/>
              <w:spacing w:line="36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车身标识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7</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车身周边粘贴蓝色或红色反光膜及急救标识（特殊由用户指定）</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43" w:type="dxa"/>
            <w:gridSpan w:val="4"/>
            <w:vAlign w:val="center"/>
          </w:tcPr>
          <w:p>
            <w:pPr>
              <w:keepNext w:val="0"/>
              <w:keepLines w:val="0"/>
              <w:pageBreakBefore w:val="0"/>
              <w:kinsoku/>
              <w:overflowPunct/>
              <w:topLinePunct w:val="0"/>
              <w:bidi w:val="0"/>
              <w:spacing w:line="36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急救舱内部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p>
        </w:tc>
        <w:tc>
          <w:tcPr>
            <w:tcW w:w="8461"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医疗舱隔墙、左右侧壁，内顶，吊柜，柜式床，氧气柜，药品柜均采用ABS吸塑一次成型高分子环保材料制作，符合符合GB 8410-2006《汽车内饰材料的燃烧特性》的要求；</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9</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医疗舱地板采用医用耐酸、碱、防火、防滑、防静电的海蓝色地板革（可提供国家汽车质量监督检验中心出具的检测报告,符合GB 8410-2006《汽车内饰材料的燃烧特性》的要求,</w:t>
            </w:r>
            <w:r>
              <w:rPr>
                <w:rFonts w:hint="eastAsia" w:ascii="宋体" w:hAnsi="宋体" w:eastAsia="宋体" w:cs="宋体"/>
                <w:color w:val="auto"/>
                <w:sz w:val="21"/>
                <w:szCs w:val="21"/>
              </w:rPr>
              <w:t xml:space="preserve">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8461" w:type="dxa"/>
            <w:vAlign w:val="center"/>
          </w:tcPr>
          <w:p>
            <w:pPr>
              <w:keepNext w:val="0"/>
              <w:keepLines w:val="0"/>
              <w:pageBreakBefore w:val="0"/>
              <w:widowControl/>
              <w:kinsoku/>
              <w:overflowPunct/>
              <w:topLinePunct w:val="0"/>
              <w:bidi w:val="0"/>
              <w:spacing w:line="36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驾驶室与医疗舱安装ABS吸塑一次成型分隔墙, 分开前后车厢, 分隔墙上有一个滑行窗,玻璃透明供前后车厢观望</w:t>
            </w:r>
            <w:r>
              <w:rPr>
                <w:rFonts w:hint="eastAsia" w:ascii="宋体" w:hAnsi="宋体" w:eastAsia="宋体" w:cs="宋体"/>
                <w:color w:val="auto"/>
                <w:kern w:val="0"/>
                <w:sz w:val="21"/>
                <w:szCs w:val="21"/>
                <w:lang w:eastAsia="zh-CN"/>
              </w:rPr>
              <w:t>，隔墙上安装前后对讲系统（免提式）；</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21</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医疗舱隔断处安装玻璃钢材质综合药品柜，用玻璃钢一次性模具成形工艺，玻璃钢剪切强度≥8.55x100kPa,拉伸强度≥112MPa，弯曲强度≥215 MPa，玻璃纤维含量≥33.3%,需提供实物照片及产品第三方检测机构出具检验报告证明材料。</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医疗舱顶部左侧加装4套ABS吸塑一次成型吊柜，柜门为黑色有机玻璃上开门，每个柜门上装有不锈钢锁扣； </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3</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医疗舱顶部担架正上方加装折叠式输液挂架2组，每组上可挂2个吊瓶；</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4</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医疗舱右侧柜式床上方位置加装1.2米一字扶手， </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5</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医疗舱左侧前部安装一组药品柜，材质为ABS吸塑一次成型，内可放置小药品</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6</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医疗舱左侧后方安装ABS吸塑一次成型氧气瓶柜（柜内安装2个10L铝合金氧气瓶，氧气瓶耐压为15Mpa；配双标减压阀，压力表面径40mm，减压阀带安全泄压装置）</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医疗舱氧气瓶柜前部安装一个长条物品柜，台面预留设备安装位置（柜内预留负压设备安装位置）</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8</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左侧长条物品柜上部加装铝合金设备固定带，设备固定带上加装可左右移动设备固定支架，可根据设备大小左右调节；设备带上旁边加装有12V/220V插座；靠近氧气柜处加装一套支架25MM的不锈钢立杆，用于固定输液泵注射时泵等设备；</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9</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医疗舱左侧壁安装1组氧气低压手动切换汇流排，氧气终端接口为国标并配备一个湿化瓶</w:t>
            </w:r>
            <w:r>
              <w:rPr>
                <w:rFonts w:hint="eastAsia" w:ascii="宋体" w:hAnsi="宋体" w:eastAsia="宋体" w:cs="宋体"/>
                <w:color w:val="auto"/>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医疗舱隔墙正后方加装一套可折叠医生监护座椅，座椅朝后正对病人头部，方便医护人员更好的护理伤员；需满足 GB15083-2019《汽车座椅头枕强度要求和试验方 法》的要求，可提供第三方检测报告；</w:t>
            </w:r>
          </w:p>
        </w:tc>
        <w:tc>
          <w:tcPr>
            <w:tcW w:w="778" w:type="dxa"/>
            <w:gridSpan w:val="2"/>
            <w:vAlign w:val="center"/>
          </w:tcPr>
          <w:p>
            <w:pPr>
              <w:keepNext w:val="0"/>
              <w:keepLines w:val="0"/>
              <w:pageBreakBefore w:val="0"/>
              <w:widowControl/>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31</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医疗舱右侧安装</w:t>
            </w:r>
            <w:r>
              <w:rPr>
                <w:rFonts w:hint="eastAsia" w:ascii="宋体" w:hAnsi="宋体" w:eastAsia="宋体" w:cs="宋体"/>
                <w:color w:val="auto"/>
                <w:sz w:val="21"/>
                <w:szCs w:val="21"/>
                <w:lang w:val="en-US" w:eastAsia="zh-CN"/>
              </w:rPr>
              <w:t>3个朝前座椅（软包）</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32</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医疗舱柜式前部安装一套单人朝前座椅（座椅靠背向后调节最大角度为135度），GB15083-2019《汽车座椅、 座椅固定装置及头枕强度要求和试验方法》的要求，可提供第三方检测报告</w:t>
            </w:r>
            <w:r>
              <w:rPr>
                <w:rFonts w:hint="eastAsia" w:ascii="宋体" w:hAnsi="宋体" w:eastAsia="宋体" w:cs="宋体"/>
                <w:color w:val="auto"/>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3</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医疗舱配备自动上车担架下铺不锈钢平板（含担架上车导板及导向滑轨）</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一：自动上车担架外形尺寸及重量</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1：长*宽*高 ：195*58*87cm（高位时），195*58*23cm（低位时）</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2：自重：33Kg</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3：承重：181Kg</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二：自动上车担架技术特点</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1：主要用于转运病人上下救护车</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2：材料采用高强度铝合金材料进行硬化和表面处理</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3：头部靠背可调，最大仰角53°</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4：配有两个固定轮、两个万向轮，轮子直径125mm，万向轮带刹车</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5：折腿机构可由两边把手控制，仅需一名救护车人员可推上车</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6：上车高度可三档调节分别为：68cm、63cm、58cm</w:t>
            </w:r>
          </w:p>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7：采用铝合金翻转式护栏方便病人上下担架，并配有二根安全带</w:t>
            </w:r>
          </w:p>
        </w:tc>
        <w:tc>
          <w:tcPr>
            <w:tcW w:w="778" w:type="dxa"/>
            <w:gridSpan w:val="2"/>
            <w:vAlign w:val="center"/>
          </w:tcPr>
          <w:p>
            <w:pPr>
              <w:keepNext w:val="0"/>
              <w:keepLines w:val="0"/>
              <w:pageBreakBefore w:val="0"/>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4</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医疗舱配备铲式担架一套； </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5</w:t>
            </w:r>
          </w:p>
        </w:tc>
        <w:tc>
          <w:tcPr>
            <w:tcW w:w="8461" w:type="dxa"/>
            <w:vAlign w:val="center"/>
          </w:tcPr>
          <w:p>
            <w:pPr>
              <w:keepNext w:val="0"/>
              <w:keepLines w:val="0"/>
              <w:pageBreakBefore w:val="0"/>
              <w:tabs>
                <w:tab w:val="left" w:pos="2258"/>
              </w:tabs>
              <w:kinsoku/>
              <w:overflowPunct/>
              <w:topLinePunct w:val="0"/>
              <w:bidi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医疗舱配备可消毒，可清洗污脚踏式物桶</w:t>
            </w:r>
            <w:r>
              <w:rPr>
                <w:rFonts w:hint="eastAsia" w:ascii="宋体" w:hAnsi="宋体" w:eastAsia="宋体" w:cs="宋体"/>
                <w:color w:val="auto"/>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6</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医疗舱配备1KG灭火器及固定支架，安全锤一套</w:t>
            </w:r>
            <w:r>
              <w:rPr>
                <w:rFonts w:hint="eastAsia" w:ascii="宋体" w:hAnsi="宋体" w:eastAsia="宋体" w:cs="宋体"/>
                <w:color w:val="auto"/>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7</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医疗舱右侧及后门玻璃贴2/3半透明亚膜</w:t>
            </w:r>
            <w:r>
              <w:rPr>
                <w:rFonts w:hint="eastAsia" w:ascii="宋体" w:hAnsi="宋体" w:eastAsia="宋体" w:cs="宋体"/>
                <w:color w:val="auto"/>
                <w:sz w:val="21"/>
                <w:szCs w:val="21"/>
                <w:lang w:eastAsia="zh-CN"/>
              </w:rPr>
              <w:t>；</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8</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医疗舱配备便携式臭氧消毒机；</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9</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医疗舱配备脊柱固定板；</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40</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救护车配备行车四路监控；</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keepNext w:val="0"/>
              <w:keepLines w:val="0"/>
              <w:pageBreakBefore w:val="0"/>
              <w:tabs>
                <w:tab w:val="left" w:pos="2258"/>
              </w:tabs>
              <w:kinsoku/>
              <w:overflowPunct/>
              <w:topLinePunct w:val="0"/>
              <w:bidi w:val="0"/>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w:t>
            </w:r>
          </w:p>
        </w:tc>
        <w:tc>
          <w:tcPr>
            <w:tcW w:w="8461" w:type="dxa"/>
            <w:vAlign w:val="center"/>
          </w:tcPr>
          <w:p>
            <w:pPr>
              <w:keepNext w:val="0"/>
              <w:keepLines w:val="0"/>
              <w:pageBreakBefore w:val="0"/>
              <w:kinsoku/>
              <w:overflowPunct/>
              <w:topLinePunct w:val="0"/>
              <w:bidi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驾驶室配备应急电源启动开关；</w:t>
            </w:r>
          </w:p>
        </w:tc>
        <w:tc>
          <w:tcPr>
            <w:tcW w:w="778" w:type="dxa"/>
            <w:gridSpan w:val="2"/>
            <w:vAlign w:val="center"/>
          </w:tcPr>
          <w:p>
            <w:pPr>
              <w:keepNext w:val="0"/>
              <w:keepLines w:val="0"/>
              <w:pageBreakBefore w:val="0"/>
              <w:tabs>
                <w:tab w:val="left" w:pos="2258"/>
              </w:tabs>
              <w:kinsoku/>
              <w:overflowPunct/>
              <w:topLinePunct w:val="0"/>
              <w:bidi w:val="0"/>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r>
    </w:tbl>
    <w:p>
      <w:pPr>
        <w:keepNext w:val="0"/>
        <w:keepLines w:val="0"/>
        <w:pageBreakBefore w:val="0"/>
        <w:kinsoku/>
        <w:overflowPunct/>
        <w:topLinePunct w:val="0"/>
        <w:bidi w:val="0"/>
        <w:spacing w:beforeLines="100" w:line="360" w:lineRule="exact"/>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三</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商务</w:t>
      </w:r>
      <w:r>
        <w:rPr>
          <w:rFonts w:hint="eastAsia" w:ascii="宋体" w:hAnsi="宋体" w:eastAsia="宋体" w:cs="宋体"/>
          <w:b/>
          <w:bCs/>
          <w:color w:val="auto"/>
          <w:sz w:val="21"/>
          <w:szCs w:val="21"/>
        </w:rPr>
        <w:t>要求：</w:t>
      </w:r>
    </w:p>
    <w:p>
      <w:pPr>
        <w:keepNext w:val="0"/>
        <w:keepLines w:val="0"/>
        <w:pageBreakBefore w:val="0"/>
        <w:kinsoku/>
        <w:overflowPunct/>
        <w:topLinePunct w:val="0"/>
        <w:bidi w:val="0"/>
        <w:spacing w:line="360" w:lineRule="exac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rPr>
        <w:t>报价包含货物采购、制造、改造、包装、运输、劳务、管理、利润、税金、保险、协调、装卸、调试、培训、第三方检测验收费用（如有）、承诺售后服务期限内售后服务费用以及相关文件规定及合同包含的所有风险、责任等各项应有费用。</w:t>
      </w:r>
    </w:p>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2、签订合同时间：自成交通知书发出之日起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日内凭成交通知书与采购人签订采购合同，延期自误。</w:t>
      </w:r>
    </w:p>
    <w:p>
      <w:pPr>
        <w:keepNext w:val="0"/>
        <w:keepLines w:val="0"/>
        <w:pageBreakBefore w:val="0"/>
        <w:kinsoku/>
        <w:overflowPunct/>
        <w:topLinePunct w:val="0"/>
        <w:bidi w:val="0"/>
        <w:spacing w:line="36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3、交货时间：签订合同即日起</w:t>
      </w:r>
      <w:r>
        <w:rPr>
          <w:rFonts w:hint="eastAsia" w:ascii="宋体" w:hAnsi="宋体" w:eastAsia="宋体" w:cs="宋体"/>
          <w:color w:val="auto"/>
          <w:sz w:val="21"/>
          <w:szCs w:val="21"/>
          <w:u w:val="single"/>
          <w:lang w:val="en-US" w:eastAsia="zh-CN"/>
        </w:rPr>
        <w:t>15</w:t>
      </w:r>
      <w:r>
        <w:rPr>
          <w:rFonts w:hint="eastAsia" w:ascii="宋体" w:hAnsi="宋体" w:eastAsia="宋体" w:cs="宋体"/>
          <w:color w:val="auto"/>
          <w:sz w:val="21"/>
          <w:szCs w:val="21"/>
        </w:rPr>
        <w:t>日内完成安装、调试工作。</w:t>
      </w:r>
    </w:p>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4、交货地点：采购人指定地点。</w:t>
      </w:r>
    </w:p>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Cs/>
          <w:color w:val="auto"/>
          <w:sz w:val="21"/>
          <w:szCs w:val="21"/>
        </w:rPr>
        <w:t>交货方式：现场安装调试。</w:t>
      </w:r>
    </w:p>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6、乙方必须按响应文件承诺的技术参数、性能要求、质量标准等向甲方提供全新、完整、未经使用的货物。</w:t>
      </w:r>
    </w:p>
    <w:p>
      <w:pPr>
        <w:keepNext w:val="0"/>
        <w:keepLines w:val="0"/>
        <w:pageBreakBefore w:val="0"/>
        <w:kinsoku/>
        <w:overflowPunct/>
        <w:topLinePunct w:val="0"/>
        <w:autoSpaceDE w:val="0"/>
        <w:autoSpaceDN w:val="0"/>
        <w:bidi w:val="0"/>
        <w:adjustRightIn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7、供应商须按国家有关规定实行“三包”，免费送货上门。提供现场免费安装、调试设备，进行操作试验，直至运行正常。</w:t>
      </w:r>
    </w:p>
    <w:p>
      <w:pPr>
        <w:keepNext w:val="0"/>
        <w:keepLines w:val="0"/>
        <w:pageBreakBefore w:val="0"/>
        <w:kinsoku/>
        <w:overflowPunct/>
        <w:topLinePunct w:val="0"/>
        <w:autoSpaceDE w:val="0"/>
        <w:autoSpaceDN w:val="0"/>
        <w:bidi w:val="0"/>
        <w:adjustRightInd w:val="0"/>
        <w:spacing w:line="360" w:lineRule="exact"/>
        <w:rPr>
          <w:rFonts w:hint="eastAsia" w:ascii="宋体" w:hAnsi="宋体" w:eastAsia="宋体" w:cs="宋体"/>
          <w:color w:val="auto"/>
          <w:sz w:val="21"/>
          <w:szCs w:val="21"/>
        </w:rPr>
      </w:pPr>
      <w:r>
        <w:rPr>
          <w:rFonts w:hint="eastAsia" w:ascii="宋体" w:hAnsi="宋体" w:eastAsia="宋体" w:cs="宋体"/>
          <w:bCs/>
          <w:color w:val="auto"/>
          <w:kern w:val="0"/>
          <w:sz w:val="21"/>
          <w:szCs w:val="21"/>
          <w:lang w:val="en-US" w:eastAsia="zh-CN"/>
        </w:rPr>
        <w:t>8</w:t>
      </w:r>
      <w:r>
        <w:rPr>
          <w:rFonts w:hint="eastAsia" w:ascii="宋体" w:hAnsi="宋体" w:eastAsia="宋体" w:cs="宋体"/>
          <w:bCs/>
          <w:color w:val="auto"/>
          <w:kern w:val="0"/>
          <w:sz w:val="21"/>
          <w:szCs w:val="21"/>
        </w:rPr>
        <w:t>、验收标准、规范：符合相关验收标准，如验收过程中，采购人发现存在不符相关标准的，供应商应无条件置换</w:t>
      </w:r>
    </w:p>
    <w:p>
      <w:pPr>
        <w:keepNext w:val="0"/>
        <w:keepLines w:val="0"/>
        <w:pageBreakBefore w:val="0"/>
        <w:kinsoku/>
        <w:overflowPunct/>
        <w:topLinePunct w:val="0"/>
        <w:autoSpaceDE w:val="0"/>
        <w:autoSpaceDN w:val="0"/>
        <w:bidi w:val="0"/>
        <w:adjustRightInd w:val="0"/>
        <w:spacing w:line="36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、质保期：按国家有关产品“三包”规定执行“三包”，车辆</w:t>
      </w:r>
      <w:r>
        <w:rPr>
          <w:rFonts w:hint="eastAsia" w:ascii="宋体" w:hAnsi="宋体" w:eastAsia="宋体" w:cs="宋体"/>
          <w:color w:val="auto"/>
          <w:sz w:val="21"/>
          <w:szCs w:val="21"/>
          <w:lang w:val="en-US" w:eastAsia="zh-CN"/>
        </w:rPr>
        <w:t>底盘</w:t>
      </w:r>
      <w:r>
        <w:rPr>
          <w:rFonts w:hint="eastAsia" w:ascii="宋体" w:hAnsi="宋体" w:eastAsia="宋体" w:cs="宋体"/>
          <w:color w:val="auto"/>
          <w:sz w:val="21"/>
          <w:szCs w:val="21"/>
        </w:rPr>
        <w:t>保修期不少于三年</w:t>
      </w:r>
      <w:r>
        <w:rPr>
          <w:rFonts w:hint="eastAsia" w:ascii="宋体" w:hAnsi="宋体" w:eastAsia="宋体" w:cs="宋体"/>
          <w:color w:val="auto"/>
          <w:sz w:val="21"/>
          <w:szCs w:val="21"/>
          <w:lang w:val="en-US" w:eastAsia="zh-CN"/>
        </w:rPr>
        <w:t>或6万公里（以先到为准）</w:t>
      </w:r>
      <w:r>
        <w:rPr>
          <w:rFonts w:hint="eastAsia" w:ascii="宋体" w:hAnsi="宋体" w:eastAsia="宋体" w:cs="宋体"/>
          <w:color w:val="auto"/>
          <w:sz w:val="21"/>
          <w:szCs w:val="21"/>
        </w:rPr>
        <w:t>，车辆</w:t>
      </w:r>
      <w:r>
        <w:rPr>
          <w:rFonts w:hint="eastAsia" w:ascii="宋体" w:hAnsi="宋体" w:eastAsia="宋体" w:cs="宋体"/>
          <w:color w:val="auto"/>
          <w:sz w:val="21"/>
          <w:szCs w:val="21"/>
          <w:lang w:val="en-US" w:eastAsia="zh-CN"/>
        </w:rPr>
        <w:t>改装部分和设备</w:t>
      </w:r>
      <w:r>
        <w:rPr>
          <w:rFonts w:hint="eastAsia" w:ascii="宋体" w:hAnsi="宋体" w:eastAsia="宋体" w:cs="宋体"/>
          <w:color w:val="auto"/>
          <w:sz w:val="21"/>
          <w:szCs w:val="21"/>
        </w:rPr>
        <w:t>保修期不少于一年，车辆</w:t>
      </w:r>
      <w:r>
        <w:rPr>
          <w:rFonts w:hint="eastAsia" w:ascii="宋体" w:hAnsi="宋体" w:eastAsia="宋体" w:cs="宋体"/>
          <w:color w:val="auto"/>
          <w:sz w:val="21"/>
          <w:szCs w:val="21"/>
          <w:lang w:val="en-US" w:eastAsia="zh-CN"/>
        </w:rPr>
        <w:t>改装部分和</w:t>
      </w:r>
      <w:r>
        <w:rPr>
          <w:rFonts w:hint="eastAsia" w:ascii="宋体" w:hAnsi="宋体" w:eastAsia="宋体" w:cs="宋体"/>
          <w:color w:val="auto"/>
          <w:sz w:val="21"/>
          <w:szCs w:val="21"/>
        </w:rPr>
        <w:t>设备保修期内负责上门服务、维修、更换，不得收取任何费用。（自交货验收合格之日起计）。</w:t>
      </w:r>
      <w:r>
        <w:rPr>
          <w:rFonts w:hint="eastAsia" w:ascii="宋体" w:hAnsi="宋体" w:eastAsia="宋体" w:cs="宋体"/>
          <w:i w:val="0"/>
          <w:iCs w:val="0"/>
          <w:caps w:val="0"/>
          <w:color w:val="auto"/>
          <w:spacing w:val="0"/>
          <w:sz w:val="21"/>
          <w:szCs w:val="21"/>
          <w:shd w:val="clear" w:fill="FFFFFF"/>
        </w:rPr>
        <w:t>在三包期内，对改装部分，若产生质量问题，接通知后48小时内派员到场解决。</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10、故障响应时间：货物发生故障时接到通知后2小时内响应，24小时内工程人员到达现场维修；一般问题应在48小时内解决，一周内未维修好的重大问题或其它无法迅速解决的问题须提供解决或提出明确解决方案。</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11、售后服务内容：</w:t>
      </w:r>
      <w:r>
        <w:rPr>
          <w:rFonts w:hint="eastAsia" w:ascii="宋体" w:hAnsi="宋体" w:eastAsia="宋体" w:cs="宋体"/>
          <w:color w:val="auto"/>
          <w:sz w:val="21"/>
          <w:szCs w:val="21"/>
        </w:rPr>
        <w:t xml:space="preserve"> </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（1）负责送货上门，安装调试，</w:t>
      </w:r>
      <w:r>
        <w:rPr>
          <w:rFonts w:hint="eastAsia" w:ascii="宋体" w:hAnsi="宋体" w:eastAsia="宋体" w:cs="宋体"/>
          <w:color w:val="auto"/>
          <w:sz w:val="21"/>
          <w:szCs w:val="21"/>
          <w:lang w:val="en-US" w:eastAsia="zh-CN"/>
        </w:rPr>
        <w:t>免费</w:t>
      </w:r>
      <w:r>
        <w:rPr>
          <w:rFonts w:hint="eastAsia" w:ascii="宋体" w:hAnsi="宋体" w:eastAsia="宋体" w:cs="宋体"/>
          <w:color w:val="auto"/>
          <w:sz w:val="21"/>
          <w:szCs w:val="21"/>
        </w:rPr>
        <w:t>培训操作人员。</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A、由供应商安排工程师现场指导，学习理论及实际操作；</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B、掌握专用车的基本理论，性能以及功能；</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C、按程序能熟练的操作；</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D、能进行正常的日常维护，排除一般技术故障。</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质保期间，因质量问题</w:t>
      </w:r>
      <w:r>
        <w:rPr>
          <w:rFonts w:hint="eastAsia" w:ascii="宋体" w:hAnsi="宋体" w:cs="宋体"/>
          <w:color w:val="auto"/>
          <w:sz w:val="21"/>
          <w:szCs w:val="21"/>
          <w:lang w:val="en-US" w:eastAsia="zh-CN"/>
        </w:rPr>
        <w:t>需要</w:t>
      </w:r>
      <w:r>
        <w:rPr>
          <w:rFonts w:hint="eastAsia" w:ascii="宋体" w:hAnsi="宋体" w:eastAsia="宋体" w:cs="宋体"/>
          <w:color w:val="auto"/>
          <w:sz w:val="21"/>
          <w:szCs w:val="21"/>
          <w:lang w:val="en-US" w:eastAsia="zh-CN"/>
        </w:rPr>
        <w:t>维修</w:t>
      </w:r>
      <w:r>
        <w:rPr>
          <w:rFonts w:hint="eastAsia" w:ascii="宋体" w:hAnsi="宋体" w:cs="宋体"/>
          <w:color w:val="auto"/>
          <w:sz w:val="21"/>
          <w:szCs w:val="21"/>
          <w:lang w:val="en-US" w:eastAsia="zh-CN"/>
        </w:rPr>
        <w:t>超</w:t>
      </w:r>
      <w:r>
        <w:rPr>
          <w:rFonts w:hint="eastAsia" w:ascii="宋体" w:hAnsi="宋体" w:eastAsia="宋体" w:cs="宋体"/>
          <w:color w:val="auto"/>
          <w:sz w:val="21"/>
          <w:szCs w:val="21"/>
          <w:lang w:val="en-US" w:eastAsia="zh-CN"/>
        </w:rPr>
        <w:t>一个月</w:t>
      </w:r>
      <w:r>
        <w:rPr>
          <w:rFonts w:hint="eastAsia" w:ascii="宋体" w:hAnsi="宋体" w:cs="宋体"/>
          <w:color w:val="auto"/>
          <w:sz w:val="21"/>
          <w:szCs w:val="21"/>
          <w:lang w:val="en-US" w:eastAsia="zh-CN"/>
        </w:rPr>
        <w:t>仍</w:t>
      </w:r>
      <w:r>
        <w:rPr>
          <w:rFonts w:hint="eastAsia" w:ascii="宋体" w:hAnsi="宋体" w:eastAsia="宋体" w:cs="宋体"/>
          <w:color w:val="auto"/>
          <w:sz w:val="21"/>
          <w:szCs w:val="21"/>
          <w:lang w:val="en-US" w:eastAsia="zh-CN"/>
        </w:rPr>
        <w:t>未能解决故障，</w:t>
      </w:r>
      <w:r>
        <w:rPr>
          <w:rFonts w:hint="eastAsia" w:ascii="宋体" w:hAnsi="宋体" w:cs="宋体"/>
          <w:color w:val="auto"/>
          <w:sz w:val="21"/>
          <w:szCs w:val="21"/>
          <w:lang w:val="en-US" w:eastAsia="zh-CN"/>
        </w:rPr>
        <w:t>导致车辆无法正常使用的</w:t>
      </w:r>
      <w:r>
        <w:rPr>
          <w:rFonts w:hint="eastAsia" w:ascii="宋体" w:hAnsi="宋体" w:eastAsia="宋体" w:cs="宋体"/>
          <w:color w:val="auto"/>
          <w:sz w:val="21"/>
          <w:szCs w:val="21"/>
          <w:lang w:val="en-US" w:eastAsia="zh-CN"/>
        </w:rPr>
        <w:t>需要提供备用车辆</w:t>
      </w:r>
      <w:r>
        <w:rPr>
          <w:rFonts w:hint="eastAsia" w:ascii="宋体" w:hAnsi="宋体" w:eastAsia="宋体" w:cs="宋体"/>
          <w:color w:val="auto"/>
          <w:sz w:val="21"/>
          <w:szCs w:val="21"/>
        </w:rPr>
        <w:t>。</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提供24小时服务，为客户提供现场免费技术培训，</w:t>
      </w:r>
      <w:r>
        <w:rPr>
          <w:rFonts w:hint="eastAsia" w:ascii="宋体" w:hAnsi="宋体" w:eastAsia="宋体" w:cs="宋体"/>
          <w:color w:val="auto"/>
          <w:sz w:val="21"/>
          <w:szCs w:val="21"/>
        </w:rPr>
        <w:t xml:space="preserve"> 定期回访以及对设备维修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定期与客户沟通车辆使用情况。</w:t>
      </w:r>
      <w:r>
        <w:rPr>
          <w:rFonts w:hint="eastAsia" w:ascii="宋体" w:hAnsi="宋体" w:eastAsia="宋体" w:cs="宋体"/>
          <w:color w:val="auto"/>
          <w:sz w:val="21"/>
          <w:szCs w:val="21"/>
        </w:rPr>
        <w:t xml:space="preserve"> </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（4）其余按厂家承诺</w:t>
      </w:r>
      <w:r>
        <w:rPr>
          <w:rFonts w:hint="eastAsia" w:ascii="宋体" w:hAnsi="宋体" w:eastAsia="宋体" w:cs="宋体"/>
          <w:color w:val="auto"/>
          <w:sz w:val="21"/>
          <w:szCs w:val="21"/>
          <w:lang w:val="en-US" w:eastAsia="zh-CN"/>
        </w:rPr>
        <w:t>,以文字形式描述。</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（5）保证所提供的车辆能在广西</w:t>
      </w:r>
      <w:r>
        <w:rPr>
          <w:rFonts w:hint="eastAsia" w:ascii="宋体" w:hAnsi="宋体" w:eastAsia="宋体" w:cs="宋体"/>
          <w:color w:val="auto"/>
          <w:sz w:val="21"/>
          <w:szCs w:val="21"/>
          <w:lang w:val="en-US" w:eastAsia="zh-CN"/>
        </w:rPr>
        <w:t>梧州</w:t>
      </w:r>
      <w:r>
        <w:rPr>
          <w:rFonts w:hint="eastAsia" w:ascii="宋体" w:hAnsi="宋体" w:eastAsia="宋体" w:cs="宋体"/>
          <w:color w:val="auto"/>
          <w:sz w:val="21"/>
          <w:szCs w:val="21"/>
        </w:rPr>
        <w:t>市入户上牌，因产品原因造成无法上牌入户的，所产生的一切损失由成交供应商负责。</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（6）质保期内每半年至少提供一次上门维护服务，确保救护车各方面性能正常。                         </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、签订合同时提供在投标文件中提到的所有检测报告复印件及证书对应的材料给采购人核查，采购人有权向出具报告的检测单位进行查验复核。</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、供应商在投标活动中提供任何虚假材料，将通告相关部门追究虚假应标人的法律责任。</w:t>
      </w:r>
    </w:p>
    <w:p>
      <w:pPr>
        <w:keepNext w:val="0"/>
        <w:keepLines w:val="0"/>
        <w:pageBreakBefore w:val="0"/>
        <w:widowControl/>
        <w:numPr>
          <w:ilvl w:val="0"/>
          <w:numId w:val="1"/>
        </w:numPr>
        <w:kinsoku/>
        <w:overflowPunct/>
        <w:topLinePunct w:val="0"/>
        <w:bidi w:val="0"/>
        <w:snapToGrid w:val="0"/>
        <w:spacing w:line="360" w:lineRule="exact"/>
        <w:ind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rPr>
        <w:t>在“采购内容及要求”中约定的其他要求。</w:t>
      </w:r>
    </w:p>
    <w:p>
      <w:pPr>
        <w:keepNext w:val="0"/>
        <w:keepLines w:val="0"/>
        <w:pageBreakBefore w:val="0"/>
        <w:kinsoku/>
        <w:overflowPunct/>
        <w:topLinePunct w:val="0"/>
        <w:bidi w:val="0"/>
        <w:snapToGrid w:val="0"/>
        <w:spacing w:line="360" w:lineRule="exact"/>
        <w:ind w:left="420" w:leftChars="100" w:hanging="210" w:hangingChars="1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15、</w:t>
      </w:r>
      <w:r>
        <w:rPr>
          <w:rFonts w:hint="eastAsia" w:ascii="宋体" w:hAnsi="宋体" w:eastAsia="宋体" w:cs="宋体"/>
          <w:b w:val="0"/>
          <w:bCs/>
          <w:color w:val="auto"/>
          <w:sz w:val="21"/>
          <w:szCs w:val="21"/>
        </w:rPr>
        <w:t xml:space="preserve"> 付款条件</w:t>
      </w:r>
    </w:p>
    <w:p>
      <w:pPr>
        <w:keepNext w:val="0"/>
        <w:keepLines w:val="0"/>
        <w:pageBreakBefore w:val="0"/>
        <w:kinsoku/>
        <w:overflowPunct/>
        <w:topLinePunct w:val="0"/>
        <w:bidi w:val="0"/>
        <w:snapToGrid w:val="0"/>
        <w:spacing w:line="3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（1）付款方式：以银行转账形式汇款到乙方银行账户。</w:t>
      </w:r>
    </w:p>
    <w:p>
      <w:pPr>
        <w:keepNext w:val="0"/>
        <w:keepLines w:val="0"/>
        <w:pageBreakBefore w:val="0"/>
        <w:kinsoku/>
        <w:overflowPunct/>
        <w:topLinePunct w:val="0"/>
        <w:bidi w:val="0"/>
        <w:adjustRightInd w:val="0"/>
        <w:snapToGrid w:val="0"/>
        <w:spacing w:line="36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付款计划：本项目采用一次性付款方式结算。所有设备按采购人指定地点安装调试完毕且验收合格后，180天内成交商向采购人开具合同金额100%的发票和付款申请后，采购人在收到发票后30日内向成交商支付100%合同款项至成交商指定对公银行帐户。</w:t>
      </w:r>
    </w:p>
    <w:p>
      <w:pPr>
        <w:keepNext w:val="0"/>
        <w:keepLines w:val="0"/>
        <w:pageBreakBefore w:val="0"/>
        <w:kinsoku/>
        <w:overflowPunct/>
        <w:topLinePunct w:val="0"/>
        <w:bidi w:val="0"/>
        <w:snapToGrid w:val="0"/>
        <w:spacing w:line="360" w:lineRule="exact"/>
        <w:rPr>
          <w:rFonts w:hint="eastAsia" w:ascii="宋体" w:hAnsi="宋体" w:eastAsia="宋体" w:cs="宋体"/>
          <w:color w:val="auto"/>
          <w:kern w:val="0"/>
          <w:sz w:val="21"/>
          <w:szCs w:val="21"/>
          <w:shd w:val="clear" w:color="auto" w:fill="FFFFFF"/>
          <w:lang w:eastAsia="zh-CN" w:bidi="ar"/>
        </w:rPr>
      </w:pPr>
    </w:p>
    <w:p>
      <w:pPr>
        <w:keepNext w:val="0"/>
        <w:keepLines w:val="0"/>
        <w:pageBreakBefore w:val="0"/>
        <w:kinsoku/>
        <w:overflowPunct/>
        <w:topLinePunct w:val="0"/>
        <w:bidi w:val="0"/>
        <w:snapToGrid w:val="0"/>
        <w:spacing w:line="360" w:lineRule="exact"/>
        <w:rPr>
          <w:rFonts w:hint="eastAsia" w:ascii="宋体" w:hAnsi="宋体" w:eastAsia="宋体" w:cs="宋体"/>
          <w:color w:val="auto"/>
          <w:kern w:val="0"/>
          <w:sz w:val="21"/>
          <w:szCs w:val="21"/>
          <w:shd w:val="clear" w:color="auto" w:fill="FFFFFF"/>
          <w:lang w:eastAsia="zh-CN" w:bidi="ar"/>
        </w:rPr>
      </w:pPr>
      <w:r>
        <w:rPr>
          <w:rFonts w:hint="eastAsia" w:ascii="宋体" w:hAnsi="宋体" w:cs="宋体"/>
          <w:b/>
          <w:bCs/>
          <w:color w:val="auto"/>
          <w:kern w:val="0"/>
          <w:sz w:val="21"/>
          <w:szCs w:val="21"/>
          <w:shd w:val="clear" w:color="auto" w:fill="FFFFFF"/>
          <w:lang w:eastAsia="zh-CN" w:bidi="ar"/>
        </w:rPr>
        <w:t>四、其它：</w:t>
      </w:r>
      <w:r>
        <w:rPr>
          <w:rFonts w:hint="eastAsia" w:ascii="宋体" w:hAnsi="宋体" w:cs="宋体"/>
          <w:color w:val="auto"/>
          <w:kern w:val="0"/>
          <w:sz w:val="21"/>
          <w:szCs w:val="21"/>
          <w:shd w:val="clear" w:color="auto" w:fill="FFFFFF"/>
          <w:lang w:eastAsia="zh-CN" w:bidi="ar"/>
        </w:rPr>
        <w:t>标注“*”的技术参数为重要技术条款，必须满足，否则视为竞标无效。</w:t>
      </w:r>
    </w:p>
    <w:p>
      <w:pPr>
        <w:keepNext w:val="0"/>
        <w:keepLines w:val="0"/>
        <w:pageBreakBefore w:val="0"/>
        <w:kinsoku/>
        <w:overflowPunct/>
        <w:topLinePunct w:val="0"/>
        <w:bidi w:val="0"/>
        <w:spacing w:line="360" w:lineRule="exact"/>
        <w:rPr>
          <w:rFonts w:hint="eastAsia" w:ascii="宋体" w:hAnsi="宋体" w:eastAsia="宋体" w:cs="宋体"/>
          <w:color w:val="auto"/>
          <w:sz w:val="21"/>
          <w:szCs w:val="21"/>
        </w:rPr>
      </w:pPr>
    </w:p>
    <w:p>
      <w:pPr>
        <w:keepNext w:val="0"/>
        <w:keepLines w:val="0"/>
        <w:pageBreakBefore w:val="0"/>
        <w:kinsoku/>
        <w:wordWrap w:val="0"/>
        <w:overflowPunct/>
        <w:topLinePunct w:val="0"/>
        <w:bidi w:val="0"/>
        <w:spacing w:line="360" w:lineRule="exact"/>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梧州市工人医院</w:t>
      </w:r>
      <w:r>
        <w:rPr>
          <w:rFonts w:hint="eastAsia" w:ascii="宋体" w:hAnsi="宋体" w:cs="宋体"/>
          <w:color w:val="auto"/>
          <w:sz w:val="21"/>
          <w:szCs w:val="21"/>
          <w:lang w:val="en-US" w:eastAsia="zh-CN"/>
        </w:rPr>
        <w:t xml:space="preserve">      </w:t>
      </w:r>
    </w:p>
    <w:p>
      <w:pPr>
        <w:keepNext w:val="0"/>
        <w:keepLines w:val="0"/>
        <w:pageBreakBefore w:val="0"/>
        <w:kinsoku/>
        <w:wordWrap w:val="0"/>
        <w:overflowPunct/>
        <w:topLinePunct w:val="0"/>
        <w:bidi w:val="0"/>
        <w:spacing w:line="360" w:lineRule="exact"/>
        <w:jc w:val="right"/>
        <w:rPr>
          <w:rFonts w:hint="default" w:ascii="宋体" w:hAnsi="宋体" w:eastAsia="宋体" w:cs="宋体"/>
          <w:b/>
          <w:color w:val="auto"/>
          <w:sz w:val="21"/>
          <w:szCs w:val="21"/>
          <w:lang w:val="en-US"/>
        </w:rPr>
      </w:pPr>
      <w:r>
        <w:rPr>
          <w:rFonts w:hint="eastAsia" w:ascii="宋体" w:hAnsi="宋体" w:eastAsia="宋体" w:cs="宋体"/>
          <w:color w:val="auto"/>
          <w:sz w:val="21"/>
          <w:szCs w:val="21"/>
          <w:lang w:val="en-US" w:eastAsia="zh-CN"/>
        </w:rPr>
        <w:t>2024年2月2</w:t>
      </w:r>
      <w:r>
        <w:rPr>
          <w:rFonts w:hint="eastAsia" w:ascii="宋体" w:hAnsi="宋体" w:cs="宋体"/>
          <w:color w:val="auto"/>
          <w:sz w:val="21"/>
          <w:szCs w:val="21"/>
          <w:lang w:val="en-US" w:eastAsia="zh-CN"/>
        </w:rPr>
        <w:t>7</w:t>
      </w:r>
      <w:bookmarkStart w:id="0" w:name="_GoBack"/>
      <w:bookmarkEnd w:id="0"/>
      <w:r>
        <w:rPr>
          <w:rFonts w:hint="eastAsia" w:ascii="宋体" w:hAnsi="宋体" w:eastAsia="宋体" w:cs="宋体"/>
          <w:color w:val="auto"/>
          <w:sz w:val="21"/>
          <w:szCs w:val="21"/>
          <w:lang w:val="en-US" w:eastAsia="zh-CN"/>
        </w:rPr>
        <w:t>日</w:t>
      </w:r>
      <w:r>
        <w:rPr>
          <w:rFonts w:hint="eastAsia" w:ascii="宋体" w:hAnsi="宋体" w:cs="宋体"/>
          <w:color w:val="auto"/>
          <w:sz w:val="21"/>
          <w:szCs w:val="21"/>
          <w:lang w:val="en-US" w:eastAsia="zh-CN"/>
        </w:rPr>
        <w:t xml:space="preserve">     </w:t>
      </w:r>
    </w:p>
    <w:p>
      <w:pPr>
        <w:pStyle w:val="10"/>
        <w:keepNext w:val="0"/>
        <w:keepLines w:val="0"/>
        <w:pageBreakBefore w:val="0"/>
        <w:kinsoku/>
        <w:overflowPunct/>
        <w:topLinePunct w:val="0"/>
        <w:bidi w:val="0"/>
        <w:spacing w:line="360" w:lineRule="exact"/>
        <w:rPr>
          <w:rFonts w:hint="eastAsia" w:ascii="宋体" w:hAnsi="宋体" w:eastAsia="宋体" w:cs="宋体"/>
          <w:b/>
          <w:color w:val="auto"/>
          <w:sz w:val="21"/>
          <w:szCs w:val="21"/>
        </w:rPr>
      </w:pPr>
    </w:p>
    <w:p>
      <w:pPr>
        <w:pStyle w:val="10"/>
        <w:keepNext w:val="0"/>
        <w:keepLines w:val="0"/>
        <w:pageBreakBefore w:val="0"/>
        <w:kinsoku/>
        <w:overflowPunct/>
        <w:topLinePunct w:val="0"/>
        <w:bidi w:val="0"/>
        <w:spacing w:line="360" w:lineRule="exact"/>
        <w:rPr>
          <w:rFonts w:hint="eastAsia" w:ascii="宋体" w:hAnsi="宋体" w:eastAsia="宋体" w:cs="宋体"/>
          <w:b/>
          <w:color w:val="auto"/>
          <w:sz w:val="21"/>
          <w:szCs w:val="21"/>
        </w:rPr>
      </w:pPr>
    </w:p>
    <w:p>
      <w:pPr>
        <w:pStyle w:val="10"/>
        <w:keepNext w:val="0"/>
        <w:keepLines w:val="0"/>
        <w:pageBreakBefore w:val="0"/>
        <w:kinsoku/>
        <w:overflowPunct/>
        <w:topLinePunct w:val="0"/>
        <w:bidi w:val="0"/>
        <w:spacing w:line="360" w:lineRule="exact"/>
        <w:ind w:left="0" w:leftChars="0" w:firstLine="0" w:firstLineChars="0"/>
        <w:jc w:val="both"/>
        <w:rPr>
          <w:rFonts w:hint="eastAsia" w:ascii="宋体" w:hAnsi="宋体" w:eastAsia="宋体" w:cs="宋体"/>
          <w:color w:val="auto"/>
          <w:sz w:val="21"/>
          <w:szCs w:val="21"/>
          <w:lang w:eastAsia="zh-CN"/>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SKQ+cBAADIAwAADgAAAGRycy9lMm9Eb2MueG1srVPNjtMwEL4j8Q6W&#10;7zRppV2VqukKqBYhIUBaeADXcRpL/tN42qQ8ALwBJy7cea4+B2Mn6aLdyx72kow9M9/M9814fdNb&#10;w44Kovau4vNZyZly0tfa7Sv+7evtqyVnEYWrhfFOVfykIr/ZvHyx7sJKLXzrTa2AEYiLqy5UvEUM&#10;q6KIslVWxJkPypGz8WAF0hH2RQ2iI3RrikVZXhedhzqAlypGut0OTj4iwlMAfdNoqbZeHqxyOKCC&#10;MgKJUmx1iHyTu20aJfFz00SFzFScmGL+UhGyd+lbbNZitQcRWi3HFsRTWnjAyQrtqOgFaitQsAPo&#10;R1BWS/DRNziT3hYDkawIsZiXD7S5a0VQmQtJHcNF9Ph8sPLT8QswXdMmXHPmhKWJn3/9PP/+e/7z&#10;g82TPl2IKwq7CxSI/VvfU+x0H+ky0e4bsOlPhBj5Sd3TRV3VI5MpablYLktySfJNB8Iv7tMDRHyv&#10;vGXJqDjQ+LKq4vgx4hA6haRqzt9qY/IIjWNdxV9fLa5ywsVD4MZRjURiaDZZ2O/6kdnO1yciRg+C&#10;CrYevnPW0TpU3NH2c2Y+OFI7bc5kwGTsJkM4SYkVR84G8x0OG3YIoPdt3rnUbgxvDkgtZyapjaH2&#10;2B0NOGsxLmPaoP/POer+AW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lVIpD5wEAAMg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076E2"/>
    <w:multiLevelType w:val="singleLevel"/>
    <w:tmpl w:val="239076E2"/>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MDc2N2U3YmM3ZTkwMDY0NWU3OTYwMmVlZTJiMTMifQ=="/>
  </w:docVars>
  <w:rsids>
    <w:rsidRoot w:val="00F82DE0"/>
    <w:rsid w:val="000006B4"/>
    <w:rsid w:val="00000DE9"/>
    <w:rsid w:val="0000506E"/>
    <w:rsid w:val="000063A0"/>
    <w:rsid w:val="00022F8D"/>
    <w:rsid w:val="00044851"/>
    <w:rsid w:val="00051B3E"/>
    <w:rsid w:val="0005365B"/>
    <w:rsid w:val="00090BBA"/>
    <w:rsid w:val="000A5FE7"/>
    <w:rsid w:val="000C5225"/>
    <w:rsid w:val="000D336D"/>
    <w:rsid w:val="001126B9"/>
    <w:rsid w:val="00113F43"/>
    <w:rsid w:val="00121BFD"/>
    <w:rsid w:val="00133AF0"/>
    <w:rsid w:val="00135C81"/>
    <w:rsid w:val="00171256"/>
    <w:rsid w:val="001978E9"/>
    <w:rsid w:val="001A0FEF"/>
    <w:rsid w:val="00200789"/>
    <w:rsid w:val="002013CB"/>
    <w:rsid w:val="00216840"/>
    <w:rsid w:val="00224800"/>
    <w:rsid w:val="00231832"/>
    <w:rsid w:val="0023501D"/>
    <w:rsid w:val="00244DAF"/>
    <w:rsid w:val="00253BA6"/>
    <w:rsid w:val="0025579C"/>
    <w:rsid w:val="002645AD"/>
    <w:rsid w:val="00275908"/>
    <w:rsid w:val="0028015E"/>
    <w:rsid w:val="00292604"/>
    <w:rsid w:val="00293FEE"/>
    <w:rsid w:val="002F49D0"/>
    <w:rsid w:val="003125AB"/>
    <w:rsid w:val="00315429"/>
    <w:rsid w:val="003267AF"/>
    <w:rsid w:val="0036054D"/>
    <w:rsid w:val="003676B8"/>
    <w:rsid w:val="003A2150"/>
    <w:rsid w:val="00407185"/>
    <w:rsid w:val="00412074"/>
    <w:rsid w:val="004206EF"/>
    <w:rsid w:val="0042144D"/>
    <w:rsid w:val="00421965"/>
    <w:rsid w:val="00432F55"/>
    <w:rsid w:val="00437FA2"/>
    <w:rsid w:val="00452BDA"/>
    <w:rsid w:val="00483532"/>
    <w:rsid w:val="00486090"/>
    <w:rsid w:val="00496011"/>
    <w:rsid w:val="0049721C"/>
    <w:rsid w:val="004A18F8"/>
    <w:rsid w:val="004A30EE"/>
    <w:rsid w:val="004D3001"/>
    <w:rsid w:val="004E35D1"/>
    <w:rsid w:val="005004BB"/>
    <w:rsid w:val="00520999"/>
    <w:rsid w:val="00520CC1"/>
    <w:rsid w:val="00524F35"/>
    <w:rsid w:val="00531B4B"/>
    <w:rsid w:val="00542F79"/>
    <w:rsid w:val="00562D55"/>
    <w:rsid w:val="0056301C"/>
    <w:rsid w:val="00566D6A"/>
    <w:rsid w:val="00583939"/>
    <w:rsid w:val="0059714D"/>
    <w:rsid w:val="005B7C5D"/>
    <w:rsid w:val="005F4052"/>
    <w:rsid w:val="00602984"/>
    <w:rsid w:val="00636D89"/>
    <w:rsid w:val="00651080"/>
    <w:rsid w:val="006520A9"/>
    <w:rsid w:val="00652E1F"/>
    <w:rsid w:val="00696640"/>
    <w:rsid w:val="006A52F5"/>
    <w:rsid w:val="006A5999"/>
    <w:rsid w:val="006C46F3"/>
    <w:rsid w:val="007044CC"/>
    <w:rsid w:val="00706257"/>
    <w:rsid w:val="0071709F"/>
    <w:rsid w:val="0075719E"/>
    <w:rsid w:val="00771512"/>
    <w:rsid w:val="00780696"/>
    <w:rsid w:val="00782FEC"/>
    <w:rsid w:val="00796611"/>
    <w:rsid w:val="007B6814"/>
    <w:rsid w:val="007E5190"/>
    <w:rsid w:val="007F4881"/>
    <w:rsid w:val="0083204D"/>
    <w:rsid w:val="008A1FA8"/>
    <w:rsid w:val="008B23C7"/>
    <w:rsid w:val="008C0998"/>
    <w:rsid w:val="008D7E77"/>
    <w:rsid w:val="008E452F"/>
    <w:rsid w:val="0093743C"/>
    <w:rsid w:val="00941CA3"/>
    <w:rsid w:val="00952A23"/>
    <w:rsid w:val="00952F83"/>
    <w:rsid w:val="009B5AB4"/>
    <w:rsid w:val="009D2976"/>
    <w:rsid w:val="00A065DA"/>
    <w:rsid w:val="00A07D1A"/>
    <w:rsid w:val="00A22C2A"/>
    <w:rsid w:val="00A43B95"/>
    <w:rsid w:val="00A90569"/>
    <w:rsid w:val="00AA067F"/>
    <w:rsid w:val="00AD0682"/>
    <w:rsid w:val="00AF081E"/>
    <w:rsid w:val="00AF16A5"/>
    <w:rsid w:val="00B2366E"/>
    <w:rsid w:val="00B30395"/>
    <w:rsid w:val="00B417AB"/>
    <w:rsid w:val="00B72573"/>
    <w:rsid w:val="00B73914"/>
    <w:rsid w:val="00B75781"/>
    <w:rsid w:val="00B8460C"/>
    <w:rsid w:val="00B92BDA"/>
    <w:rsid w:val="00BB18A6"/>
    <w:rsid w:val="00BB592B"/>
    <w:rsid w:val="00BC1BCE"/>
    <w:rsid w:val="00BF6F0C"/>
    <w:rsid w:val="00C04F8F"/>
    <w:rsid w:val="00C342CF"/>
    <w:rsid w:val="00C416E5"/>
    <w:rsid w:val="00C50AD2"/>
    <w:rsid w:val="00C7294E"/>
    <w:rsid w:val="00C80530"/>
    <w:rsid w:val="00CC2D5A"/>
    <w:rsid w:val="00CC589C"/>
    <w:rsid w:val="00CC6811"/>
    <w:rsid w:val="00D060D1"/>
    <w:rsid w:val="00D0657F"/>
    <w:rsid w:val="00D228F9"/>
    <w:rsid w:val="00D51D9E"/>
    <w:rsid w:val="00D8610F"/>
    <w:rsid w:val="00D8690E"/>
    <w:rsid w:val="00E06311"/>
    <w:rsid w:val="00E14CFE"/>
    <w:rsid w:val="00E81803"/>
    <w:rsid w:val="00EB3680"/>
    <w:rsid w:val="00EF08E9"/>
    <w:rsid w:val="00EF7AB9"/>
    <w:rsid w:val="00F431CF"/>
    <w:rsid w:val="00F4750D"/>
    <w:rsid w:val="00F66F08"/>
    <w:rsid w:val="00F82DE0"/>
    <w:rsid w:val="00F865DE"/>
    <w:rsid w:val="00FC4F36"/>
    <w:rsid w:val="00FC5067"/>
    <w:rsid w:val="00FD43E0"/>
    <w:rsid w:val="00FE2BE5"/>
    <w:rsid w:val="021D146B"/>
    <w:rsid w:val="04433F37"/>
    <w:rsid w:val="05CE6104"/>
    <w:rsid w:val="061013CD"/>
    <w:rsid w:val="06FE3056"/>
    <w:rsid w:val="09C35E1E"/>
    <w:rsid w:val="0AB76DD4"/>
    <w:rsid w:val="0B772FA2"/>
    <w:rsid w:val="0B9C2483"/>
    <w:rsid w:val="0DE6032D"/>
    <w:rsid w:val="0E59335A"/>
    <w:rsid w:val="108C2519"/>
    <w:rsid w:val="13765EAE"/>
    <w:rsid w:val="13EA5FFA"/>
    <w:rsid w:val="1437543F"/>
    <w:rsid w:val="143C4803"/>
    <w:rsid w:val="16AA2F6E"/>
    <w:rsid w:val="17033CFE"/>
    <w:rsid w:val="17F252F3"/>
    <w:rsid w:val="191F2BA2"/>
    <w:rsid w:val="1BC33A5C"/>
    <w:rsid w:val="1DB24233"/>
    <w:rsid w:val="209E2933"/>
    <w:rsid w:val="23CD7606"/>
    <w:rsid w:val="2AFE060C"/>
    <w:rsid w:val="2B9E0F3E"/>
    <w:rsid w:val="2BA72D24"/>
    <w:rsid w:val="2F994DA8"/>
    <w:rsid w:val="2FCF7494"/>
    <w:rsid w:val="31F02373"/>
    <w:rsid w:val="35D4048A"/>
    <w:rsid w:val="35F84EEA"/>
    <w:rsid w:val="36272F75"/>
    <w:rsid w:val="36AD593F"/>
    <w:rsid w:val="36E83B25"/>
    <w:rsid w:val="37E40B8A"/>
    <w:rsid w:val="385A196D"/>
    <w:rsid w:val="38C420A7"/>
    <w:rsid w:val="3A003994"/>
    <w:rsid w:val="3ABE05F0"/>
    <w:rsid w:val="3AE91FB5"/>
    <w:rsid w:val="3C12390F"/>
    <w:rsid w:val="3CD64B23"/>
    <w:rsid w:val="3EB5502E"/>
    <w:rsid w:val="402F1F67"/>
    <w:rsid w:val="410F4ECA"/>
    <w:rsid w:val="429A5F61"/>
    <w:rsid w:val="42B85A6B"/>
    <w:rsid w:val="42FB1BAE"/>
    <w:rsid w:val="4319070F"/>
    <w:rsid w:val="44C27926"/>
    <w:rsid w:val="456F3921"/>
    <w:rsid w:val="473A0460"/>
    <w:rsid w:val="49A95790"/>
    <w:rsid w:val="4C3E325D"/>
    <w:rsid w:val="4DEF40B9"/>
    <w:rsid w:val="525E0C81"/>
    <w:rsid w:val="550A69D6"/>
    <w:rsid w:val="55205667"/>
    <w:rsid w:val="575601A0"/>
    <w:rsid w:val="57D830CC"/>
    <w:rsid w:val="594D6705"/>
    <w:rsid w:val="5C9B1736"/>
    <w:rsid w:val="5CB56F85"/>
    <w:rsid w:val="5DB54270"/>
    <w:rsid w:val="5E0F35DC"/>
    <w:rsid w:val="5E88329B"/>
    <w:rsid w:val="5EEC0249"/>
    <w:rsid w:val="607923C2"/>
    <w:rsid w:val="61120392"/>
    <w:rsid w:val="61C81C15"/>
    <w:rsid w:val="62F15D85"/>
    <w:rsid w:val="63441C10"/>
    <w:rsid w:val="63EB4B2A"/>
    <w:rsid w:val="63EC3265"/>
    <w:rsid w:val="6B15282D"/>
    <w:rsid w:val="6DA959D7"/>
    <w:rsid w:val="6EA87B78"/>
    <w:rsid w:val="6EBF1D29"/>
    <w:rsid w:val="6F4C5E41"/>
    <w:rsid w:val="73027B3B"/>
    <w:rsid w:val="76BD3F7B"/>
    <w:rsid w:val="7797429D"/>
    <w:rsid w:val="785F021F"/>
    <w:rsid w:val="7D8A624C"/>
    <w:rsid w:val="7F104C8C"/>
    <w:rsid w:val="7F55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3"/>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4"/>
    <w:unhideWhenUsed/>
    <w:qFormat/>
    <w:uiPriority w:val="99"/>
    <w:pPr>
      <w:ind w:firstLine="420" w:firstLineChars="200"/>
    </w:pPr>
  </w:style>
  <w:style w:type="character" w:customStyle="1" w:styleId="13">
    <w:name w:val="批注框文本 Char"/>
    <w:basedOn w:val="12"/>
    <w:link w:val="5"/>
    <w:semiHidden/>
    <w:qFormat/>
    <w:uiPriority w:val="99"/>
    <w:rPr>
      <w:rFonts w:ascii="Times New Roman" w:hAnsi="Times New Roman" w:eastAsia="宋体" w:cs="Times New Roman"/>
      <w:sz w:val="18"/>
      <w:szCs w:val="18"/>
    </w:rPr>
  </w:style>
  <w:style w:type="character" w:customStyle="1" w:styleId="14">
    <w:name w:val="页眉 Char"/>
    <w:basedOn w:val="12"/>
    <w:link w:val="7"/>
    <w:semiHidden/>
    <w:qFormat/>
    <w:uiPriority w:val="99"/>
    <w:rPr>
      <w:rFonts w:ascii="Times New Roman" w:hAnsi="Times New Roman" w:eastAsia="宋体" w:cs="Times New Roman"/>
      <w:sz w:val="18"/>
      <w:szCs w:val="18"/>
    </w:rPr>
  </w:style>
  <w:style w:type="character" w:customStyle="1" w:styleId="15">
    <w:name w:val="页脚 Char"/>
    <w:basedOn w:val="12"/>
    <w:link w:val="6"/>
    <w:semiHidden/>
    <w:qFormat/>
    <w:uiPriority w:val="99"/>
    <w:rPr>
      <w:rFonts w:ascii="Times New Roman" w:hAnsi="Times New Roman" w:eastAsia="宋体" w:cs="Times New Roman"/>
      <w:sz w:val="18"/>
      <w:szCs w:val="18"/>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3099</Words>
  <Characters>3592</Characters>
  <Lines>27</Lines>
  <Paragraphs>7</Paragraphs>
  <TotalTime>9</TotalTime>
  <ScaleCrop>false</ScaleCrop>
  <LinksUpToDate>false</LinksUpToDate>
  <CharactersWithSpaces>3752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2023-07-20T06:19:00Z</dcterms:created>
  <dc:creator>nicole</dc:creator>
  <cp:lastModifiedBy>Administrator</cp:lastModifiedBy>
  <cp:lastPrinted>2022-04-29T00:29:00Z</cp:lastPrinted>
  <dcterms:modified xsi:type="dcterms:W3CDTF">2024-02-27T10:51:10Z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CACEB75B8A9A4DDFA3F4B89F95EBCF21</vt:lpwstr>
  </property>
</Properties>
</file>