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085C2">
      <w:pPr>
        <w:ind w:firstLine="480"/>
        <w:jc w:val="center"/>
        <w:rPr>
          <w:b/>
          <w:sz w:val="32"/>
          <w:szCs w:val="32"/>
        </w:rPr>
      </w:pPr>
      <w:r>
        <w:rPr>
          <w:rFonts w:hint="eastAsia"/>
          <w:b/>
          <w:sz w:val="32"/>
          <w:szCs w:val="32"/>
        </w:rPr>
        <w:t>在线询价采购需求</w:t>
      </w:r>
    </w:p>
    <w:p w14:paraId="71D82230">
      <w:pPr>
        <w:ind w:firstLine="480"/>
        <w:jc w:val="center"/>
        <w:rPr>
          <w:b/>
          <w:sz w:val="32"/>
          <w:szCs w:val="32"/>
        </w:rPr>
      </w:pPr>
    </w:p>
    <w:p w14:paraId="0BA48CEB">
      <w:pPr>
        <w:ind w:firstLine="480"/>
        <w:rPr>
          <w:bCs/>
        </w:rPr>
      </w:pPr>
      <w:r>
        <w:rPr>
          <w:rFonts w:hint="eastAsia"/>
          <w:bCs/>
        </w:rPr>
        <w:t>项目名称：全州县人民检察院</w:t>
      </w:r>
      <w:r>
        <w:rPr>
          <w:bCs/>
        </w:rPr>
        <w:t>LED显示大屏采购及安装</w:t>
      </w:r>
    </w:p>
    <w:p w14:paraId="42BEC20D">
      <w:pPr>
        <w:ind w:firstLine="480"/>
        <w:rPr>
          <w:bCs/>
        </w:rPr>
      </w:pPr>
      <w:r>
        <w:rPr>
          <w:rFonts w:hint="eastAsia"/>
          <w:bCs/>
        </w:rPr>
        <w:t>项目信息：</w:t>
      </w:r>
    </w:p>
    <w:p w14:paraId="2B274CC8">
      <w:pPr>
        <w:ind w:firstLine="480"/>
        <w:rPr>
          <w:bCs/>
        </w:rPr>
      </w:pPr>
    </w:p>
    <w:p w14:paraId="1DB96941">
      <w:pPr>
        <w:ind w:firstLine="480"/>
        <w:rPr>
          <w:bCs/>
        </w:rPr>
      </w:pPr>
      <w:r>
        <w:rPr>
          <w:rFonts w:hint="eastAsia"/>
          <w:bCs/>
        </w:rPr>
        <w:t>响应附件要求：商品参数及商务要求详见附件。供应商响应时，必须满足采购需求的全部功能，供应商须对附件中的核心参数要求及商务要求进行全部响应，并于报价时上传加盖供应商公章的响应文件</w:t>
      </w:r>
      <w:r>
        <w:rPr>
          <w:bCs/>
        </w:rPr>
        <w:t>,包括（采购需求、商务要求）扫描件，否则响应无效。注：</w:t>
      </w:r>
      <w:r>
        <w:rPr>
          <w:rFonts w:hint="eastAsia"/>
          <w:bCs/>
        </w:rPr>
        <w:t>在线询价</w:t>
      </w:r>
      <w:r>
        <w:rPr>
          <w:bCs/>
        </w:rPr>
        <w:t>公告中所体现的采购需求清单与采购人所上传的附件内容（采购需求、商务要求）不一致的，以采购人上传附件内容为准。</w:t>
      </w:r>
    </w:p>
    <w:p w14:paraId="6D0798DC">
      <w:pPr>
        <w:adjustRightInd w:val="0"/>
        <w:spacing w:line="240" w:lineRule="auto"/>
        <w:ind w:firstLine="431"/>
        <w:rPr>
          <w:b/>
          <w:bCs/>
        </w:rPr>
      </w:pPr>
      <w:r>
        <w:rPr>
          <w:rFonts w:hint="eastAsia"/>
          <w:b/>
          <w:bCs/>
        </w:rPr>
        <w:t>一、在线询价要求:</w:t>
      </w:r>
    </w:p>
    <w:p w14:paraId="57801D3E">
      <w:pPr>
        <w:adjustRightInd w:val="0"/>
        <w:spacing w:line="240" w:lineRule="auto"/>
        <w:ind w:firstLine="431"/>
        <w:rPr>
          <w:bCs/>
        </w:rPr>
      </w:pPr>
      <w:r>
        <w:rPr>
          <w:rFonts w:hint="eastAsia"/>
          <w:bCs/>
        </w:rPr>
        <w:t>1、</w:t>
      </w:r>
      <w:r>
        <w:rPr>
          <w:bCs/>
        </w:rPr>
        <w:t>采购项目需求中打“★”号条款为重要技术参数，必须满足或优于。</w:t>
      </w:r>
      <w:r>
        <w:rPr>
          <w:rFonts w:hint="eastAsia"/>
          <w:bCs/>
        </w:rPr>
        <w:t>报价时要求提供资料的必须提供，不允许有负偏离，否则报价价无效。</w:t>
      </w:r>
      <w:r>
        <w:rPr>
          <w:bCs/>
        </w:rPr>
        <w:t>报价时必须提交“★”部分由国家认可的第三方质量监督检验机构出具的带CMA和CNAS标识、符合国家标准的检测报告复印件，并以附件形式上传，未上传则视为无效报价。注：投标人所提供的检测（验）产品的委托单位（送检人）必须是投标产品的生产厂商或投标人，否则不予认可。检测（验）报告必须复印清晰且完整、有效（包括不仅限于封面、封底、检测单位联系有效电话及地址），检测(验) 报告上应有查询真伪途径（二维码识别等）。</w:t>
      </w:r>
    </w:p>
    <w:p w14:paraId="68EEADF6">
      <w:pPr>
        <w:adjustRightInd w:val="0"/>
        <w:spacing w:line="240" w:lineRule="auto"/>
        <w:ind w:firstLine="431"/>
        <w:rPr>
          <w:bCs/>
        </w:rPr>
      </w:pPr>
      <w:r>
        <w:rPr>
          <w:bCs/>
        </w:rPr>
        <w:t>2</w:t>
      </w:r>
      <w:r>
        <w:rPr>
          <w:rFonts w:hint="eastAsia"/>
          <w:bCs/>
        </w:rPr>
        <w:t>、</w:t>
      </w:r>
      <w:r>
        <w:rPr>
          <w:bCs/>
        </w:rPr>
        <w:tab/>
      </w:r>
      <w:r>
        <w:rPr>
          <w:rFonts w:hint="eastAsia"/>
          <w:bCs/>
        </w:rPr>
        <w:t>报价人必须认真审核采购文件所有要求，若发现报价人存在未实质性响应采购文件行为，将视为无效报价处理。</w:t>
      </w:r>
    </w:p>
    <w:p w14:paraId="2794996D">
      <w:pPr>
        <w:adjustRightInd w:val="0"/>
        <w:spacing w:line="240" w:lineRule="auto"/>
        <w:ind w:firstLine="431"/>
        <w:rPr>
          <w:bCs/>
        </w:rPr>
      </w:pPr>
      <w:r>
        <w:rPr>
          <w:rFonts w:hint="eastAsia"/>
          <w:bCs/>
        </w:rPr>
        <w:t>3、响应附件要求：按采购要求上传，否则可以否决成交。</w:t>
      </w:r>
    </w:p>
    <w:p w14:paraId="0ACEA306">
      <w:pPr>
        <w:adjustRightInd w:val="0"/>
        <w:spacing w:line="240" w:lineRule="auto"/>
        <w:ind w:firstLine="431"/>
        <w:rPr>
          <w:rFonts w:hint="eastAsia"/>
          <w:bCs/>
        </w:rPr>
      </w:pPr>
      <w:r>
        <w:rPr>
          <w:rFonts w:hint="eastAsia"/>
          <w:bCs/>
        </w:rPr>
        <w:t>4、供应商在报价时应在响应附件中上传加盖其公章的《报价响应文件》pdf电子扫描件,《报价响应文件》应包含但不限于文件目录及以下内容:</w:t>
      </w:r>
    </w:p>
    <w:p w14:paraId="1A16FD94">
      <w:pPr>
        <w:numPr>
          <w:ilvl w:val="0"/>
          <w:numId w:val="1"/>
        </w:numPr>
        <w:tabs>
          <w:tab w:val="clear" w:pos="312"/>
        </w:tabs>
        <w:adjustRightInd w:val="0"/>
        <w:spacing w:line="240" w:lineRule="auto"/>
        <w:rPr>
          <w:bCs/>
        </w:rPr>
      </w:pPr>
      <w:r>
        <w:rPr>
          <w:rFonts w:hint="eastAsia"/>
          <w:bCs/>
        </w:rPr>
        <w:t>报价表</w:t>
      </w:r>
    </w:p>
    <w:p w14:paraId="7F0AD75A">
      <w:pPr>
        <w:numPr>
          <w:ilvl w:val="0"/>
          <w:numId w:val="1"/>
        </w:numPr>
        <w:tabs>
          <w:tab w:val="clear" w:pos="312"/>
        </w:tabs>
        <w:adjustRightInd w:val="0"/>
        <w:spacing w:line="240" w:lineRule="auto"/>
        <w:rPr>
          <w:bCs/>
        </w:rPr>
      </w:pPr>
      <w:r>
        <w:rPr>
          <w:rFonts w:hint="eastAsia"/>
          <w:bCs/>
        </w:rPr>
        <w:t>技术响应表</w:t>
      </w:r>
    </w:p>
    <w:p w14:paraId="5DF48790">
      <w:pPr>
        <w:numPr>
          <w:ilvl w:val="0"/>
          <w:numId w:val="1"/>
        </w:numPr>
        <w:tabs>
          <w:tab w:val="clear" w:pos="312"/>
        </w:tabs>
        <w:adjustRightInd w:val="0"/>
        <w:spacing w:line="240" w:lineRule="auto"/>
        <w:rPr>
          <w:bCs/>
        </w:rPr>
      </w:pPr>
      <w:r>
        <w:rPr>
          <w:rFonts w:hint="eastAsia"/>
          <w:bCs/>
        </w:rPr>
        <w:t>商务响应表</w:t>
      </w:r>
    </w:p>
    <w:p w14:paraId="09018080">
      <w:pPr>
        <w:numPr>
          <w:ilvl w:val="0"/>
          <w:numId w:val="1"/>
        </w:numPr>
        <w:tabs>
          <w:tab w:val="clear" w:pos="312"/>
        </w:tabs>
        <w:adjustRightInd w:val="0"/>
        <w:spacing w:line="240" w:lineRule="auto"/>
        <w:rPr>
          <w:bCs/>
        </w:rPr>
      </w:pPr>
      <w:r>
        <w:rPr>
          <w:rFonts w:hint="eastAsia"/>
          <w:bCs/>
        </w:rPr>
        <w:t>报价供应商《营业执照》复印件</w:t>
      </w:r>
    </w:p>
    <w:p w14:paraId="19AB522B">
      <w:pPr>
        <w:numPr>
          <w:ilvl w:val="0"/>
          <w:numId w:val="1"/>
        </w:numPr>
        <w:tabs>
          <w:tab w:val="clear" w:pos="312"/>
        </w:tabs>
        <w:adjustRightInd w:val="0"/>
        <w:spacing w:line="240" w:lineRule="auto"/>
        <w:rPr>
          <w:bCs/>
        </w:rPr>
      </w:pPr>
      <w:r>
        <w:rPr>
          <w:rFonts w:hint="eastAsia"/>
          <w:bCs/>
        </w:rPr>
        <w:t>报价文件中技术参数及性能(配置)要求中加注"★"号所要求提供的资料，否则报价无效。</w:t>
      </w:r>
    </w:p>
    <w:p w14:paraId="5C7C00C7">
      <w:pPr>
        <w:adjustRightInd w:val="0"/>
        <w:spacing w:line="240" w:lineRule="auto"/>
        <w:ind w:firstLine="431"/>
        <w:rPr>
          <w:bCs/>
        </w:rPr>
      </w:pPr>
      <w:r>
        <w:rPr>
          <w:rFonts w:hint="eastAsia"/>
          <w:bCs/>
        </w:rPr>
        <w:t>报价人自认需要提供其他的资料。</w:t>
      </w:r>
    </w:p>
    <w:p w14:paraId="1C36C53C">
      <w:pPr>
        <w:adjustRightInd w:val="0"/>
        <w:spacing w:line="240" w:lineRule="auto"/>
        <w:ind w:firstLine="431"/>
        <w:rPr>
          <w:b/>
          <w:szCs w:val="21"/>
        </w:rPr>
      </w:pPr>
      <w:r>
        <w:rPr>
          <w:b/>
          <w:bCs/>
          <w:szCs w:val="21"/>
        </w:rPr>
        <w:t>二、采购需求清单</w:t>
      </w:r>
    </w:p>
    <w:tbl>
      <w:tblPr>
        <w:tblStyle w:val="10"/>
        <w:tblW w:w="14682" w:type="dxa"/>
        <w:tblInd w:w="0" w:type="dxa"/>
        <w:tblLayout w:type="autofit"/>
        <w:tblCellMar>
          <w:top w:w="0" w:type="dxa"/>
          <w:left w:w="108" w:type="dxa"/>
          <w:bottom w:w="0" w:type="dxa"/>
          <w:right w:w="108" w:type="dxa"/>
        </w:tblCellMar>
      </w:tblPr>
      <w:tblGrid>
        <w:gridCol w:w="529"/>
        <w:gridCol w:w="995"/>
        <w:gridCol w:w="10341"/>
        <w:gridCol w:w="846"/>
        <w:gridCol w:w="534"/>
        <w:gridCol w:w="1437"/>
      </w:tblGrid>
      <w:tr w14:paraId="460E1370">
        <w:tblPrEx>
          <w:tblCellMar>
            <w:top w:w="0" w:type="dxa"/>
            <w:left w:w="108" w:type="dxa"/>
            <w:bottom w:w="0" w:type="dxa"/>
            <w:right w:w="108" w:type="dxa"/>
          </w:tblCellMar>
        </w:tblPrEx>
        <w:trPr>
          <w:trHeight w:val="402" w:hRule="atLeast"/>
          <w:tblHead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7C395AB2">
            <w:pPr>
              <w:spacing w:line="240" w:lineRule="auto"/>
              <w:jc w:val="center"/>
              <w:rPr>
                <w:b/>
                <w:bCs/>
                <w:kern w:val="0"/>
                <w:sz w:val="21"/>
                <w:szCs w:val="21"/>
              </w:rPr>
            </w:pPr>
            <w:r>
              <w:rPr>
                <w:rFonts w:hint="eastAsia"/>
                <w:b/>
                <w:bCs/>
                <w:kern w:val="0"/>
                <w:sz w:val="21"/>
                <w:szCs w:val="21"/>
              </w:rPr>
              <w:t>序号</w:t>
            </w:r>
          </w:p>
        </w:tc>
        <w:tc>
          <w:tcPr>
            <w:tcW w:w="995" w:type="dxa"/>
            <w:tcBorders>
              <w:top w:val="single" w:color="auto" w:sz="4" w:space="0"/>
              <w:left w:val="single" w:color="auto" w:sz="4" w:space="0"/>
              <w:bottom w:val="single" w:color="auto" w:sz="4" w:space="0"/>
              <w:right w:val="single" w:color="auto" w:sz="4" w:space="0"/>
            </w:tcBorders>
            <w:shd w:val="clear" w:color="000000" w:fill="FFFFFF"/>
            <w:vAlign w:val="center"/>
          </w:tcPr>
          <w:p w14:paraId="3F595EF1">
            <w:pPr>
              <w:spacing w:line="240" w:lineRule="auto"/>
              <w:jc w:val="center"/>
              <w:rPr>
                <w:b/>
                <w:bCs/>
                <w:color w:val="000000"/>
                <w:kern w:val="0"/>
                <w:sz w:val="21"/>
                <w:szCs w:val="21"/>
              </w:rPr>
            </w:pPr>
            <w:r>
              <w:rPr>
                <w:rFonts w:hint="eastAsia"/>
                <w:b/>
                <w:bCs/>
                <w:color w:val="000000"/>
                <w:kern w:val="0"/>
                <w:sz w:val="21"/>
                <w:szCs w:val="21"/>
              </w:rPr>
              <w:t>货物名称</w:t>
            </w:r>
          </w:p>
        </w:tc>
        <w:tc>
          <w:tcPr>
            <w:tcW w:w="10341" w:type="dxa"/>
            <w:tcBorders>
              <w:top w:val="single" w:color="auto" w:sz="4" w:space="0"/>
              <w:left w:val="single" w:color="auto" w:sz="4" w:space="0"/>
              <w:bottom w:val="single" w:color="auto" w:sz="4" w:space="0"/>
              <w:right w:val="single" w:color="auto" w:sz="4" w:space="0"/>
            </w:tcBorders>
            <w:shd w:val="clear" w:color="auto" w:fill="auto"/>
            <w:vAlign w:val="center"/>
          </w:tcPr>
          <w:p w14:paraId="629C1C30">
            <w:pPr>
              <w:spacing w:line="240" w:lineRule="auto"/>
              <w:jc w:val="center"/>
              <w:rPr>
                <w:b/>
                <w:bCs/>
                <w:kern w:val="0"/>
                <w:sz w:val="21"/>
                <w:szCs w:val="21"/>
              </w:rPr>
            </w:pPr>
            <w:r>
              <w:rPr>
                <w:rFonts w:hint="eastAsia"/>
                <w:b/>
                <w:bCs/>
                <w:kern w:val="0"/>
                <w:sz w:val="21"/>
                <w:szCs w:val="21"/>
              </w:rPr>
              <w:t>技术参数及性能(配置)要求</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9F25912">
            <w:pPr>
              <w:spacing w:line="240" w:lineRule="auto"/>
              <w:jc w:val="center"/>
              <w:rPr>
                <w:b/>
                <w:bCs/>
                <w:kern w:val="0"/>
                <w:sz w:val="21"/>
                <w:szCs w:val="21"/>
              </w:rPr>
            </w:pPr>
            <w:r>
              <w:rPr>
                <w:b/>
                <w:bCs/>
                <w:kern w:val="0"/>
                <w:sz w:val="21"/>
                <w:szCs w:val="21"/>
              </w:rPr>
              <w:t>购买数量</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014FD625">
            <w:pPr>
              <w:spacing w:line="240" w:lineRule="auto"/>
              <w:jc w:val="center"/>
              <w:rPr>
                <w:b/>
                <w:bCs/>
                <w:kern w:val="0"/>
                <w:sz w:val="21"/>
                <w:szCs w:val="21"/>
              </w:rPr>
            </w:pPr>
            <w:r>
              <w:rPr>
                <w:rFonts w:hint="eastAsia"/>
                <w:b/>
                <w:bCs/>
                <w:kern w:val="0"/>
                <w:sz w:val="21"/>
                <w:szCs w:val="21"/>
              </w:rPr>
              <w:t>单位</w:t>
            </w:r>
          </w:p>
        </w:tc>
        <w:tc>
          <w:tcPr>
            <w:tcW w:w="1437" w:type="dxa"/>
            <w:tcBorders>
              <w:top w:val="single" w:color="auto" w:sz="4" w:space="0"/>
              <w:left w:val="single" w:color="auto" w:sz="4" w:space="0"/>
              <w:bottom w:val="single" w:color="auto" w:sz="4" w:space="0"/>
              <w:right w:val="single" w:color="auto" w:sz="4" w:space="0"/>
            </w:tcBorders>
            <w:shd w:val="clear" w:color="auto" w:fill="FFFFFF"/>
            <w:vAlign w:val="center"/>
          </w:tcPr>
          <w:p w14:paraId="6ED6EB4E">
            <w:pPr>
              <w:spacing w:line="240" w:lineRule="auto"/>
              <w:jc w:val="center"/>
              <w:rPr>
                <w:b/>
                <w:bCs/>
                <w:kern w:val="0"/>
                <w:sz w:val="21"/>
                <w:szCs w:val="21"/>
              </w:rPr>
            </w:pPr>
            <w:r>
              <w:rPr>
                <w:b/>
                <w:bCs/>
                <w:kern w:val="0"/>
                <w:sz w:val="21"/>
                <w:szCs w:val="21"/>
              </w:rPr>
              <w:t>控制金额(元)</w:t>
            </w:r>
          </w:p>
        </w:tc>
      </w:tr>
      <w:tr w14:paraId="13A5618B">
        <w:tblPrEx>
          <w:tblCellMar>
            <w:top w:w="0" w:type="dxa"/>
            <w:left w:w="108" w:type="dxa"/>
            <w:bottom w:w="0" w:type="dxa"/>
            <w:right w:w="108" w:type="dxa"/>
          </w:tblCellMar>
        </w:tblPrEx>
        <w:trPr>
          <w:trHeight w:val="402" w:hRule="atLeast"/>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50C77B2">
            <w:pPr>
              <w:spacing w:line="240" w:lineRule="auto"/>
              <w:jc w:val="center"/>
              <w:rPr>
                <w:color w:val="000000"/>
                <w:kern w:val="0"/>
                <w:sz w:val="21"/>
                <w:szCs w:val="21"/>
              </w:rPr>
            </w:pPr>
            <w:r>
              <w:rPr>
                <w:color w:val="000000"/>
                <w:kern w:val="0"/>
                <w:sz w:val="21"/>
                <w:szCs w:val="21"/>
              </w:rPr>
              <w:t>1</w:t>
            </w:r>
          </w:p>
        </w:tc>
        <w:tc>
          <w:tcPr>
            <w:tcW w:w="995" w:type="dxa"/>
            <w:tcBorders>
              <w:top w:val="single" w:color="auto" w:sz="4" w:space="0"/>
              <w:left w:val="nil"/>
              <w:bottom w:val="single" w:color="auto" w:sz="4" w:space="0"/>
              <w:right w:val="single" w:color="auto" w:sz="4" w:space="0"/>
            </w:tcBorders>
            <w:shd w:val="clear" w:color="000000" w:fill="FFFFFF"/>
            <w:vAlign w:val="center"/>
          </w:tcPr>
          <w:p w14:paraId="6A58B07E">
            <w:pPr>
              <w:spacing w:line="240" w:lineRule="auto"/>
              <w:jc w:val="center"/>
              <w:rPr>
                <w:color w:val="000000"/>
                <w:kern w:val="0"/>
                <w:sz w:val="21"/>
                <w:szCs w:val="21"/>
              </w:rPr>
            </w:pPr>
            <w:r>
              <w:rPr>
                <w:rFonts w:hint="eastAsia"/>
                <w:color w:val="000000"/>
                <w:kern w:val="0"/>
                <w:sz w:val="21"/>
                <w:szCs w:val="21"/>
              </w:rPr>
              <w:t>智能电源PDU</w:t>
            </w:r>
          </w:p>
        </w:tc>
        <w:tc>
          <w:tcPr>
            <w:tcW w:w="10341" w:type="dxa"/>
            <w:tcBorders>
              <w:top w:val="single" w:color="auto" w:sz="4" w:space="0"/>
              <w:left w:val="nil"/>
              <w:bottom w:val="single" w:color="auto" w:sz="4" w:space="0"/>
              <w:right w:val="single" w:color="auto" w:sz="4" w:space="0"/>
            </w:tcBorders>
            <w:shd w:val="clear" w:color="auto" w:fill="auto"/>
            <w:vAlign w:val="center"/>
          </w:tcPr>
          <w:p w14:paraId="6777C0E4">
            <w:pPr>
              <w:spacing w:line="240" w:lineRule="auto"/>
              <w:rPr>
                <w:color w:val="000000"/>
                <w:kern w:val="0"/>
                <w:sz w:val="21"/>
                <w:szCs w:val="21"/>
              </w:rPr>
            </w:pPr>
            <w:r>
              <w:rPr>
                <w:rFonts w:hint="eastAsia"/>
                <w:color w:val="000000"/>
                <w:kern w:val="0"/>
                <w:sz w:val="21"/>
                <w:szCs w:val="21"/>
              </w:rPr>
              <w:t>1、单路输出不小于30A；</w:t>
            </w:r>
            <w:r>
              <w:rPr>
                <w:rFonts w:hint="eastAsia"/>
                <w:color w:val="000000"/>
                <w:kern w:val="0"/>
                <w:sz w:val="21"/>
                <w:szCs w:val="21"/>
              </w:rPr>
              <w:br w:type="textWrapping"/>
            </w:r>
            <w:r>
              <w:rPr>
                <w:rFonts w:hint="eastAsia"/>
                <w:color w:val="000000"/>
                <w:kern w:val="0"/>
                <w:sz w:val="21"/>
                <w:szCs w:val="21"/>
              </w:rPr>
              <w:t>2、可控电源不少于8路，兼容中规、美规、欧规插座；</w:t>
            </w:r>
            <w:r>
              <w:rPr>
                <w:rFonts w:hint="eastAsia"/>
                <w:color w:val="000000"/>
                <w:kern w:val="0"/>
                <w:sz w:val="21"/>
                <w:szCs w:val="21"/>
              </w:rPr>
              <w:br w:type="textWrapping"/>
            </w:r>
            <w:r>
              <w:rPr>
                <w:rFonts w:hint="eastAsia"/>
                <w:color w:val="000000"/>
                <w:kern w:val="0"/>
                <w:sz w:val="21"/>
                <w:szCs w:val="21"/>
              </w:rPr>
              <w:t>3、前面板带不少于4路直通兼容中规、美规、欧规插座；</w:t>
            </w:r>
            <w:r>
              <w:rPr>
                <w:rFonts w:hint="eastAsia"/>
                <w:color w:val="000000"/>
                <w:kern w:val="0"/>
                <w:sz w:val="21"/>
                <w:szCs w:val="21"/>
              </w:rPr>
              <w:br w:type="textWrapping"/>
            </w:r>
            <w:r>
              <w:rPr>
                <w:rFonts w:hint="eastAsia"/>
                <w:color w:val="000000"/>
                <w:kern w:val="0"/>
                <w:sz w:val="21"/>
                <w:szCs w:val="21"/>
              </w:rPr>
              <w:t>★4、不少于4个USB端口，前后面板各不少于2个，前面板1号USB口为电脑软件控制端口，2、3、4号USB提供5V直流输出，可为工作灯供电、手机平板充电用，须提供USB端口清晰照片图。</w:t>
            </w:r>
            <w:r>
              <w:rPr>
                <w:rFonts w:hint="eastAsia"/>
                <w:color w:val="000000"/>
                <w:kern w:val="0"/>
                <w:sz w:val="21"/>
                <w:szCs w:val="21"/>
              </w:rPr>
              <w:br w:type="textWrapping"/>
            </w:r>
            <w:r>
              <w:rPr>
                <w:rFonts w:hint="eastAsia"/>
                <w:color w:val="000000"/>
                <w:kern w:val="0"/>
                <w:sz w:val="21"/>
                <w:szCs w:val="21"/>
              </w:rPr>
              <w:t>★5、前面板自带不少于1个2吋彩色液晶智能显示窗，可实时显示模式、ID、当前电压、日期时间、通道开关状态等信息，须提供显示窗口显示内容清晰照片图。</w:t>
            </w:r>
            <w:r>
              <w:rPr>
                <w:rFonts w:hint="eastAsia"/>
                <w:color w:val="000000"/>
                <w:kern w:val="0"/>
                <w:sz w:val="21"/>
                <w:szCs w:val="21"/>
              </w:rPr>
              <w:br w:type="textWrapping"/>
            </w:r>
            <w:r>
              <w:rPr>
                <w:rFonts w:hint="eastAsia"/>
                <w:color w:val="000000"/>
                <w:kern w:val="0"/>
                <w:sz w:val="21"/>
                <w:szCs w:val="21"/>
              </w:rPr>
              <w:t>6、机器面板自带不少于一个飞梭控制旋钮，配合显示屏可做保存调用模式、中文、英文语言选择、级联开关设置、波特率选择、ID选择、初始化设定、电压校准、过压欠压设置、保护开关或自动设置、时间设置、上电自启设置、定时开关设置、通道开关机延时设置、软件版本、端口、设备名称查看、IP设置；</w:t>
            </w:r>
            <w:r>
              <w:rPr>
                <w:rFonts w:hint="eastAsia"/>
                <w:color w:val="000000"/>
                <w:kern w:val="0"/>
                <w:sz w:val="21"/>
                <w:szCs w:val="21"/>
              </w:rPr>
              <w:br w:type="textWrapping"/>
            </w:r>
            <w:r>
              <w:rPr>
                <w:rFonts w:hint="eastAsia"/>
                <w:color w:val="000000"/>
                <w:kern w:val="0"/>
                <w:sz w:val="21"/>
                <w:szCs w:val="21"/>
              </w:rPr>
              <w:t>7、机器后面板带有不少于2个RJ45网口（LINK IN、LINK OUT），通过级联设置，自动识别主机从机实现多台时序器超远距离级联使用；</w:t>
            </w:r>
            <w:r>
              <w:rPr>
                <w:rFonts w:hint="eastAsia"/>
                <w:color w:val="000000"/>
                <w:kern w:val="0"/>
                <w:sz w:val="21"/>
                <w:szCs w:val="21"/>
              </w:rPr>
              <w:br w:type="textWrapping"/>
            </w:r>
            <w:r>
              <w:rPr>
                <w:rFonts w:hint="eastAsia"/>
                <w:color w:val="000000"/>
                <w:kern w:val="0"/>
                <w:sz w:val="21"/>
                <w:szCs w:val="21"/>
              </w:rPr>
              <w:t>8、APP控制:机器带有手机APP控制软件，可控制模式调取、通道电源开关，须提供APP控制软件界面截图。</w:t>
            </w:r>
            <w:r>
              <w:rPr>
                <w:rFonts w:hint="eastAsia"/>
                <w:color w:val="000000"/>
                <w:kern w:val="0"/>
                <w:sz w:val="21"/>
                <w:szCs w:val="21"/>
              </w:rPr>
              <w:br w:type="textWrapping"/>
            </w:r>
            <w:r>
              <w:rPr>
                <w:rFonts w:hint="eastAsia"/>
                <w:color w:val="000000"/>
                <w:kern w:val="0"/>
                <w:sz w:val="21"/>
                <w:szCs w:val="21"/>
              </w:rPr>
              <w:t>9、机器可通过前面板1号USB端口、后面板RS-232端口，LAN-PC的RJ45网口实现IP网络远程控制，三种端口任意选择与电脑相连通过软件控制；</w:t>
            </w:r>
            <w:r>
              <w:rPr>
                <w:rFonts w:hint="eastAsia"/>
                <w:color w:val="000000"/>
                <w:kern w:val="0"/>
                <w:sz w:val="21"/>
                <w:szCs w:val="21"/>
              </w:rPr>
              <w:br w:type="textWrapping"/>
            </w:r>
            <w:r>
              <w:rPr>
                <w:rFonts w:hint="eastAsia"/>
                <w:color w:val="000000"/>
                <w:kern w:val="0"/>
                <w:sz w:val="21"/>
                <w:szCs w:val="21"/>
              </w:rPr>
              <w:t>★10、模式调取、模式保存（可保存不少于8种模式供用户调用）、当前电压、时序器开关机、单路单独开关，软件可设置通道延时0-999秒、可做定时器设置：星期一至星期日根据需要设置开启关闭并能单独旁路星期一至星期日的定时器时间、定时开关可设定关闭、循环、非循环，同时开机日期、关机日期、开机时间、关机时间均可单独设置；过压设置：带有开启、关闭、自动三档设置，过压欠压从0-300V根据需要设置；可设定时间、获取系统时间、可设定上电自启，系统设置：可设置设备地址、设备名称、电压校准、级联开关、语言选择（中文、英文）；须提供软件界面功能截图。</w:t>
            </w:r>
            <w:r>
              <w:rPr>
                <w:rFonts w:hint="eastAsia"/>
                <w:color w:val="000000"/>
                <w:kern w:val="0"/>
                <w:sz w:val="21"/>
                <w:szCs w:val="21"/>
              </w:rPr>
              <w:br w:type="textWrapping"/>
            </w:r>
            <w:r>
              <w:rPr>
                <w:rFonts w:hint="eastAsia"/>
                <w:color w:val="000000"/>
                <w:kern w:val="0"/>
                <w:sz w:val="21"/>
                <w:szCs w:val="21"/>
              </w:rPr>
              <w:t>11、机器可通过后接线板的2路RJ45任意一个网口远程控制功能与音频矩阵处理器、中控、有线控制面板及其他设备联动通讯，实现有线和无线远程控制电源时序器开关机；须提供任意一种联动设备通过该远程控制功能控制电源时序器的开机和关机的两种工作状态清晰照片图。</w:t>
            </w:r>
            <w:r>
              <w:rPr>
                <w:rFonts w:hint="eastAsia"/>
                <w:color w:val="000000"/>
                <w:kern w:val="0"/>
                <w:sz w:val="21"/>
                <w:szCs w:val="21"/>
              </w:rPr>
              <w:br w:type="textWrapping"/>
            </w:r>
            <w:r>
              <w:rPr>
                <w:rFonts w:hint="eastAsia"/>
                <w:color w:val="000000"/>
                <w:kern w:val="0"/>
                <w:sz w:val="21"/>
                <w:szCs w:val="21"/>
              </w:rPr>
              <w:t>12、中控接口不少于RS232、RS485、LAN-PC三种连接方式；</w:t>
            </w:r>
            <w:r>
              <w:rPr>
                <w:rFonts w:hint="eastAsia"/>
                <w:color w:val="000000"/>
                <w:kern w:val="0"/>
                <w:sz w:val="21"/>
                <w:szCs w:val="21"/>
              </w:rPr>
              <w:br w:type="textWrapping"/>
            </w:r>
            <w:r>
              <w:rPr>
                <w:rFonts w:hint="eastAsia"/>
                <w:color w:val="000000"/>
                <w:kern w:val="0"/>
                <w:sz w:val="21"/>
                <w:szCs w:val="21"/>
              </w:rPr>
              <w:t>13、每路开关机延时0-999秒自定义；</w:t>
            </w:r>
            <w:r>
              <w:rPr>
                <w:rFonts w:hint="eastAsia"/>
                <w:color w:val="000000"/>
                <w:kern w:val="0"/>
                <w:sz w:val="21"/>
                <w:szCs w:val="21"/>
              </w:rPr>
              <w:br w:type="textWrapping"/>
            </w:r>
            <w:r>
              <w:rPr>
                <w:rFonts w:hint="eastAsia"/>
                <w:color w:val="000000"/>
                <w:kern w:val="0"/>
                <w:sz w:val="21"/>
                <w:szCs w:val="21"/>
              </w:rPr>
              <w:t>★14、提供国家认可的检测机构出具带有“CNAS和CMA”标识的功能性检测报告复印件查验，检测报告应具有“3-12”项参数的功能描述和送检样品的实物图片（功能实物面板照片图外观和报告内实物图片需保持一致）；并提供检测报告编号在国家市场监督管理总局官网查询截图。若投标单位提供产品不能满足采购参数建设需求或不提供的，采购单位将视其为虚假响应，并上报上级单位，追究其虚假应标造成的所有经济损失。</w:t>
            </w:r>
          </w:p>
        </w:tc>
        <w:tc>
          <w:tcPr>
            <w:tcW w:w="846" w:type="dxa"/>
            <w:tcBorders>
              <w:top w:val="single" w:color="auto" w:sz="4" w:space="0"/>
              <w:left w:val="nil"/>
              <w:bottom w:val="single" w:color="auto" w:sz="4" w:space="0"/>
              <w:right w:val="single" w:color="auto" w:sz="4" w:space="0"/>
            </w:tcBorders>
            <w:shd w:val="clear" w:color="auto" w:fill="auto"/>
            <w:vAlign w:val="center"/>
          </w:tcPr>
          <w:p w14:paraId="782FD2FA">
            <w:pPr>
              <w:spacing w:line="240" w:lineRule="auto"/>
              <w:jc w:val="center"/>
              <w:rPr>
                <w:color w:val="000000"/>
                <w:kern w:val="0"/>
                <w:sz w:val="21"/>
                <w:szCs w:val="21"/>
              </w:rPr>
            </w:pPr>
            <w:r>
              <w:rPr>
                <w:rFonts w:hint="eastAsia"/>
                <w:color w:val="000000"/>
                <w:kern w:val="0"/>
                <w:sz w:val="21"/>
                <w:szCs w:val="21"/>
              </w:rPr>
              <w:t>1</w:t>
            </w:r>
          </w:p>
        </w:tc>
        <w:tc>
          <w:tcPr>
            <w:tcW w:w="534" w:type="dxa"/>
            <w:tcBorders>
              <w:top w:val="single" w:color="auto" w:sz="4" w:space="0"/>
              <w:left w:val="nil"/>
              <w:bottom w:val="single" w:color="auto" w:sz="4" w:space="0"/>
              <w:right w:val="single" w:color="auto" w:sz="4" w:space="0"/>
            </w:tcBorders>
            <w:shd w:val="clear" w:color="auto" w:fill="auto"/>
            <w:vAlign w:val="center"/>
          </w:tcPr>
          <w:p w14:paraId="5DBDAD17">
            <w:pPr>
              <w:spacing w:line="240" w:lineRule="auto"/>
              <w:jc w:val="center"/>
              <w:rPr>
                <w:color w:val="000000"/>
                <w:kern w:val="0"/>
                <w:sz w:val="21"/>
                <w:szCs w:val="21"/>
              </w:rPr>
            </w:pPr>
            <w:r>
              <w:rPr>
                <w:rFonts w:hint="eastAsia"/>
                <w:color w:val="000000"/>
                <w:kern w:val="0"/>
                <w:sz w:val="21"/>
                <w:szCs w:val="21"/>
              </w:rPr>
              <w:t>台</w:t>
            </w:r>
          </w:p>
        </w:tc>
        <w:tc>
          <w:tcPr>
            <w:tcW w:w="1437" w:type="dxa"/>
            <w:tcBorders>
              <w:top w:val="single" w:color="auto" w:sz="4" w:space="0"/>
              <w:left w:val="nil"/>
              <w:bottom w:val="single" w:color="auto" w:sz="4" w:space="0"/>
              <w:right w:val="single" w:color="auto" w:sz="4" w:space="0"/>
            </w:tcBorders>
            <w:shd w:val="clear" w:color="auto" w:fill="auto"/>
            <w:vAlign w:val="center"/>
          </w:tcPr>
          <w:p w14:paraId="50A63754">
            <w:pPr>
              <w:spacing w:line="240" w:lineRule="auto"/>
              <w:jc w:val="right"/>
              <w:rPr>
                <w:color w:val="000000"/>
                <w:kern w:val="0"/>
                <w:sz w:val="21"/>
                <w:szCs w:val="21"/>
              </w:rPr>
            </w:pPr>
            <w:r>
              <w:rPr>
                <w:rFonts w:hint="eastAsia"/>
                <w:color w:val="000000"/>
                <w:kern w:val="0"/>
                <w:sz w:val="21"/>
                <w:szCs w:val="21"/>
              </w:rPr>
              <w:t>2,480.00</w:t>
            </w:r>
          </w:p>
        </w:tc>
      </w:tr>
      <w:tr w14:paraId="61EC2385">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4A9BC4AC">
            <w:pPr>
              <w:spacing w:line="240" w:lineRule="auto"/>
              <w:jc w:val="center"/>
              <w:rPr>
                <w:color w:val="000000"/>
                <w:kern w:val="0"/>
                <w:sz w:val="21"/>
                <w:szCs w:val="21"/>
              </w:rPr>
            </w:pPr>
            <w:r>
              <w:rPr>
                <w:color w:val="000000"/>
                <w:kern w:val="0"/>
                <w:sz w:val="21"/>
                <w:szCs w:val="21"/>
              </w:rPr>
              <w:t>2</w:t>
            </w:r>
          </w:p>
        </w:tc>
        <w:tc>
          <w:tcPr>
            <w:tcW w:w="995" w:type="dxa"/>
            <w:tcBorders>
              <w:top w:val="nil"/>
              <w:left w:val="nil"/>
              <w:bottom w:val="single" w:color="auto" w:sz="4" w:space="0"/>
              <w:right w:val="single" w:color="auto" w:sz="4" w:space="0"/>
            </w:tcBorders>
            <w:shd w:val="clear" w:color="000000" w:fill="FFFFFF"/>
            <w:vAlign w:val="center"/>
          </w:tcPr>
          <w:p w14:paraId="54D4D6A5">
            <w:pPr>
              <w:spacing w:line="240" w:lineRule="auto"/>
              <w:jc w:val="center"/>
              <w:rPr>
                <w:color w:val="000000"/>
                <w:kern w:val="0"/>
                <w:sz w:val="21"/>
                <w:szCs w:val="21"/>
              </w:rPr>
            </w:pPr>
            <w:r>
              <w:rPr>
                <w:rFonts w:hint="eastAsia"/>
                <w:color w:val="000000"/>
                <w:kern w:val="0"/>
                <w:sz w:val="21"/>
                <w:szCs w:val="21"/>
              </w:rPr>
              <w:t>LED显示屏</w:t>
            </w:r>
          </w:p>
        </w:tc>
        <w:tc>
          <w:tcPr>
            <w:tcW w:w="10341" w:type="dxa"/>
            <w:tcBorders>
              <w:top w:val="nil"/>
              <w:left w:val="nil"/>
              <w:bottom w:val="single" w:color="auto" w:sz="4" w:space="0"/>
              <w:right w:val="single" w:color="auto" w:sz="4" w:space="0"/>
            </w:tcBorders>
            <w:shd w:val="clear" w:color="auto" w:fill="auto"/>
            <w:vAlign w:val="center"/>
          </w:tcPr>
          <w:p w14:paraId="043B61D2">
            <w:pPr>
              <w:spacing w:line="240" w:lineRule="auto"/>
              <w:rPr>
                <w:color w:val="000000"/>
                <w:kern w:val="0"/>
                <w:sz w:val="21"/>
                <w:szCs w:val="21"/>
              </w:rPr>
            </w:pPr>
            <w:r>
              <w:rPr>
                <w:rFonts w:hint="eastAsia"/>
                <w:color w:val="000000"/>
                <w:kern w:val="0"/>
                <w:sz w:val="21"/>
                <w:szCs w:val="21"/>
              </w:rPr>
              <w:t>屏幕显示尺寸不小于：3.84m * 2.08m，；</w:t>
            </w:r>
            <w:r>
              <w:rPr>
                <w:rFonts w:hint="eastAsia"/>
                <w:color w:val="000000"/>
                <w:kern w:val="0"/>
                <w:sz w:val="21"/>
                <w:szCs w:val="21"/>
              </w:rPr>
              <w:br w:type="textWrapping"/>
            </w:r>
            <w:r>
              <w:rPr>
                <w:rFonts w:hint="eastAsia"/>
                <w:color w:val="000000"/>
                <w:kern w:val="0"/>
                <w:sz w:val="21"/>
                <w:szCs w:val="21"/>
              </w:rPr>
              <w:t>1. COB 三合一封装（红+蓝+绿），采用 RGB 晶片全倒装技术，晶片直接焊在 PCB 上，无焊线。</w:t>
            </w:r>
            <w:r>
              <w:rPr>
                <w:rFonts w:hint="eastAsia"/>
                <w:color w:val="000000"/>
                <w:kern w:val="0"/>
                <w:sz w:val="21"/>
                <w:szCs w:val="21"/>
              </w:rPr>
              <w:br w:type="textWrapping"/>
            </w:r>
            <w:r>
              <w:rPr>
                <w:rFonts w:hint="eastAsia"/>
                <w:color w:val="000000"/>
                <w:kern w:val="0"/>
                <w:sz w:val="21"/>
                <w:szCs w:val="21"/>
              </w:rPr>
              <w:t xml:space="preserve">2.像素构成：1R1G1B，实像素，非虚拟像素、非倍增。 </w:t>
            </w:r>
            <w:r>
              <w:rPr>
                <w:rFonts w:hint="eastAsia"/>
                <w:color w:val="000000"/>
                <w:kern w:val="0"/>
                <w:sz w:val="21"/>
                <w:szCs w:val="21"/>
              </w:rPr>
              <w:br w:type="textWrapping"/>
            </w:r>
            <w:r>
              <w:rPr>
                <w:rFonts w:hint="eastAsia"/>
                <w:color w:val="000000"/>
                <w:kern w:val="0"/>
                <w:sz w:val="21"/>
                <w:szCs w:val="21"/>
              </w:rPr>
              <w:t>3.点间距：≤1.5</w:t>
            </w:r>
            <w:r>
              <w:rPr>
                <w:color w:val="000000"/>
                <w:kern w:val="0"/>
                <w:sz w:val="21"/>
                <w:szCs w:val="21"/>
              </w:rPr>
              <w:t>3</w:t>
            </w:r>
            <w:r>
              <w:rPr>
                <w:rFonts w:hint="eastAsia"/>
                <w:color w:val="000000"/>
                <w:kern w:val="0"/>
                <w:sz w:val="21"/>
                <w:szCs w:val="21"/>
              </w:rPr>
              <w:t>mm；像素密度不小于：422500点/㎡；</w:t>
            </w:r>
            <w:r>
              <w:rPr>
                <w:rFonts w:hint="eastAsia"/>
                <w:color w:val="000000"/>
                <w:kern w:val="0"/>
                <w:sz w:val="21"/>
                <w:szCs w:val="21"/>
              </w:rPr>
              <w:br w:type="textWrapping"/>
            </w:r>
            <w:r>
              <w:rPr>
                <w:rFonts w:hint="eastAsia"/>
                <w:color w:val="000000"/>
                <w:kern w:val="0"/>
                <w:sz w:val="21"/>
                <w:szCs w:val="21"/>
              </w:rPr>
              <w:t>4.亮度：≥600cd/m²。</w:t>
            </w:r>
            <w:r>
              <w:rPr>
                <w:rFonts w:hint="eastAsia"/>
                <w:color w:val="000000"/>
                <w:kern w:val="0"/>
                <w:sz w:val="21"/>
                <w:szCs w:val="21"/>
              </w:rPr>
              <w:br w:type="textWrapping"/>
            </w:r>
            <w:r>
              <w:rPr>
                <w:rFonts w:hint="eastAsia"/>
                <w:color w:val="000000"/>
                <w:kern w:val="0"/>
                <w:sz w:val="21"/>
                <w:szCs w:val="21"/>
              </w:rPr>
              <w:t>5. 模组尺寸：320*160mm，模组重量≤0.5kg，屏体表面封胶≤0.35mm，模组平整度/间隙≤0.05mm。</w:t>
            </w:r>
            <w:r>
              <w:rPr>
                <w:rFonts w:hint="eastAsia"/>
                <w:color w:val="000000"/>
                <w:kern w:val="0"/>
                <w:sz w:val="21"/>
                <w:szCs w:val="21"/>
              </w:rPr>
              <w:br w:type="textWrapping"/>
            </w:r>
            <w:r>
              <w:rPr>
                <w:rFonts w:hint="eastAsia"/>
                <w:color w:val="000000"/>
                <w:kern w:val="0"/>
                <w:sz w:val="21"/>
                <w:szCs w:val="21"/>
              </w:rPr>
              <w:t>6.箱体尺寸:640 x 480 x 45mm/640 x 640 x 45mm</w:t>
            </w:r>
            <w:r>
              <w:rPr>
                <w:rFonts w:hint="eastAsia"/>
                <w:color w:val="000000"/>
                <w:kern w:val="0"/>
                <w:sz w:val="21"/>
                <w:szCs w:val="21"/>
              </w:rPr>
              <w:br w:type="textWrapping"/>
            </w:r>
            <w:r>
              <w:rPr>
                <w:rFonts w:hint="eastAsia"/>
                <w:color w:val="000000"/>
                <w:kern w:val="0"/>
                <w:sz w:val="21"/>
                <w:szCs w:val="21"/>
              </w:rPr>
              <w:t>7.箱体重量:3.0kg</w:t>
            </w:r>
            <w:r>
              <w:rPr>
                <w:rFonts w:hint="eastAsia"/>
                <w:color w:val="000000"/>
                <w:kern w:val="0"/>
                <w:sz w:val="21"/>
                <w:szCs w:val="21"/>
              </w:rPr>
              <w:br w:type="textWrapping"/>
            </w:r>
            <w:r>
              <w:rPr>
                <w:rFonts w:hint="eastAsia"/>
                <w:color w:val="000000"/>
                <w:kern w:val="0"/>
                <w:sz w:val="21"/>
                <w:szCs w:val="21"/>
              </w:rPr>
              <w:t>8.箱体材质:铝合金</w:t>
            </w:r>
            <w:r>
              <w:rPr>
                <w:rFonts w:hint="eastAsia"/>
                <w:color w:val="000000"/>
                <w:kern w:val="0"/>
                <w:sz w:val="21"/>
                <w:szCs w:val="21"/>
              </w:rPr>
              <w:br w:type="textWrapping"/>
            </w:r>
            <w:r>
              <w:rPr>
                <w:rFonts w:hint="eastAsia"/>
                <w:color w:val="000000"/>
                <w:kern w:val="0"/>
                <w:sz w:val="21"/>
                <w:szCs w:val="21"/>
              </w:rPr>
              <w:t>9.维护方式：完全前维护</w:t>
            </w:r>
            <w:r>
              <w:rPr>
                <w:rFonts w:hint="eastAsia"/>
                <w:color w:val="000000"/>
                <w:kern w:val="0"/>
                <w:sz w:val="21"/>
                <w:szCs w:val="21"/>
              </w:rPr>
              <w:br w:type="textWrapping"/>
            </w:r>
            <w:r>
              <w:rPr>
                <w:rFonts w:hint="eastAsia"/>
                <w:color w:val="000000"/>
                <w:kern w:val="0"/>
                <w:sz w:val="21"/>
                <w:szCs w:val="21"/>
              </w:rPr>
              <w:t>10.箱体平整度：≤0.03mm，模组间缝隙：≤0.03mm</w:t>
            </w:r>
            <w:r>
              <w:rPr>
                <w:rFonts w:hint="eastAsia"/>
                <w:color w:val="000000"/>
                <w:kern w:val="0"/>
                <w:sz w:val="21"/>
                <w:szCs w:val="21"/>
              </w:rPr>
              <w:br w:type="textWrapping"/>
            </w:r>
            <w:r>
              <w:rPr>
                <w:rFonts w:hint="eastAsia"/>
                <w:color w:val="000000"/>
                <w:kern w:val="0"/>
                <w:sz w:val="21"/>
                <w:szCs w:val="21"/>
              </w:rPr>
              <w:t>11.箱体支持隐藏式布线，整屏安装后箱体背面看不到线材，美观，简洁。</w:t>
            </w:r>
            <w:r>
              <w:rPr>
                <w:rFonts w:hint="eastAsia"/>
                <w:color w:val="000000"/>
                <w:kern w:val="0"/>
                <w:sz w:val="21"/>
                <w:szCs w:val="21"/>
              </w:rPr>
              <w:br w:type="textWrapping"/>
            </w:r>
            <w:r>
              <w:rPr>
                <w:rFonts w:hint="eastAsia"/>
                <w:color w:val="000000"/>
                <w:kern w:val="0"/>
                <w:sz w:val="21"/>
                <w:szCs w:val="21"/>
              </w:rPr>
              <w:t>12.防护等级：发光面不低于IP65。</w:t>
            </w:r>
            <w:r>
              <w:rPr>
                <w:rFonts w:hint="eastAsia"/>
                <w:color w:val="000000"/>
                <w:kern w:val="0"/>
                <w:sz w:val="21"/>
                <w:szCs w:val="21"/>
              </w:rPr>
              <w:br w:type="textWrapping"/>
            </w:r>
            <w:r>
              <w:rPr>
                <w:rFonts w:hint="eastAsia"/>
                <w:color w:val="000000"/>
                <w:kern w:val="0"/>
                <w:sz w:val="21"/>
                <w:szCs w:val="21"/>
              </w:rPr>
              <w:t>13.视角：≥170°/170°（水平视角/垂直）；</w:t>
            </w:r>
            <w:r>
              <w:rPr>
                <w:rFonts w:hint="eastAsia"/>
                <w:color w:val="000000"/>
                <w:kern w:val="0"/>
                <w:sz w:val="21"/>
                <w:szCs w:val="21"/>
              </w:rPr>
              <w:br w:type="textWrapping"/>
            </w:r>
            <w:r>
              <w:rPr>
                <w:rFonts w:hint="eastAsia"/>
                <w:color w:val="000000"/>
                <w:kern w:val="0"/>
                <w:sz w:val="21"/>
                <w:szCs w:val="21"/>
              </w:rPr>
              <w:t>14.亮度均匀性：≥99%；</w:t>
            </w:r>
            <w:r>
              <w:rPr>
                <w:rFonts w:hint="eastAsia"/>
                <w:color w:val="000000"/>
                <w:kern w:val="0"/>
                <w:sz w:val="21"/>
                <w:szCs w:val="21"/>
              </w:rPr>
              <w:br w:type="textWrapping"/>
            </w:r>
            <w:r>
              <w:rPr>
                <w:rFonts w:hint="eastAsia"/>
                <w:color w:val="000000"/>
                <w:kern w:val="0"/>
                <w:sz w:val="21"/>
                <w:szCs w:val="21"/>
              </w:rPr>
              <w:t>15.色温 3000K~18000K 可调；</w:t>
            </w:r>
            <w:r>
              <w:rPr>
                <w:rFonts w:hint="eastAsia"/>
                <w:color w:val="000000"/>
                <w:kern w:val="0"/>
                <w:sz w:val="21"/>
                <w:szCs w:val="21"/>
              </w:rPr>
              <w:br w:type="textWrapping"/>
            </w:r>
            <w:r>
              <w:rPr>
                <w:rFonts w:hint="eastAsia"/>
                <w:color w:val="000000"/>
                <w:kern w:val="0"/>
                <w:sz w:val="21"/>
                <w:szCs w:val="21"/>
              </w:rPr>
              <w:t>16.色度均匀性：±0.002Cx,Cy之内；</w:t>
            </w:r>
            <w:r>
              <w:rPr>
                <w:rFonts w:hint="eastAsia"/>
                <w:color w:val="000000"/>
                <w:kern w:val="0"/>
                <w:sz w:val="21"/>
                <w:szCs w:val="21"/>
              </w:rPr>
              <w:br w:type="textWrapping"/>
            </w:r>
            <w:r>
              <w:rPr>
                <w:rFonts w:hint="eastAsia"/>
                <w:color w:val="000000"/>
                <w:kern w:val="0"/>
                <w:sz w:val="21"/>
                <w:szCs w:val="21"/>
              </w:rPr>
              <w:t>17.峰值功耗≤380/㎡，平均功耗≤200W/㎡</w:t>
            </w:r>
            <w:r>
              <w:rPr>
                <w:rFonts w:hint="eastAsia"/>
                <w:color w:val="000000"/>
                <w:kern w:val="0"/>
                <w:sz w:val="21"/>
                <w:szCs w:val="21"/>
              </w:rPr>
              <w:br w:type="textWrapping"/>
            </w:r>
            <w:r>
              <w:rPr>
                <w:rFonts w:hint="eastAsia"/>
                <w:color w:val="000000"/>
                <w:kern w:val="0"/>
                <w:sz w:val="21"/>
                <w:szCs w:val="21"/>
              </w:rPr>
              <w:t>18.发光点中心偏差：≤1%；</w:t>
            </w:r>
            <w:r>
              <w:rPr>
                <w:rFonts w:hint="eastAsia"/>
                <w:color w:val="000000"/>
                <w:kern w:val="0"/>
                <w:sz w:val="21"/>
                <w:szCs w:val="21"/>
              </w:rPr>
              <w:br w:type="textWrapping"/>
            </w:r>
            <w:r>
              <w:rPr>
                <w:rFonts w:hint="eastAsia"/>
                <w:color w:val="000000"/>
                <w:kern w:val="0"/>
                <w:sz w:val="21"/>
                <w:szCs w:val="21"/>
              </w:rPr>
              <w:t>19.刷新率：不小于3840Hz；</w:t>
            </w:r>
            <w:r>
              <w:rPr>
                <w:rFonts w:hint="eastAsia"/>
                <w:color w:val="000000"/>
                <w:kern w:val="0"/>
                <w:sz w:val="21"/>
                <w:szCs w:val="21"/>
              </w:rPr>
              <w:br w:type="textWrapping"/>
            </w:r>
            <w:r>
              <w:rPr>
                <w:rFonts w:hint="eastAsia"/>
                <w:color w:val="000000"/>
                <w:kern w:val="0"/>
                <w:sz w:val="21"/>
                <w:szCs w:val="21"/>
              </w:rPr>
              <w:t>20.换帧频率（赫兹）:50/60</w:t>
            </w:r>
            <w:r>
              <w:rPr>
                <w:rFonts w:hint="eastAsia"/>
                <w:color w:val="000000"/>
                <w:kern w:val="0"/>
                <w:sz w:val="21"/>
                <w:szCs w:val="21"/>
              </w:rPr>
              <w:br w:type="textWrapping"/>
            </w:r>
            <w:r>
              <w:rPr>
                <w:rFonts w:hint="eastAsia"/>
                <w:color w:val="000000"/>
                <w:kern w:val="0"/>
                <w:sz w:val="21"/>
                <w:szCs w:val="21"/>
              </w:rPr>
              <w:t>21. 100%亮度时，16bit 灰度；70%亮度，16bit灰度；50%亮度，16bit灰度；20%亮度，15bit 灰度。</w:t>
            </w:r>
            <w:r>
              <w:rPr>
                <w:rFonts w:hint="eastAsia"/>
                <w:color w:val="000000"/>
                <w:kern w:val="0"/>
                <w:sz w:val="21"/>
                <w:szCs w:val="21"/>
              </w:rPr>
              <w:br w:type="textWrapping"/>
            </w:r>
            <w:r>
              <w:rPr>
                <w:rFonts w:hint="eastAsia"/>
                <w:color w:val="000000"/>
                <w:kern w:val="0"/>
                <w:sz w:val="21"/>
                <w:szCs w:val="21"/>
              </w:rPr>
              <w:t>22.对比度：≥10000：1。</w:t>
            </w:r>
            <w:r>
              <w:rPr>
                <w:rFonts w:hint="eastAsia"/>
                <w:color w:val="000000"/>
                <w:kern w:val="0"/>
                <w:sz w:val="21"/>
                <w:szCs w:val="21"/>
              </w:rPr>
              <w:br w:type="textWrapping"/>
            </w:r>
            <w:r>
              <w:rPr>
                <w:rFonts w:hint="eastAsia"/>
                <w:color w:val="000000"/>
                <w:kern w:val="0"/>
                <w:sz w:val="21"/>
                <w:szCs w:val="21"/>
              </w:rPr>
              <w:t>23.采用微米级四层集成式封装面板，屏体表面采用高分子材料超黑涂层，全哑光设计，一致性好，拼装 无模块化现象，反光率≤1%，屏体 表面黑度≥40%，屏体正面反射比 ≤6.5%；维修后无痕迹，拼装无模块化现象，屏幕表面不反射环境光，触摸不留指纹印。</w:t>
            </w:r>
            <w:r>
              <w:rPr>
                <w:rFonts w:hint="eastAsia"/>
                <w:color w:val="000000"/>
                <w:kern w:val="0"/>
                <w:sz w:val="21"/>
                <w:szCs w:val="21"/>
              </w:rPr>
              <w:br w:type="textWrapping"/>
            </w:r>
            <w:r>
              <w:rPr>
                <w:rFonts w:hint="eastAsia"/>
                <w:color w:val="000000"/>
                <w:kern w:val="0"/>
                <w:sz w:val="21"/>
                <w:szCs w:val="21"/>
              </w:rPr>
              <w:t>24. 模组设计：单元模组全部采用电解电容做滤波设计，寿命长、耐高温，滤波效果好，模组采用磁吸固定方式。</w:t>
            </w:r>
            <w:r>
              <w:rPr>
                <w:rFonts w:hint="eastAsia"/>
                <w:color w:val="000000"/>
                <w:kern w:val="0"/>
                <w:sz w:val="21"/>
                <w:szCs w:val="21"/>
              </w:rPr>
              <w:br w:type="textWrapping"/>
            </w:r>
            <w:r>
              <w:rPr>
                <w:rFonts w:hint="eastAsia"/>
                <w:color w:val="000000"/>
                <w:kern w:val="0"/>
                <w:sz w:val="21"/>
                <w:szCs w:val="21"/>
              </w:rPr>
              <w:t>25. 面板材料：COB面板采用多层有机硅改性树脂材料，发光芯片晶圆层膜提升基板墨色一致性，改善固晶偏移导致视角色偏问题，增加芯片与基板结合力；顶层膜提升发光均匀性，保护发光芯片，防指纹。</w:t>
            </w:r>
            <w:r>
              <w:rPr>
                <w:rFonts w:hint="eastAsia"/>
                <w:color w:val="000000"/>
                <w:kern w:val="0"/>
                <w:sz w:val="21"/>
                <w:szCs w:val="21"/>
              </w:rPr>
              <w:br w:type="textWrapping"/>
            </w:r>
            <w:r>
              <w:rPr>
                <w:rFonts w:hint="eastAsia"/>
                <w:color w:val="000000"/>
                <w:kern w:val="0"/>
                <w:sz w:val="21"/>
                <w:szCs w:val="21"/>
              </w:rPr>
              <w:t>26. 校正存储：模组带自动校正功能，带flash IC 存储功能，支持掉电存储功能，具备故障自诊断及排查功能。</w:t>
            </w:r>
            <w:r>
              <w:rPr>
                <w:rFonts w:hint="eastAsia"/>
                <w:color w:val="000000"/>
                <w:kern w:val="0"/>
                <w:sz w:val="21"/>
                <w:szCs w:val="21"/>
              </w:rPr>
              <w:br w:type="textWrapping"/>
            </w:r>
            <w:r>
              <w:rPr>
                <w:rFonts w:hint="eastAsia"/>
                <w:color w:val="000000"/>
                <w:kern w:val="0"/>
                <w:sz w:val="21"/>
                <w:szCs w:val="21"/>
              </w:rPr>
              <w:t>27. 电路设计：IC具有共阴节能，黑屏节能、动态节能、低转折电压节能功能，均匀排布设计，散热均匀，有效减少发青现象；</w:t>
            </w:r>
          </w:p>
          <w:p w14:paraId="75245BA6">
            <w:pPr>
              <w:spacing w:line="240" w:lineRule="auto"/>
              <w:rPr>
                <w:color w:val="000000"/>
                <w:kern w:val="0"/>
                <w:sz w:val="21"/>
                <w:szCs w:val="21"/>
              </w:rPr>
            </w:pPr>
            <w:r>
              <w:rPr>
                <w:color w:val="000000"/>
                <w:kern w:val="0"/>
                <w:sz w:val="21"/>
                <w:szCs w:val="21"/>
              </w:rPr>
              <w:t>28.</w:t>
            </w:r>
            <w:r>
              <w:rPr>
                <w:rFonts w:hint="eastAsia"/>
              </w:rPr>
              <w:t xml:space="preserve"> </w:t>
            </w:r>
            <w:r>
              <w:rPr>
                <w:rFonts w:hint="eastAsia"/>
                <w:color w:val="000000"/>
                <w:kern w:val="0"/>
                <w:sz w:val="21"/>
                <w:szCs w:val="21"/>
              </w:rPr>
              <w:t>含钢结构、</w:t>
            </w:r>
            <w:r>
              <w:rPr>
                <w:color w:val="000000"/>
                <w:kern w:val="0"/>
                <w:sz w:val="21"/>
                <w:szCs w:val="21"/>
              </w:rPr>
              <w:t>4cm定制包边等。采用国标镀锌方管焊接钢结构支架，拼接效果好，安装简单，美观轻巧。</w:t>
            </w:r>
          </w:p>
          <w:p w14:paraId="0EDCEF83">
            <w:pPr>
              <w:spacing w:line="240" w:lineRule="auto"/>
              <w:rPr>
                <w:color w:val="000000"/>
                <w:kern w:val="0"/>
                <w:sz w:val="21"/>
                <w:szCs w:val="21"/>
              </w:rPr>
            </w:pPr>
            <w:r>
              <w:rPr>
                <w:rFonts w:hint="eastAsia"/>
                <w:color w:val="000000"/>
                <w:kern w:val="0"/>
                <w:sz w:val="21"/>
                <w:szCs w:val="21"/>
              </w:rPr>
              <w:t>2</w:t>
            </w:r>
            <w:r>
              <w:rPr>
                <w:color w:val="000000"/>
                <w:kern w:val="0"/>
                <w:sz w:val="21"/>
                <w:szCs w:val="21"/>
              </w:rPr>
              <w:t>9.</w:t>
            </w:r>
            <w:r>
              <w:t xml:space="preserve"> </w:t>
            </w:r>
            <w:r>
              <w:rPr>
                <w:rFonts w:hint="eastAsia"/>
              </w:rPr>
              <w:t>含</w:t>
            </w:r>
            <w:r>
              <w:rPr>
                <w:color w:val="000000"/>
                <w:kern w:val="0"/>
                <w:sz w:val="21"/>
                <w:szCs w:val="21"/>
              </w:rPr>
              <w:t>15KW LED显示屏PLC智能配电柜</w:t>
            </w:r>
          </w:p>
          <w:p w14:paraId="4CDD1FF9">
            <w:pPr>
              <w:spacing w:line="240" w:lineRule="auto"/>
              <w:rPr>
                <w:color w:val="000000"/>
                <w:kern w:val="0"/>
                <w:sz w:val="21"/>
                <w:szCs w:val="21"/>
              </w:rPr>
            </w:pPr>
            <w:r>
              <w:rPr>
                <w:color w:val="000000"/>
                <w:kern w:val="0"/>
                <w:sz w:val="21"/>
                <w:szCs w:val="21"/>
              </w:rPr>
              <w:t>1） 控制方式：手动+时控+中控+电脑四位一体</w:t>
            </w:r>
          </w:p>
          <w:p w14:paraId="5A2073D0">
            <w:pPr>
              <w:spacing w:line="240" w:lineRule="auto"/>
              <w:rPr>
                <w:color w:val="000000"/>
                <w:kern w:val="0"/>
                <w:sz w:val="21"/>
                <w:szCs w:val="21"/>
              </w:rPr>
            </w:pPr>
            <w:r>
              <w:rPr>
                <w:color w:val="000000"/>
                <w:kern w:val="0"/>
                <w:sz w:val="21"/>
                <w:szCs w:val="21"/>
              </w:rPr>
              <w:t>2） 手动控制：一键启停，分步上电、断电</w:t>
            </w:r>
          </w:p>
          <w:p w14:paraId="2A07E308">
            <w:pPr>
              <w:spacing w:line="240" w:lineRule="auto"/>
              <w:rPr>
                <w:color w:val="000000"/>
                <w:kern w:val="0"/>
                <w:sz w:val="21"/>
                <w:szCs w:val="21"/>
              </w:rPr>
            </w:pPr>
            <w:r>
              <w:rPr>
                <w:color w:val="000000"/>
                <w:kern w:val="0"/>
                <w:sz w:val="21"/>
                <w:szCs w:val="21"/>
              </w:rPr>
              <w:t>3） 时控控制：设置4组控制时间段</w:t>
            </w:r>
          </w:p>
          <w:p w14:paraId="0B9D7609">
            <w:pPr>
              <w:spacing w:line="240" w:lineRule="auto"/>
              <w:rPr>
                <w:color w:val="000000"/>
                <w:kern w:val="0"/>
                <w:sz w:val="21"/>
                <w:szCs w:val="21"/>
              </w:rPr>
            </w:pPr>
            <w:r>
              <w:rPr>
                <w:color w:val="000000"/>
                <w:kern w:val="0"/>
                <w:sz w:val="21"/>
                <w:szCs w:val="21"/>
              </w:rPr>
              <w:t>4）中控控制：MODBUS-RTU  485 协议</w:t>
            </w:r>
          </w:p>
          <w:p w14:paraId="32C5FFBA">
            <w:pPr>
              <w:spacing w:line="240" w:lineRule="auto"/>
              <w:rPr>
                <w:color w:val="000000"/>
                <w:kern w:val="0"/>
                <w:sz w:val="21"/>
                <w:szCs w:val="21"/>
              </w:rPr>
            </w:pPr>
            <w:r>
              <w:rPr>
                <w:color w:val="000000"/>
                <w:kern w:val="0"/>
                <w:sz w:val="21"/>
                <w:szCs w:val="21"/>
              </w:rPr>
              <w:t>5）电脑控制：USB口连接迷你配电箱485口</w:t>
            </w:r>
            <w:r>
              <w:rPr>
                <w:rFonts w:hint="eastAsia"/>
                <w:color w:val="000000"/>
                <w:kern w:val="0"/>
                <w:sz w:val="21"/>
                <w:szCs w:val="21"/>
              </w:rPr>
              <w:t>。</w:t>
            </w:r>
          </w:p>
          <w:p w14:paraId="70F04ED8">
            <w:pPr>
              <w:spacing w:line="240" w:lineRule="auto"/>
              <w:rPr>
                <w:color w:val="000000"/>
                <w:kern w:val="0"/>
                <w:sz w:val="21"/>
                <w:szCs w:val="21"/>
              </w:rPr>
            </w:pPr>
            <w:r>
              <w:rPr>
                <w:color w:val="000000"/>
                <w:kern w:val="0"/>
                <w:sz w:val="21"/>
                <w:szCs w:val="21"/>
              </w:rPr>
              <w:t>30</w:t>
            </w:r>
            <w:r>
              <w:rPr>
                <w:rFonts w:hint="eastAsia"/>
                <w:color w:val="000000"/>
                <w:kern w:val="0"/>
                <w:sz w:val="21"/>
                <w:szCs w:val="21"/>
              </w:rPr>
              <w:t>.</w:t>
            </w:r>
            <w:r>
              <w:rPr>
                <w:color w:val="000000"/>
                <w:kern w:val="0"/>
                <w:sz w:val="21"/>
                <w:szCs w:val="21"/>
              </w:rPr>
              <w:t>提供二年质保。</w:t>
            </w:r>
          </w:p>
        </w:tc>
        <w:tc>
          <w:tcPr>
            <w:tcW w:w="846" w:type="dxa"/>
            <w:tcBorders>
              <w:top w:val="nil"/>
              <w:left w:val="nil"/>
              <w:bottom w:val="single" w:color="auto" w:sz="4" w:space="0"/>
              <w:right w:val="single" w:color="auto" w:sz="4" w:space="0"/>
            </w:tcBorders>
            <w:shd w:val="clear" w:color="auto" w:fill="auto"/>
            <w:vAlign w:val="center"/>
          </w:tcPr>
          <w:p w14:paraId="4E0DB139">
            <w:pPr>
              <w:spacing w:line="240" w:lineRule="auto"/>
              <w:jc w:val="center"/>
              <w:rPr>
                <w:color w:val="000000"/>
                <w:kern w:val="0"/>
                <w:sz w:val="21"/>
                <w:szCs w:val="21"/>
              </w:rPr>
            </w:pPr>
            <w:r>
              <w:rPr>
                <w:rFonts w:hint="eastAsia"/>
                <w:color w:val="000000"/>
                <w:kern w:val="0"/>
                <w:sz w:val="21"/>
                <w:szCs w:val="21"/>
              </w:rPr>
              <w:t>7.9872</w:t>
            </w:r>
          </w:p>
        </w:tc>
        <w:tc>
          <w:tcPr>
            <w:tcW w:w="534" w:type="dxa"/>
            <w:tcBorders>
              <w:top w:val="nil"/>
              <w:left w:val="nil"/>
              <w:bottom w:val="single" w:color="auto" w:sz="4" w:space="0"/>
              <w:right w:val="single" w:color="auto" w:sz="4" w:space="0"/>
            </w:tcBorders>
            <w:shd w:val="clear" w:color="auto" w:fill="auto"/>
            <w:vAlign w:val="center"/>
          </w:tcPr>
          <w:p w14:paraId="7E54C22D">
            <w:pPr>
              <w:spacing w:line="240" w:lineRule="auto"/>
              <w:jc w:val="center"/>
              <w:rPr>
                <w:color w:val="000000"/>
                <w:kern w:val="0"/>
                <w:sz w:val="21"/>
                <w:szCs w:val="21"/>
              </w:rPr>
            </w:pPr>
            <w:r>
              <w:rPr>
                <w:rFonts w:hint="eastAsia"/>
                <w:color w:val="000000"/>
                <w:kern w:val="0"/>
                <w:sz w:val="21"/>
                <w:szCs w:val="21"/>
              </w:rPr>
              <w:t>平方</w:t>
            </w:r>
          </w:p>
        </w:tc>
        <w:tc>
          <w:tcPr>
            <w:tcW w:w="1437" w:type="dxa"/>
            <w:tcBorders>
              <w:top w:val="nil"/>
              <w:left w:val="nil"/>
              <w:bottom w:val="single" w:color="auto" w:sz="4" w:space="0"/>
              <w:right w:val="single" w:color="auto" w:sz="4" w:space="0"/>
            </w:tcBorders>
            <w:shd w:val="clear" w:color="auto" w:fill="auto"/>
            <w:vAlign w:val="center"/>
          </w:tcPr>
          <w:p w14:paraId="14AA3CD3">
            <w:pPr>
              <w:spacing w:line="240" w:lineRule="auto"/>
              <w:jc w:val="right"/>
              <w:rPr>
                <w:color w:val="000000"/>
                <w:kern w:val="0"/>
                <w:sz w:val="21"/>
                <w:szCs w:val="21"/>
              </w:rPr>
            </w:pPr>
            <w:r>
              <w:rPr>
                <w:rFonts w:hint="eastAsia"/>
                <w:color w:val="000000"/>
                <w:kern w:val="0"/>
                <w:sz w:val="21"/>
                <w:szCs w:val="21"/>
              </w:rPr>
              <w:t>12,980.00</w:t>
            </w:r>
          </w:p>
        </w:tc>
      </w:tr>
      <w:tr w14:paraId="35837794">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3B1BA059">
            <w:pPr>
              <w:spacing w:line="240" w:lineRule="auto"/>
              <w:jc w:val="center"/>
              <w:rPr>
                <w:color w:val="000000"/>
                <w:kern w:val="0"/>
                <w:sz w:val="21"/>
                <w:szCs w:val="21"/>
              </w:rPr>
            </w:pPr>
            <w:r>
              <w:rPr>
                <w:color w:val="000000"/>
                <w:kern w:val="0"/>
                <w:sz w:val="21"/>
                <w:szCs w:val="21"/>
              </w:rPr>
              <w:t>3</w:t>
            </w:r>
          </w:p>
        </w:tc>
        <w:tc>
          <w:tcPr>
            <w:tcW w:w="995" w:type="dxa"/>
            <w:tcBorders>
              <w:top w:val="nil"/>
              <w:left w:val="nil"/>
              <w:bottom w:val="single" w:color="auto" w:sz="4" w:space="0"/>
              <w:right w:val="single" w:color="auto" w:sz="4" w:space="0"/>
            </w:tcBorders>
            <w:shd w:val="clear" w:color="000000" w:fill="FFFFFF"/>
            <w:vAlign w:val="center"/>
          </w:tcPr>
          <w:p w14:paraId="2DE359EA">
            <w:pPr>
              <w:spacing w:line="240" w:lineRule="auto"/>
              <w:jc w:val="center"/>
              <w:rPr>
                <w:color w:val="000000"/>
                <w:kern w:val="0"/>
                <w:sz w:val="21"/>
                <w:szCs w:val="21"/>
              </w:rPr>
            </w:pPr>
            <w:r>
              <w:rPr>
                <w:rFonts w:hint="eastAsia"/>
                <w:color w:val="000000"/>
                <w:kern w:val="0"/>
                <w:sz w:val="21"/>
                <w:szCs w:val="21"/>
              </w:rPr>
              <w:t>播控安全管理主机</w:t>
            </w:r>
          </w:p>
        </w:tc>
        <w:tc>
          <w:tcPr>
            <w:tcW w:w="10341" w:type="dxa"/>
            <w:tcBorders>
              <w:top w:val="nil"/>
              <w:left w:val="nil"/>
              <w:bottom w:val="single" w:color="auto" w:sz="4" w:space="0"/>
              <w:right w:val="single" w:color="auto" w:sz="4" w:space="0"/>
            </w:tcBorders>
            <w:shd w:val="clear" w:color="auto" w:fill="auto"/>
            <w:vAlign w:val="center"/>
          </w:tcPr>
          <w:p w14:paraId="05FD28D9">
            <w:pPr>
              <w:spacing w:line="240" w:lineRule="auto"/>
              <w:rPr>
                <w:color w:val="000000"/>
                <w:kern w:val="0"/>
                <w:sz w:val="21"/>
                <w:szCs w:val="21"/>
              </w:rPr>
            </w:pPr>
            <w:r>
              <w:rPr>
                <w:rFonts w:hint="eastAsia"/>
                <w:color w:val="000000"/>
                <w:kern w:val="0"/>
                <w:sz w:val="21"/>
                <w:szCs w:val="21"/>
              </w:rPr>
              <w:t>1、信号输入接口：≥2路HDMI1.4、≥2路DVI、≥1路HDMI2.0、≥1路DP1.2、≥1路VGA、≥1路SDI-in、≥1路AUDIO-in、≥1路U盘播放接口、≥1路内置麦克风。</w:t>
            </w:r>
            <w:r>
              <w:rPr>
                <w:rFonts w:hint="eastAsia"/>
                <w:color w:val="000000"/>
                <w:kern w:val="0"/>
                <w:sz w:val="21"/>
                <w:szCs w:val="21"/>
              </w:rPr>
              <w:br w:type="textWrapping"/>
            </w:r>
            <w:r>
              <w:rPr>
                <w:rFonts w:hint="eastAsia"/>
                <w:color w:val="000000"/>
                <w:kern w:val="0"/>
                <w:sz w:val="21"/>
                <w:szCs w:val="21"/>
              </w:rPr>
              <w:t>2、信号输出接口：≥2路HDMI OUT、≥1路SDI-loop、≥1路AUDIO-out、内置≥2路声控扬声器。</w:t>
            </w:r>
            <w:r>
              <w:rPr>
                <w:rFonts w:hint="eastAsia"/>
                <w:color w:val="000000"/>
                <w:kern w:val="0"/>
                <w:sz w:val="21"/>
                <w:szCs w:val="21"/>
              </w:rPr>
              <w:br w:type="textWrapping"/>
            </w:r>
            <w:r>
              <w:rPr>
                <w:rFonts w:hint="eastAsia"/>
                <w:color w:val="000000"/>
                <w:kern w:val="0"/>
                <w:sz w:val="21"/>
                <w:szCs w:val="21"/>
              </w:rPr>
              <w:t>3、网络接口：≥1路WAN口、≥1路LAN口、≥1路WiFi天线口、≥1路irda红外传感器接口。</w:t>
            </w:r>
            <w:r>
              <w:rPr>
                <w:rFonts w:hint="eastAsia"/>
                <w:color w:val="000000"/>
                <w:kern w:val="0"/>
                <w:sz w:val="21"/>
                <w:szCs w:val="21"/>
              </w:rPr>
              <w:br w:type="textWrapping"/>
            </w:r>
            <w:r>
              <w:rPr>
                <w:rFonts w:hint="eastAsia"/>
                <w:color w:val="000000"/>
                <w:kern w:val="0"/>
                <w:sz w:val="21"/>
                <w:szCs w:val="21"/>
              </w:rPr>
              <w:t>4、控制方式：≥17路按键控制、≥1路飞梭控制、≥1路安全密匙开机控制、内置集成1块全彩液晶屏幕。</w:t>
            </w:r>
            <w:r>
              <w:rPr>
                <w:rFonts w:hint="eastAsia"/>
                <w:color w:val="000000"/>
                <w:kern w:val="0"/>
                <w:sz w:val="21"/>
                <w:szCs w:val="21"/>
              </w:rPr>
              <w:br w:type="textWrapping"/>
            </w:r>
            <w:r>
              <w:rPr>
                <w:rFonts w:hint="eastAsia"/>
                <w:color w:val="000000"/>
                <w:kern w:val="0"/>
                <w:sz w:val="21"/>
                <w:szCs w:val="21"/>
              </w:rPr>
              <w:t>5、解码控制接口：≥6路网口输出、集成≥8路网口输出扩展槽位、≥3路USB控制、集成≥2路USB控制扩展槽位。方便后期设备扩展升级。</w:t>
            </w:r>
            <w:r>
              <w:rPr>
                <w:rFonts w:hint="eastAsia"/>
                <w:color w:val="000000"/>
                <w:kern w:val="0"/>
                <w:sz w:val="21"/>
                <w:szCs w:val="21"/>
              </w:rPr>
              <w:br w:type="textWrapping"/>
            </w:r>
            <w:r>
              <w:rPr>
                <w:rFonts w:hint="eastAsia"/>
                <w:color w:val="000000"/>
                <w:kern w:val="0"/>
                <w:sz w:val="21"/>
                <w:szCs w:val="21"/>
              </w:rPr>
              <w:t>6、需具有安全密匙开机管理功能：管理员配备开机专用钥匙，播控安全管理主机自带开机安全锁，使用大屏幕时需将专用钥匙插入播控安全管理主机的开机安全锁中向右旋转钥匙即可通电，向左旋转钥匙即可断电，不插入钥匙设备无法启动。可防止非法人员和未经授权人员随意开启设备造成安全隐患。（1、不插入钥匙时设备不启动，指示灯不亮；2、插入钥匙后向右旋转设备启动，指示灯亮；3、插入钥匙后向左旋转设备关机，指示灯灭。）</w:t>
            </w:r>
            <w:r>
              <w:rPr>
                <w:rFonts w:hint="eastAsia"/>
                <w:color w:val="000000"/>
                <w:kern w:val="0"/>
                <w:sz w:val="21"/>
                <w:szCs w:val="21"/>
              </w:rPr>
              <w:br w:type="textWrapping"/>
            </w:r>
            <w:r>
              <w:rPr>
                <w:rFonts w:hint="eastAsia"/>
                <w:color w:val="000000"/>
                <w:kern w:val="0"/>
                <w:sz w:val="21"/>
                <w:szCs w:val="21"/>
              </w:rPr>
              <w:t>7、需具有红外和WiFi无线功能，可以通过遥控器对播控安全管理主机的媒体节目进行操作和选择，节目内容随时切换。</w:t>
            </w:r>
            <w:r>
              <w:rPr>
                <w:rFonts w:hint="eastAsia"/>
                <w:color w:val="000000"/>
                <w:kern w:val="0"/>
                <w:sz w:val="21"/>
                <w:szCs w:val="21"/>
              </w:rPr>
              <w:br w:type="textWrapping"/>
            </w:r>
            <w:r>
              <w:rPr>
                <w:rFonts w:hint="eastAsia"/>
                <w:color w:val="000000"/>
                <w:kern w:val="0"/>
                <w:sz w:val="21"/>
                <w:szCs w:val="21"/>
              </w:rPr>
              <w:t>8、需具有U盘内容的遥控播放功能，可通过遥控器对U盘中的Word文档、表格、PPT、视频、图片等节目进行</w:t>
            </w:r>
            <w:r>
              <w:rPr>
                <w:rFonts w:hint="eastAsia"/>
                <w:kern w:val="0"/>
                <w:sz w:val="21"/>
                <w:szCs w:val="21"/>
              </w:rPr>
              <w:t>遥控播放，应用更加灵活方便。</w:t>
            </w:r>
            <w:r>
              <w:rPr>
                <w:rFonts w:hint="eastAsia"/>
                <w:kern w:val="0"/>
                <w:sz w:val="21"/>
                <w:szCs w:val="21"/>
              </w:rPr>
              <w:br w:type="textWrapping"/>
            </w:r>
            <w:r>
              <w:rPr>
                <w:rFonts w:hint="eastAsia"/>
                <w:kern w:val="0"/>
                <w:sz w:val="21"/>
                <w:szCs w:val="21"/>
              </w:rPr>
              <w:t>▲9、播控安全管理主机集成内置液晶屏幕，可在内置液晶屏幕中自动生成屏显二维码，通过手机扫描屏显二维码后可显示主机运行状态、电压、电流、散热状态、漏电监测、防雷状态、接地通断监测、频率、使用功率、雷击浪涌次数等状态信息。方便管理员对设备进行维护，可有效降低设备在使用中发生故障的频率。</w:t>
            </w:r>
            <w:r>
              <w:rPr>
                <w:rFonts w:hint="eastAsia"/>
                <w:color w:val="auto"/>
                <w:kern w:val="0"/>
                <w:sz w:val="21"/>
                <w:szCs w:val="21"/>
              </w:rPr>
              <w:t>（投标时提供功能截图，并盖生产厂家公章，否则投标文件无效。</w:t>
            </w:r>
            <w:r>
              <w:rPr>
                <w:rFonts w:hint="eastAsia"/>
                <w:kern w:val="0"/>
                <w:sz w:val="21"/>
                <w:szCs w:val="21"/>
              </w:rPr>
              <w:t>说明：为了保证投标人在供货时不会产生因第三方提出侵犯其知识产权而引起的法律和经济纠纷，要求供应商在中标后签订合同前提供具有二维码扫描识别设备信息等相关功能的软件著作权证书原件备查。）</w:t>
            </w:r>
            <w:r>
              <w:rPr>
                <w:rFonts w:hint="eastAsia"/>
                <w:kern w:val="0"/>
                <w:sz w:val="21"/>
                <w:szCs w:val="21"/>
              </w:rPr>
              <w:br w:type="textWrapping"/>
            </w:r>
            <w:r>
              <w:rPr>
                <w:rFonts w:hint="eastAsia"/>
                <w:kern w:val="0"/>
                <w:sz w:val="21"/>
                <w:szCs w:val="21"/>
              </w:rPr>
              <w:t>10、自带音频输入和音频输出功能，视频声音可以音画同步。</w:t>
            </w:r>
            <w:r>
              <w:rPr>
                <w:rFonts w:hint="eastAsia"/>
                <w:kern w:val="0"/>
                <w:sz w:val="21"/>
                <w:szCs w:val="21"/>
              </w:rPr>
              <w:br w:type="textWrapping"/>
            </w:r>
            <w:r>
              <w:rPr>
                <w:rFonts w:hint="eastAsia"/>
                <w:kern w:val="0"/>
                <w:sz w:val="21"/>
                <w:szCs w:val="21"/>
              </w:rPr>
              <w:t>★11、</w:t>
            </w:r>
            <w:r>
              <w:rPr>
                <w:rFonts w:hint="eastAsia"/>
                <w:color w:val="auto"/>
                <w:kern w:val="0"/>
                <w:sz w:val="21"/>
                <w:szCs w:val="21"/>
              </w:rPr>
              <w:t>投标时提供国家认可的检测机构出具带有“CNAS和CMA”标识的功能性检测报告复印件查验，检测报告应具有上述1至10项技术参数需供应商完全响应或优于，同时提供全国认证认可信息公共服务平台http://cx.cnca.cn/的报告真实性查询截图，并盖生产厂家公章，否则投标文件无效。</w:t>
            </w:r>
            <w:r>
              <w:rPr>
                <w:rFonts w:hint="eastAsia"/>
                <w:kern w:val="0"/>
                <w:sz w:val="21"/>
                <w:szCs w:val="21"/>
              </w:rPr>
              <w:t>提供符合上述1至5项要求的产品实物照片，若投标单位提供产品不能满足采购参数建设需求或不提供的，采购单位将视其为虚假响应，并上报上级单位，追究其虚假应标造成的所有经济损失。）</w:t>
            </w:r>
          </w:p>
        </w:tc>
        <w:tc>
          <w:tcPr>
            <w:tcW w:w="846" w:type="dxa"/>
            <w:tcBorders>
              <w:top w:val="nil"/>
              <w:left w:val="nil"/>
              <w:bottom w:val="single" w:color="auto" w:sz="4" w:space="0"/>
              <w:right w:val="single" w:color="auto" w:sz="4" w:space="0"/>
            </w:tcBorders>
            <w:shd w:val="clear" w:color="auto" w:fill="auto"/>
            <w:vAlign w:val="center"/>
          </w:tcPr>
          <w:p w14:paraId="5C14C135">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2344E6D2">
            <w:pPr>
              <w:spacing w:line="240" w:lineRule="auto"/>
              <w:jc w:val="center"/>
              <w:rPr>
                <w:color w:val="000000"/>
                <w:kern w:val="0"/>
                <w:sz w:val="21"/>
                <w:szCs w:val="21"/>
              </w:rPr>
            </w:pPr>
            <w:r>
              <w:rPr>
                <w:rFonts w:hint="eastAsia"/>
                <w:color w:val="000000"/>
                <w:kern w:val="0"/>
                <w:sz w:val="21"/>
                <w:szCs w:val="21"/>
              </w:rPr>
              <w:t>台</w:t>
            </w:r>
          </w:p>
        </w:tc>
        <w:tc>
          <w:tcPr>
            <w:tcW w:w="1437" w:type="dxa"/>
            <w:tcBorders>
              <w:top w:val="nil"/>
              <w:left w:val="nil"/>
              <w:bottom w:val="single" w:color="auto" w:sz="4" w:space="0"/>
              <w:right w:val="single" w:color="auto" w:sz="4" w:space="0"/>
            </w:tcBorders>
            <w:shd w:val="clear" w:color="auto" w:fill="auto"/>
            <w:vAlign w:val="center"/>
          </w:tcPr>
          <w:p w14:paraId="2557D497">
            <w:pPr>
              <w:spacing w:line="240" w:lineRule="auto"/>
              <w:jc w:val="right"/>
              <w:rPr>
                <w:color w:val="000000"/>
                <w:kern w:val="0"/>
                <w:sz w:val="21"/>
                <w:szCs w:val="21"/>
              </w:rPr>
            </w:pPr>
            <w:r>
              <w:rPr>
                <w:color w:val="000000"/>
                <w:kern w:val="0"/>
                <w:sz w:val="21"/>
                <w:szCs w:val="21"/>
              </w:rPr>
              <w:t>24</w:t>
            </w:r>
            <w:r>
              <w:rPr>
                <w:rFonts w:hint="eastAsia"/>
                <w:color w:val="000000"/>
                <w:kern w:val="0"/>
                <w:sz w:val="21"/>
                <w:szCs w:val="21"/>
              </w:rPr>
              <w:t>,800.00</w:t>
            </w:r>
          </w:p>
        </w:tc>
      </w:tr>
      <w:tr w14:paraId="107250C0">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0F8F30A0">
            <w:pPr>
              <w:spacing w:line="240" w:lineRule="auto"/>
              <w:jc w:val="center"/>
              <w:rPr>
                <w:color w:val="000000"/>
                <w:kern w:val="0"/>
                <w:sz w:val="21"/>
                <w:szCs w:val="21"/>
              </w:rPr>
            </w:pPr>
            <w:r>
              <w:rPr>
                <w:color w:val="000000"/>
                <w:kern w:val="0"/>
                <w:sz w:val="21"/>
                <w:szCs w:val="21"/>
              </w:rPr>
              <w:t>4</w:t>
            </w:r>
          </w:p>
        </w:tc>
        <w:tc>
          <w:tcPr>
            <w:tcW w:w="995" w:type="dxa"/>
            <w:tcBorders>
              <w:top w:val="nil"/>
              <w:left w:val="nil"/>
              <w:bottom w:val="single" w:color="auto" w:sz="4" w:space="0"/>
              <w:right w:val="single" w:color="auto" w:sz="4" w:space="0"/>
            </w:tcBorders>
            <w:shd w:val="clear" w:color="000000" w:fill="FFFFFF"/>
            <w:vAlign w:val="center"/>
          </w:tcPr>
          <w:p w14:paraId="03492506">
            <w:pPr>
              <w:spacing w:line="240" w:lineRule="auto"/>
              <w:jc w:val="center"/>
              <w:rPr>
                <w:color w:val="000000"/>
                <w:kern w:val="0"/>
                <w:sz w:val="21"/>
                <w:szCs w:val="21"/>
              </w:rPr>
            </w:pPr>
            <w:r>
              <w:rPr>
                <w:rFonts w:hint="eastAsia"/>
                <w:color w:val="000000"/>
                <w:kern w:val="0"/>
                <w:sz w:val="21"/>
                <w:szCs w:val="21"/>
              </w:rPr>
              <w:t>发布平台软件</w:t>
            </w:r>
          </w:p>
        </w:tc>
        <w:tc>
          <w:tcPr>
            <w:tcW w:w="10341" w:type="dxa"/>
            <w:tcBorders>
              <w:top w:val="nil"/>
              <w:left w:val="nil"/>
              <w:bottom w:val="single" w:color="auto" w:sz="4" w:space="0"/>
              <w:right w:val="single" w:color="auto" w:sz="4" w:space="0"/>
            </w:tcBorders>
            <w:shd w:val="clear" w:color="auto" w:fill="auto"/>
            <w:vAlign w:val="center"/>
          </w:tcPr>
          <w:p w14:paraId="281E01D1">
            <w:pPr>
              <w:spacing w:line="240" w:lineRule="auto"/>
              <w:rPr>
                <w:color w:val="000000"/>
                <w:kern w:val="0"/>
                <w:sz w:val="21"/>
                <w:szCs w:val="21"/>
              </w:rPr>
            </w:pPr>
            <w:r>
              <w:rPr>
                <w:rFonts w:hint="eastAsia"/>
                <w:color w:val="000000"/>
                <w:kern w:val="0"/>
                <w:sz w:val="21"/>
                <w:szCs w:val="21"/>
              </w:rPr>
              <w:t>1、可以上传、删除、预览、编辑和下载媒体文件；</w:t>
            </w:r>
            <w:r>
              <w:rPr>
                <w:rFonts w:hint="eastAsia"/>
                <w:color w:val="000000"/>
                <w:kern w:val="0"/>
                <w:sz w:val="21"/>
                <w:szCs w:val="21"/>
              </w:rPr>
              <w:br w:type="textWrapping"/>
            </w:r>
            <w:r>
              <w:rPr>
                <w:rFonts w:hint="eastAsia"/>
                <w:color w:val="000000"/>
                <w:kern w:val="0"/>
                <w:sz w:val="21"/>
                <w:szCs w:val="21"/>
              </w:rPr>
              <w:t>2、可以查询在线终端，设置亮度、音量、控制播放、停止和插播功能；</w:t>
            </w:r>
            <w:r>
              <w:rPr>
                <w:rFonts w:hint="eastAsia"/>
                <w:color w:val="000000"/>
                <w:kern w:val="0"/>
                <w:sz w:val="21"/>
                <w:szCs w:val="21"/>
              </w:rPr>
              <w:br w:type="textWrapping"/>
            </w:r>
            <w:r>
              <w:rPr>
                <w:rFonts w:hint="eastAsia"/>
                <w:color w:val="000000"/>
                <w:kern w:val="0"/>
                <w:sz w:val="21"/>
                <w:szCs w:val="21"/>
              </w:rPr>
              <w:t>3、可以添加、编辑、预览、下载和删除节目，并下发节目到终端；</w:t>
            </w:r>
            <w:r>
              <w:rPr>
                <w:rFonts w:hint="eastAsia"/>
                <w:color w:val="000000"/>
                <w:kern w:val="0"/>
                <w:sz w:val="21"/>
                <w:szCs w:val="21"/>
              </w:rPr>
              <w:br w:type="textWrapping"/>
            </w:r>
            <w:r>
              <w:rPr>
                <w:rFonts w:hint="eastAsia"/>
                <w:color w:val="000000"/>
                <w:kern w:val="0"/>
                <w:sz w:val="21"/>
                <w:szCs w:val="21"/>
              </w:rPr>
              <w:t>4、可以添加、删除和下发播放任务到终端；</w:t>
            </w:r>
            <w:r>
              <w:rPr>
                <w:rFonts w:hint="eastAsia"/>
                <w:color w:val="000000"/>
                <w:kern w:val="0"/>
                <w:sz w:val="21"/>
                <w:szCs w:val="21"/>
              </w:rPr>
              <w:br w:type="textWrapping"/>
            </w:r>
            <w:r>
              <w:rPr>
                <w:rFonts w:hint="eastAsia"/>
                <w:color w:val="000000"/>
                <w:kern w:val="0"/>
                <w:sz w:val="21"/>
                <w:szCs w:val="21"/>
              </w:rPr>
              <w:t>5、可以查询终端在指定时间段内的播放记录；</w:t>
            </w:r>
            <w:r>
              <w:rPr>
                <w:rFonts w:hint="eastAsia"/>
                <w:color w:val="000000"/>
                <w:kern w:val="0"/>
                <w:sz w:val="21"/>
                <w:szCs w:val="21"/>
              </w:rPr>
              <w:br w:type="textWrapping"/>
            </w:r>
            <w:r>
              <w:rPr>
                <w:rFonts w:hint="eastAsia"/>
                <w:color w:val="000000"/>
                <w:kern w:val="0"/>
                <w:sz w:val="21"/>
                <w:szCs w:val="21"/>
              </w:rPr>
              <w:t>6、软件容错性：软件对关键功能数据进行有效性校验，当运行发生错误时，有提示并且可以恢复正常；</w:t>
            </w:r>
            <w:r>
              <w:rPr>
                <w:rFonts w:hint="eastAsia"/>
                <w:color w:val="000000"/>
                <w:kern w:val="0"/>
                <w:sz w:val="21"/>
                <w:szCs w:val="21"/>
              </w:rPr>
              <w:br w:type="textWrapping"/>
            </w:r>
            <w:r>
              <w:rPr>
                <w:rFonts w:hint="eastAsia"/>
                <w:color w:val="000000"/>
                <w:kern w:val="0"/>
                <w:sz w:val="21"/>
                <w:szCs w:val="21"/>
              </w:rPr>
              <w:t>7、运行稳定性：在软件功能运行过程中没有数据丢失、系统紊乱和致命性死机现象，并可以连续无故障运行2小时以上；</w:t>
            </w:r>
            <w:r>
              <w:rPr>
                <w:rFonts w:hint="eastAsia"/>
                <w:color w:val="000000"/>
                <w:kern w:val="0"/>
                <w:sz w:val="21"/>
                <w:szCs w:val="21"/>
              </w:rPr>
              <w:br w:type="textWrapping"/>
            </w:r>
            <w:r>
              <w:rPr>
                <w:rFonts w:hint="eastAsia"/>
                <w:color w:val="000000"/>
                <w:kern w:val="0"/>
                <w:sz w:val="21"/>
                <w:szCs w:val="21"/>
              </w:rPr>
              <w:t>8、具有分组控制功能，可以对终端进行分组，添加和删除分组，添加和移除终端到分组。具有终端监控功能，可以查看终端信息、版本及放置位置信息。</w:t>
            </w:r>
            <w:r>
              <w:rPr>
                <w:rFonts w:hint="eastAsia"/>
                <w:color w:val="000000"/>
                <w:kern w:val="0"/>
                <w:sz w:val="21"/>
                <w:szCs w:val="21"/>
              </w:rPr>
              <w:br w:type="textWrapping"/>
            </w:r>
            <w:r>
              <w:rPr>
                <w:rFonts w:hint="eastAsia"/>
                <w:color w:val="000000" w:themeColor="text1"/>
                <w:kern w:val="0"/>
                <w:sz w:val="21"/>
                <w:szCs w:val="21"/>
                <w14:textFill>
                  <w14:solidFill>
                    <w14:schemeClr w14:val="tx1"/>
                  </w14:solidFill>
                </w14:textFill>
              </w:rPr>
              <w:t>▲9、发布平台可选配大屏幕故障指示灯，可实现无人值守故障告警功能。当大屏幕出现播放故障时，故障告警指示灯亮起，同时会发出报警声进行声光同步提醒。</w:t>
            </w:r>
            <w:r>
              <w:rPr>
                <w:rFonts w:hint="eastAsia"/>
                <w:color w:val="auto"/>
                <w:kern w:val="0"/>
                <w:sz w:val="21"/>
                <w:szCs w:val="21"/>
              </w:rPr>
              <w:t>（投标时提供功能截图，并盖生产厂家公章，否则投标文件无效。</w:t>
            </w:r>
            <w:r>
              <w:rPr>
                <w:rFonts w:hint="eastAsia"/>
                <w:color w:val="000000" w:themeColor="text1"/>
                <w:kern w:val="0"/>
                <w:sz w:val="21"/>
                <w:szCs w:val="21"/>
                <w14:textFill>
                  <w14:solidFill>
                    <w14:schemeClr w14:val="tx1"/>
                  </w14:solidFill>
                </w14:textFill>
              </w:rPr>
              <w:t>说明：为了保证投标人在供货时不会产生因第三方提出侵犯其知识产权而引起的法律和经济纠纷，要求供应商在中标后签订合同前提供具有大屏幕故障指示灯告警等相关功能的软件著作权证书原件备查。）</w:t>
            </w:r>
            <w:r>
              <w:rPr>
                <w:rFonts w:hint="eastAsia"/>
                <w:color w:val="000000" w:themeColor="text1"/>
                <w:kern w:val="0"/>
                <w:sz w:val="21"/>
                <w:szCs w:val="21"/>
                <w14:textFill>
                  <w14:solidFill>
                    <w14:schemeClr w14:val="tx1"/>
                  </w14:solidFill>
                </w14:textFill>
              </w:rPr>
              <w:br w:type="textWrapping"/>
            </w:r>
            <w:r>
              <w:rPr>
                <w:rFonts w:hint="eastAsia"/>
                <w:color w:val="000000" w:themeColor="text1"/>
                <w:kern w:val="0"/>
                <w:sz w:val="21"/>
                <w:szCs w:val="21"/>
                <w14:textFill>
                  <w14:solidFill>
                    <w14:schemeClr w14:val="tx1"/>
                  </w14:solidFill>
                </w14:textFill>
              </w:rPr>
              <w:t>★10、</w:t>
            </w:r>
            <w:r>
              <w:rPr>
                <w:rFonts w:hint="eastAsia"/>
                <w:color w:val="auto"/>
                <w:kern w:val="0"/>
                <w:sz w:val="21"/>
                <w:szCs w:val="21"/>
              </w:rPr>
              <w:t>投标时提供国家认可的检测机构出具带有“</w:t>
            </w:r>
            <w:r>
              <w:rPr>
                <w:color w:val="auto"/>
                <w:kern w:val="0"/>
                <w:sz w:val="21"/>
                <w:szCs w:val="21"/>
              </w:rPr>
              <w:t>CNAS和CMA”标识的功能性检测报告复印件查验，检测报告应具有上述1至9项技术参数需供应商完全响应或优于，同时提供全国认证认可信息公共服务平台http://cx.cnca.cn/的报告真实性查询截图</w:t>
            </w:r>
            <w:r>
              <w:rPr>
                <w:rFonts w:hint="eastAsia"/>
                <w:color w:val="auto"/>
                <w:kern w:val="0"/>
                <w:sz w:val="21"/>
                <w:szCs w:val="21"/>
              </w:rPr>
              <w:t>，并盖生产厂家公章，否则投标文件无效</w:t>
            </w:r>
            <w:r>
              <w:rPr>
                <w:color w:val="auto"/>
                <w:kern w:val="0"/>
                <w:sz w:val="21"/>
                <w:szCs w:val="21"/>
              </w:rPr>
              <w:t>。</w:t>
            </w:r>
            <w:r>
              <w:rPr>
                <w:color w:val="000000" w:themeColor="text1"/>
                <w:kern w:val="0"/>
                <w:sz w:val="21"/>
                <w:szCs w:val="21"/>
                <w14:textFill>
                  <w14:solidFill>
                    <w14:schemeClr w14:val="tx1"/>
                  </w14:solidFill>
                </w14:textFill>
              </w:rPr>
              <w:t>若投标单位提供产品不能满足采购参数建设需求或不提供的，采购单位将视其为虚假响应，并上报上级单位，追究其虚假应标造成的所有经济损失。）</w:t>
            </w:r>
          </w:p>
        </w:tc>
        <w:tc>
          <w:tcPr>
            <w:tcW w:w="846" w:type="dxa"/>
            <w:tcBorders>
              <w:top w:val="nil"/>
              <w:left w:val="nil"/>
              <w:bottom w:val="single" w:color="auto" w:sz="4" w:space="0"/>
              <w:right w:val="single" w:color="auto" w:sz="4" w:space="0"/>
            </w:tcBorders>
            <w:shd w:val="clear" w:color="auto" w:fill="auto"/>
            <w:vAlign w:val="center"/>
          </w:tcPr>
          <w:p w14:paraId="22386FF8">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6A2C3AAF">
            <w:pPr>
              <w:spacing w:line="240" w:lineRule="auto"/>
              <w:jc w:val="center"/>
              <w:rPr>
                <w:color w:val="000000"/>
                <w:kern w:val="0"/>
                <w:sz w:val="21"/>
                <w:szCs w:val="21"/>
              </w:rPr>
            </w:pPr>
            <w:r>
              <w:rPr>
                <w:rFonts w:hint="eastAsia"/>
                <w:color w:val="000000"/>
                <w:kern w:val="0"/>
                <w:sz w:val="21"/>
                <w:szCs w:val="21"/>
              </w:rPr>
              <w:t>套</w:t>
            </w:r>
          </w:p>
        </w:tc>
        <w:tc>
          <w:tcPr>
            <w:tcW w:w="1437" w:type="dxa"/>
            <w:tcBorders>
              <w:top w:val="nil"/>
              <w:left w:val="nil"/>
              <w:bottom w:val="single" w:color="auto" w:sz="4" w:space="0"/>
              <w:right w:val="single" w:color="auto" w:sz="4" w:space="0"/>
            </w:tcBorders>
            <w:shd w:val="clear" w:color="auto" w:fill="auto"/>
            <w:vAlign w:val="center"/>
          </w:tcPr>
          <w:p w14:paraId="3DD43141">
            <w:pPr>
              <w:spacing w:line="240" w:lineRule="auto"/>
              <w:jc w:val="right"/>
              <w:rPr>
                <w:color w:val="000000"/>
                <w:kern w:val="0"/>
                <w:sz w:val="21"/>
                <w:szCs w:val="21"/>
              </w:rPr>
            </w:pPr>
            <w:r>
              <w:rPr>
                <w:color w:val="000000"/>
                <w:kern w:val="0"/>
                <w:sz w:val="21"/>
                <w:szCs w:val="21"/>
              </w:rPr>
              <w:t>9</w:t>
            </w:r>
            <w:r>
              <w:rPr>
                <w:rFonts w:hint="eastAsia"/>
                <w:color w:val="000000"/>
                <w:kern w:val="0"/>
                <w:sz w:val="21"/>
                <w:szCs w:val="21"/>
              </w:rPr>
              <w:t>,000.00</w:t>
            </w:r>
          </w:p>
        </w:tc>
      </w:tr>
      <w:tr w14:paraId="29EB0650">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0C9089D4">
            <w:pPr>
              <w:spacing w:line="240" w:lineRule="auto"/>
              <w:jc w:val="center"/>
              <w:rPr>
                <w:color w:val="000000"/>
                <w:kern w:val="0"/>
                <w:sz w:val="21"/>
                <w:szCs w:val="21"/>
              </w:rPr>
            </w:pPr>
            <w:r>
              <w:rPr>
                <w:color w:val="000000"/>
                <w:kern w:val="0"/>
                <w:sz w:val="21"/>
                <w:szCs w:val="21"/>
              </w:rPr>
              <w:t>5</w:t>
            </w:r>
          </w:p>
        </w:tc>
        <w:tc>
          <w:tcPr>
            <w:tcW w:w="995" w:type="dxa"/>
            <w:tcBorders>
              <w:top w:val="nil"/>
              <w:left w:val="nil"/>
              <w:bottom w:val="single" w:color="auto" w:sz="4" w:space="0"/>
              <w:right w:val="single" w:color="auto" w:sz="4" w:space="0"/>
            </w:tcBorders>
            <w:shd w:val="clear" w:color="000000" w:fill="FFFFFF"/>
            <w:vAlign w:val="center"/>
          </w:tcPr>
          <w:p w14:paraId="200446B6">
            <w:pPr>
              <w:spacing w:line="240" w:lineRule="auto"/>
              <w:jc w:val="center"/>
              <w:rPr>
                <w:color w:val="000000"/>
                <w:kern w:val="0"/>
                <w:sz w:val="21"/>
                <w:szCs w:val="21"/>
              </w:rPr>
            </w:pPr>
            <w:r>
              <w:rPr>
                <w:rFonts w:hint="eastAsia"/>
                <w:color w:val="000000"/>
                <w:kern w:val="0"/>
                <w:sz w:val="21"/>
                <w:szCs w:val="21"/>
              </w:rPr>
              <w:t>解码器</w:t>
            </w:r>
          </w:p>
        </w:tc>
        <w:tc>
          <w:tcPr>
            <w:tcW w:w="10341" w:type="dxa"/>
            <w:tcBorders>
              <w:top w:val="nil"/>
              <w:left w:val="nil"/>
              <w:bottom w:val="single" w:color="auto" w:sz="4" w:space="0"/>
              <w:right w:val="single" w:color="auto" w:sz="4" w:space="0"/>
            </w:tcBorders>
            <w:shd w:val="clear" w:color="auto" w:fill="auto"/>
            <w:vAlign w:val="center"/>
          </w:tcPr>
          <w:p w14:paraId="5F196C89">
            <w:pPr>
              <w:spacing w:line="240" w:lineRule="auto"/>
              <w:rPr>
                <w:color w:val="000000"/>
                <w:kern w:val="0"/>
                <w:sz w:val="21"/>
                <w:szCs w:val="21"/>
              </w:rPr>
            </w:pPr>
            <w:r>
              <w:rPr>
                <w:rFonts w:hint="eastAsia"/>
                <w:color w:val="000000"/>
                <w:kern w:val="0"/>
                <w:sz w:val="21"/>
                <w:szCs w:val="21"/>
              </w:rPr>
              <w:t>1、支持≥9路HDMI信号输出</w:t>
            </w:r>
            <w:r>
              <w:rPr>
                <w:rFonts w:hint="eastAsia"/>
                <w:color w:val="000000"/>
                <w:kern w:val="0"/>
                <w:sz w:val="21"/>
                <w:szCs w:val="21"/>
              </w:rPr>
              <w:br w:type="textWrapping"/>
            </w:r>
            <w:r>
              <w:rPr>
                <w:rFonts w:hint="eastAsia"/>
                <w:color w:val="000000"/>
                <w:kern w:val="0"/>
                <w:sz w:val="21"/>
                <w:szCs w:val="21"/>
              </w:rPr>
              <w:t>2、输出接口最大支持1920×1080@60Hz及以下常规分辨率输出</w:t>
            </w:r>
            <w:r>
              <w:rPr>
                <w:rFonts w:hint="eastAsia"/>
                <w:color w:val="000000"/>
                <w:kern w:val="0"/>
                <w:sz w:val="21"/>
                <w:szCs w:val="21"/>
              </w:rPr>
              <w:br w:type="textWrapping"/>
            </w:r>
            <w:r>
              <w:rPr>
                <w:rFonts w:hint="eastAsia"/>
                <w:color w:val="000000"/>
                <w:kern w:val="0"/>
                <w:sz w:val="21"/>
                <w:szCs w:val="21"/>
              </w:rPr>
              <w:t>3、支持超高超宽自定义分辨率输出设置，水平分辨率最宽可达3840像素，垂直分辨率最高可达3840像素</w:t>
            </w:r>
            <w:r>
              <w:rPr>
                <w:rFonts w:hint="eastAsia"/>
                <w:color w:val="000000"/>
                <w:kern w:val="0"/>
                <w:sz w:val="21"/>
                <w:szCs w:val="21"/>
              </w:rPr>
              <w:br w:type="textWrapping"/>
            </w:r>
            <w:r>
              <w:rPr>
                <w:rFonts w:hint="eastAsia"/>
                <w:color w:val="000000"/>
                <w:kern w:val="0"/>
                <w:sz w:val="21"/>
                <w:szCs w:val="21"/>
              </w:rPr>
              <w:t>4、支持4路HDMI信号输入</w:t>
            </w:r>
            <w:r>
              <w:rPr>
                <w:rFonts w:hint="eastAsia"/>
                <w:color w:val="000000"/>
                <w:kern w:val="0"/>
                <w:sz w:val="21"/>
                <w:szCs w:val="21"/>
              </w:rPr>
              <w:br w:type="textWrapping"/>
            </w:r>
            <w:r>
              <w:rPr>
                <w:rFonts w:hint="eastAsia"/>
                <w:color w:val="000000"/>
                <w:kern w:val="0"/>
                <w:sz w:val="21"/>
                <w:szCs w:val="21"/>
              </w:rPr>
              <w:t>5、输入接口最大支持3840×2160@60Hz及以下常规分辨率采集</w:t>
            </w:r>
            <w:r>
              <w:rPr>
                <w:rFonts w:hint="eastAsia"/>
                <w:color w:val="000000"/>
                <w:kern w:val="0"/>
                <w:sz w:val="21"/>
                <w:szCs w:val="21"/>
              </w:rPr>
              <w:br w:type="textWrapping"/>
            </w:r>
            <w:r>
              <w:rPr>
                <w:rFonts w:hint="eastAsia"/>
                <w:color w:val="000000"/>
                <w:kern w:val="0"/>
                <w:sz w:val="21"/>
                <w:szCs w:val="21"/>
              </w:rPr>
              <w:t>6、具备1对语音对讲接口：1个3.5mm音频输入接口和1个3.5mm音频输出接口</w:t>
            </w:r>
            <w:r>
              <w:rPr>
                <w:rFonts w:hint="eastAsia"/>
                <w:color w:val="000000"/>
                <w:kern w:val="0"/>
                <w:sz w:val="21"/>
                <w:szCs w:val="21"/>
              </w:rPr>
              <w:br w:type="textWrapping"/>
            </w:r>
            <w:r>
              <w:rPr>
                <w:rFonts w:hint="eastAsia"/>
                <w:color w:val="000000"/>
                <w:kern w:val="0"/>
                <w:sz w:val="21"/>
                <w:szCs w:val="21"/>
              </w:rPr>
              <w:t>7、整机解码H.265支持3路32MP@25fps/9路12MP@25fps/14路8MP@25fps/18路6MP@25fps/24路5MP@25fps/29路4MP@25fps/37路3MP@25fps/57路1080p@25fps/192路D1@25fps（H.264支持47路1080p@25fps解码能力）</w:t>
            </w:r>
            <w:r>
              <w:rPr>
                <w:rFonts w:hint="eastAsia"/>
                <w:color w:val="000000"/>
                <w:kern w:val="0"/>
                <w:sz w:val="21"/>
                <w:szCs w:val="21"/>
              </w:rPr>
              <w:br w:type="textWrapping"/>
            </w:r>
            <w:r>
              <w:rPr>
                <w:rFonts w:hint="eastAsia"/>
                <w:color w:val="000000"/>
                <w:kern w:val="0"/>
                <w:sz w:val="21"/>
                <w:szCs w:val="21"/>
              </w:rPr>
              <w:t>支持MPEG2/MPEG4/H.264/H.265/SVAC/MJPEG标准网络视频流解码</w:t>
            </w:r>
            <w:r>
              <w:rPr>
                <w:rFonts w:hint="eastAsia"/>
                <w:color w:val="000000"/>
                <w:kern w:val="0"/>
                <w:sz w:val="21"/>
                <w:szCs w:val="21"/>
              </w:rPr>
              <w:br w:type="textWrapping"/>
            </w:r>
            <w:r>
              <w:rPr>
                <w:rFonts w:hint="eastAsia"/>
                <w:color w:val="000000"/>
                <w:kern w:val="0"/>
                <w:sz w:val="21"/>
                <w:szCs w:val="21"/>
              </w:rPr>
              <w:t>8、具有智能节能功能，当传感器检测到当前环境无人时，可自动控制电视墙熄屏。</w:t>
            </w:r>
            <w:r>
              <w:rPr>
                <w:rFonts w:hint="eastAsia"/>
                <w:color w:val="000000"/>
                <w:kern w:val="0"/>
                <w:sz w:val="21"/>
                <w:szCs w:val="21"/>
              </w:rPr>
              <w:br w:type="textWrapping"/>
            </w:r>
            <w:r>
              <w:rPr>
                <w:rFonts w:hint="eastAsia"/>
                <w:color w:val="000000"/>
                <w:kern w:val="0"/>
                <w:sz w:val="21"/>
                <w:szCs w:val="21"/>
              </w:rPr>
              <w:t>应能设置从检测到无人到进行熄屏的时间间隔。</w:t>
            </w:r>
            <w:r>
              <w:rPr>
                <w:rFonts w:hint="eastAsia"/>
                <w:color w:val="000000"/>
                <w:kern w:val="0"/>
                <w:sz w:val="21"/>
                <w:szCs w:val="21"/>
              </w:rPr>
              <w:br w:type="textWrapping"/>
            </w:r>
            <w:r>
              <w:rPr>
                <w:rFonts w:hint="eastAsia"/>
                <w:color w:val="000000"/>
                <w:kern w:val="0"/>
                <w:sz w:val="21"/>
                <w:szCs w:val="21"/>
              </w:rPr>
              <w:t>9、支持音频压缩格式：PCM/G.711/AAC</w:t>
            </w:r>
            <w:r>
              <w:rPr>
                <w:rFonts w:hint="eastAsia"/>
                <w:color w:val="000000"/>
                <w:kern w:val="0"/>
                <w:sz w:val="21"/>
                <w:szCs w:val="21"/>
              </w:rPr>
              <w:br w:type="textWrapping"/>
            </w:r>
            <w:r>
              <w:rPr>
                <w:rFonts w:hint="eastAsia"/>
                <w:color w:val="000000"/>
                <w:kern w:val="0"/>
                <w:sz w:val="21"/>
                <w:szCs w:val="21"/>
              </w:rPr>
              <w:t>10、支持每屏1/4/6/8/9/16/25/36分割，支持M×N自由分割</w:t>
            </w:r>
            <w:r>
              <w:rPr>
                <w:rFonts w:hint="eastAsia"/>
                <w:color w:val="000000"/>
                <w:kern w:val="0"/>
                <w:sz w:val="21"/>
                <w:szCs w:val="21"/>
              </w:rPr>
              <w:br w:type="textWrapping"/>
            </w:r>
            <w:r>
              <w:rPr>
                <w:rFonts w:hint="eastAsia"/>
                <w:color w:val="000000"/>
                <w:kern w:val="0"/>
                <w:sz w:val="21"/>
                <w:szCs w:val="21"/>
              </w:rPr>
              <w:t>11、应支持采集同步功能，对不同的采集通道或不同窗口进行同步控制，对画面同步显示，时差应≤10ns。</w:t>
            </w:r>
            <w:r>
              <w:rPr>
                <w:rFonts w:hint="eastAsia"/>
                <w:color w:val="000000"/>
                <w:kern w:val="0"/>
                <w:sz w:val="21"/>
                <w:szCs w:val="21"/>
              </w:rPr>
              <w:br w:type="textWrapping"/>
            </w:r>
            <w:r>
              <w:rPr>
                <w:rFonts w:hint="eastAsia"/>
                <w:color w:val="000000"/>
                <w:kern w:val="0"/>
                <w:sz w:val="21"/>
                <w:szCs w:val="21"/>
              </w:rPr>
              <w:t>12、支持任意开窗、漫游，每屏最大支持36路开窗</w:t>
            </w:r>
            <w:r>
              <w:rPr>
                <w:rFonts w:hint="eastAsia"/>
                <w:color w:val="000000"/>
                <w:kern w:val="0"/>
                <w:sz w:val="21"/>
                <w:szCs w:val="21"/>
              </w:rPr>
              <w:br w:type="textWrapping"/>
            </w:r>
            <w:r>
              <w:rPr>
                <w:rFonts w:hint="eastAsia"/>
                <w:color w:val="000000"/>
                <w:kern w:val="0"/>
                <w:sz w:val="21"/>
                <w:szCs w:val="21"/>
              </w:rPr>
              <w:t>13、支持电视墙默认底色设置，支持高清底图显示</w:t>
            </w:r>
            <w:r>
              <w:rPr>
                <w:rFonts w:hint="eastAsia"/>
                <w:color w:val="000000"/>
                <w:kern w:val="0"/>
                <w:sz w:val="21"/>
                <w:szCs w:val="21"/>
              </w:rPr>
              <w:br w:type="textWrapping"/>
            </w:r>
            <w:r>
              <w:rPr>
                <w:rFonts w:hint="eastAsia"/>
                <w:color w:val="000000"/>
                <w:kern w:val="0"/>
                <w:sz w:val="21"/>
                <w:szCs w:val="21"/>
              </w:rPr>
              <w:t>14、支持预案轮巡</w:t>
            </w:r>
            <w:r>
              <w:rPr>
                <w:rFonts w:hint="eastAsia"/>
                <w:color w:val="000000"/>
                <w:kern w:val="0"/>
                <w:sz w:val="21"/>
                <w:szCs w:val="21"/>
              </w:rPr>
              <w:br w:type="textWrapping"/>
            </w:r>
            <w:r>
              <w:rPr>
                <w:rFonts w:hint="eastAsia"/>
                <w:color w:val="000000"/>
                <w:kern w:val="0"/>
                <w:sz w:val="21"/>
                <w:szCs w:val="21"/>
              </w:rPr>
              <w:t>15、支持多屏融合拼接，跨屏画面毫秒级完美同步</w:t>
            </w:r>
            <w:r>
              <w:rPr>
                <w:rFonts w:hint="eastAsia"/>
                <w:color w:val="000000"/>
                <w:kern w:val="0"/>
                <w:sz w:val="21"/>
                <w:szCs w:val="21"/>
              </w:rPr>
              <w:br w:type="textWrapping"/>
            </w:r>
            <w:r>
              <w:rPr>
                <w:rFonts w:hint="eastAsia"/>
                <w:color w:val="000000"/>
                <w:kern w:val="0"/>
                <w:sz w:val="21"/>
                <w:szCs w:val="21"/>
              </w:rPr>
              <w:t>16、支持在大屏上叠加OSD文字信息，支持位置，字体大小等自定义设置。</w:t>
            </w:r>
          </w:p>
          <w:p w14:paraId="6D65BB5A">
            <w:r>
              <w:rPr>
                <w:rFonts w:hint="eastAsia"/>
                <w:color w:val="000000"/>
                <w:kern w:val="0"/>
                <w:sz w:val="21"/>
                <w:szCs w:val="21"/>
              </w:rPr>
              <w:t>1</w:t>
            </w:r>
            <w:r>
              <w:rPr>
                <w:color w:val="000000"/>
                <w:kern w:val="0"/>
                <w:sz w:val="21"/>
                <w:szCs w:val="21"/>
              </w:rPr>
              <w:t>7</w:t>
            </w:r>
            <w:r>
              <w:rPr>
                <w:rFonts w:hint="eastAsia"/>
                <w:color w:val="000000"/>
                <w:kern w:val="0"/>
                <w:sz w:val="21"/>
                <w:szCs w:val="21"/>
              </w:rPr>
              <w:t>、提供原厂三年质保。</w:t>
            </w:r>
          </w:p>
        </w:tc>
        <w:tc>
          <w:tcPr>
            <w:tcW w:w="846" w:type="dxa"/>
            <w:tcBorders>
              <w:top w:val="nil"/>
              <w:left w:val="nil"/>
              <w:bottom w:val="single" w:color="auto" w:sz="4" w:space="0"/>
              <w:right w:val="single" w:color="auto" w:sz="4" w:space="0"/>
            </w:tcBorders>
            <w:shd w:val="clear" w:color="auto" w:fill="auto"/>
            <w:vAlign w:val="center"/>
          </w:tcPr>
          <w:p w14:paraId="72D16800">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668FAF06">
            <w:pPr>
              <w:spacing w:line="240" w:lineRule="auto"/>
              <w:jc w:val="center"/>
              <w:rPr>
                <w:color w:val="000000"/>
                <w:kern w:val="0"/>
                <w:sz w:val="21"/>
                <w:szCs w:val="21"/>
              </w:rPr>
            </w:pPr>
            <w:r>
              <w:rPr>
                <w:rFonts w:hint="eastAsia"/>
                <w:color w:val="000000"/>
                <w:kern w:val="0"/>
                <w:sz w:val="21"/>
                <w:szCs w:val="21"/>
              </w:rPr>
              <w:t>台</w:t>
            </w:r>
          </w:p>
        </w:tc>
        <w:tc>
          <w:tcPr>
            <w:tcW w:w="1437" w:type="dxa"/>
            <w:tcBorders>
              <w:top w:val="nil"/>
              <w:left w:val="nil"/>
              <w:bottom w:val="single" w:color="auto" w:sz="4" w:space="0"/>
              <w:right w:val="single" w:color="auto" w:sz="4" w:space="0"/>
            </w:tcBorders>
            <w:shd w:val="clear" w:color="auto" w:fill="auto"/>
            <w:vAlign w:val="center"/>
          </w:tcPr>
          <w:p w14:paraId="313A7018">
            <w:pPr>
              <w:spacing w:line="240" w:lineRule="auto"/>
              <w:jc w:val="right"/>
              <w:rPr>
                <w:color w:val="000000"/>
                <w:kern w:val="0"/>
                <w:sz w:val="21"/>
                <w:szCs w:val="21"/>
              </w:rPr>
            </w:pPr>
            <w:r>
              <w:rPr>
                <w:rFonts w:hint="eastAsia"/>
                <w:color w:val="000000"/>
                <w:kern w:val="0"/>
                <w:sz w:val="21"/>
                <w:szCs w:val="21"/>
              </w:rPr>
              <w:t>2</w:t>
            </w:r>
            <w:r>
              <w:rPr>
                <w:color w:val="000000"/>
                <w:kern w:val="0"/>
                <w:sz w:val="21"/>
                <w:szCs w:val="21"/>
              </w:rPr>
              <w:t>4</w:t>
            </w:r>
            <w:r>
              <w:rPr>
                <w:rFonts w:hint="eastAsia"/>
                <w:color w:val="000000"/>
                <w:kern w:val="0"/>
                <w:sz w:val="21"/>
                <w:szCs w:val="21"/>
              </w:rPr>
              <w:t>,</w:t>
            </w:r>
            <w:r>
              <w:rPr>
                <w:color w:val="000000"/>
                <w:kern w:val="0"/>
                <w:sz w:val="21"/>
                <w:szCs w:val="21"/>
              </w:rPr>
              <w:t>5</w:t>
            </w:r>
            <w:r>
              <w:rPr>
                <w:rFonts w:hint="eastAsia"/>
                <w:color w:val="000000"/>
                <w:kern w:val="0"/>
                <w:sz w:val="21"/>
                <w:szCs w:val="21"/>
              </w:rPr>
              <w:t>00.00</w:t>
            </w:r>
          </w:p>
        </w:tc>
      </w:tr>
      <w:tr w14:paraId="7E4E7C1F">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385DEA61">
            <w:pPr>
              <w:spacing w:line="240" w:lineRule="auto"/>
              <w:jc w:val="center"/>
              <w:rPr>
                <w:color w:val="000000"/>
                <w:kern w:val="0"/>
                <w:sz w:val="21"/>
                <w:szCs w:val="21"/>
              </w:rPr>
            </w:pPr>
            <w:r>
              <w:rPr>
                <w:color w:val="000000"/>
                <w:kern w:val="0"/>
                <w:sz w:val="21"/>
                <w:szCs w:val="21"/>
              </w:rPr>
              <w:t>6</w:t>
            </w:r>
          </w:p>
        </w:tc>
        <w:tc>
          <w:tcPr>
            <w:tcW w:w="995" w:type="dxa"/>
            <w:tcBorders>
              <w:top w:val="nil"/>
              <w:left w:val="nil"/>
              <w:bottom w:val="single" w:color="auto" w:sz="4" w:space="0"/>
              <w:right w:val="single" w:color="auto" w:sz="4" w:space="0"/>
            </w:tcBorders>
            <w:shd w:val="clear" w:color="000000" w:fill="FFFFFF"/>
            <w:vAlign w:val="center"/>
          </w:tcPr>
          <w:p w14:paraId="05F55160">
            <w:pPr>
              <w:spacing w:line="240" w:lineRule="auto"/>
              <w:jc w:val="center"/>
              <w:rPr>
                <w:color w:val="000000"/>
                <w:kern w:val="0"/>
                <w:sz w:val="21"/>
                <w:szCs w:val="21"/>
              </w:rPr>
            </w:pPr>
            <w:r>
              <w:rPr>
                <w:rFonts w:hint="eastAsia"/>
                <w:color w:val="000000"/>
                <w:kern w:val="0"/>
                <w:sz w:val="21"/>
                <w:szCs w:val="21"/>
              </w:rPr>
              <w:t>网线、电源线</w:t>
            </w:r>
          </w:p>
        </w:tc>
        <w:tc>
          <w:tcPr>
            <w:tcW w:w="10341" w:type="dxa"/>
            <w:tcBorders>
              <w:top w:val="nil"/>
              <w:left w:val="nil"/>
              <w:bottom w:val="single" w:color="auto" w:sz="4" w:space="0"/>
              <w:right w:val="single" w:color="auto" w:sz="4" w:space="0"/>
            </w:tcBorders>
            <w:shd w:val="clear" w:color="auto" w:fill="auto"/>
          </w:tcPr>
          <w:p w14:paraId="2F3F83F4">
            <w:pPr>
              <w:spacing w:line="240" w:lineRule="auto"/>
              <w:rPr>
                <w:kern w:val="0"/>
                <w:sz w:val="21"/>
                <w:szCs w:val="21"/>
              </w:rPr>
            </w:pPr>
            <w:r>
              <w:rPr>
                <w:rFonts w:hint="eastAsia"/>
                <w:kern w:val="0"/>
                <w:sz w:val="21"/>
                <w:szCs w:val="21"/>
              </w:rPr>
              <w:t>六类UTP线及3*2.5mm²RVV电源线等线材。</w:t>
            </w:r>
          </w:p>
        </w:tc>
        <w:tc>
          <w:tcPr>
            <w:tcW w:w="846" w:type="dxa"/>
            <w:tcBorders>
              <w:top w:val="nil"/>
              <w:left w:val="nil"/>
              <w:bottom w:val="single" w:color="auto" w:sz="4" w:space="0"/>
              <w:right w:val="single" w:color="auto" w:sz="4" w:space="0"/>
            </w:tcBorders>
            <w:shd w:val="clear" w:color="auto" w:fill="auto"/>
            <w:vAlign w:val="center"/>
          </w:tcPr>
          <w:p w14:paraId="32B5E455">
            <w:pPr>
              <w:spacing w:line="240" w:lineRule="auto"/>
              <w:jc w:val="center"/>
              <w:rPr>
                <w:kern w:val="0"/>
                <w:sz w:val="21"/>
                <w:szCs w:val="21"/>
              </w:rPr>
            </w:pPr>
            <w:r>
              <w:rPr>
                <w:rFonts w:hint="eastAsia"/>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07056FAB">
            <w:pPr>
              <w:spacing w:line="240" w:lineRule="auto"/>
              <w:jc w:val="center"/>
              <w:rPr>
                <w:kern w:val="0"/>
                <w:sz w:val="21"/>
                <w:szCs w:val="21"/>
              </w:rPr>
            </w:pPr>
            <w:r>
              <w:rPr>
                <w:rFonts w:hint="eastAsia"/>
                <w:kern w:val="0"/>
                <w:sz w:val="21"/>
                <w:szCs w:val="21"/>
              </w:rPr>
              <w:t>批</w:t>
            </w:r>
          </w:p>
        </w:tc>
        <w:tc>
          <w:tcPr>
            <w:tcW w:w="1437" w:type="dxa"/>
            <w:tcBorders>
              <w:top w:val="nil"/>
              <w:left w:val="nil"/>
              <w:bottom w:val="single" w:color="auto" w:sz="4" w:space="0"/>
              <w:right w:val="single" w:color="auto" w:sz="4" w:space="0"/>
            </w:tcBorders>
            <w:shd w:val="clear" w:color="auto" w:fill="auto"/>
            <w:vAlign w:val="center"/>
          </w:tcPr>
          <w:p w14:paraId="76999DFA">
            <w:pPr>
              <w:spacing w:line="240" w:lineRule="auto"/>
              <w:jc w:val="right"/>
              <w:rPr>
                <w:color w:val="000000"/>
                <w:kern w:val="0"/>
                <w:sz w:val="21"/>
                <w:szCs w:val="21"/>
              </w:rPr>
            </w:pPr>
            <w:r>
              <w:rPr>
                <w:rFonts w:hint="eastAsia"/>
                <w:color w:val="000000"/>
                <w:kern w:val="0"/>
                <w:sz w:val="21"/>
                <w:szCs w:val="21"/>
              </w:rPr>
              <w:t>2,500.00</w:t>
            </w:r>
          </w:p>
        </w:tc>
      </w:tr>
      <w:tr w14:paraId="6D2E766B">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23FCBEA7">
            <w:pPr>
              <w:spacing w:line="240" w:lineRule="auto"/>
              <w:jc w:val="center"/>
              <w:rPr>
                <w:color w:val="000000"/>
                <w:kern w:val="0"/>
                <w:sz w:val="21"/>
                <w:szCs w:val="21"/>
              </w:rPr>
            </w:pPr>
            <w:r>
              <w:rPr>
                <w:color w:val="000000"/>
                <w:kern w:val="0"/>
                <w:sz w:val="21"/>
                <w:szCs w:val="21"/>
              </w:rPr>
              <w:t>7</w:t>
            </w:r>
          </w:p>
        </w:tc>
        <w:tc>
          <w:tcPr>
            <w:tcW w:w="995" w:type="dxa"/>
            <w:tcBorders>
              <w:top w:val="nil"/>
              <w:left w:val="nil"/>
              <w:bottom w:val="single" w:color="auto" w:sz="4" w:space="0"/>
              <w:right w:val="single" w:color="auto" w:sz="4" w:space="0"/>
            </w:tcBorders>
            <w:shd w:val="clear" w:color="000000" w:fill="FFFFFF"/>
            <w:vAlign w:val="center"/>
          </w:tcPr>
          <w:p w14:paraId="322ADD38">
            <w:pPr>
              <w:spacing w:line="240" w:lineRule="auto"/>
              <w:jc w:val="center"/>
              <w:rPr>
                <w:color w:val="000000"/>
                <w:kern w:val="0"/>
                <w:sz w:val="21"/>
                <w:szCs w:val="21"/>
              </w:rPr>
            </w:pPr>
            <w:r>
              <w:rPr>
                <w:rFonts w:hint="eastAsia"/>
                <w:color w:val="000000"/>
                <w:kern w:val="0"/>
                <w:sz w:val="21"/>
                <w:szCs w:val="21"/>
              </w:rPr>
              <w:t>辅材</w:t>
            </w:r>
          </w:p>
        </w:tc>
        <w:tc>
          <w:tcPr>
            <w:tcW w:w="10341" w:type="dxa"/>
            <w:tcBorders>
              <w:top w:val="nil"/>
              <w:left w:val="nil"/>
              <w:bottom w:val="single" w:color="auto" w:sz="4" w:space="0"/>
              <w:right w:val="single" w:color="auto" w:sz="4" w:space="0"/>
            </w:tcBorders>
            <w:shd w:val="clear" w:color="auto" w:fill="auto"/>
            <w:vAlign w:val="center"/>
          </w:tcPr>
          <w:p w14:paraId="31756AF0">
            <w:pPr>
              <w:spacing w:line="240" w:lineRule="auto"/>
              <w:rPr>
                <w:color w:val="000000"/>
                <w:kern w:val="0"/>
                <w:sz w:val="21"/>
                <w:szCs w:val="21"/>
              </w:rPr>
            </w:pPr>
            <w:r>
              <w:rPr>
                <w:rFonts w:hint="eastAsia"/>
                <w:color w:val="000000"/>
                <w:kern w:val="0"/>
                <w:sz w:val="21"/>
                <w:szCs w:val="21"/>
              </w:rPr>
              <w:t>线管、镀锌管、电工胶布、周边辅材</w:t>
            </w:r>
          </w:p>
        </w:tc>
        <w:tc>
          <w:tcPr>
            <w:tcW w:w="846" w:type="dxa"/>
            <w:tcBorders>
              <w:top w:val="nil"/>
              <w:left w:val="nil"/>
              <w:bottom w:val="single" w:color="auto" w:sz="4" w:space="0"/>
              <w:right w:val="single" w:color="auto" w:sz="4" w:space="0"/>
            </w:tcBorders>
            <w:shd w:val="clear" w:color="auto" w:fill="auto"/>
            <w:noWrap/>
            <w:vAlign w:val="center"/>
          </w:tcPr>
          <w:p w14:paraId="00943882">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514872FF">
            <w:pPr>
              <w:spacing w:line="240" w:lineRule="auto"/>
              <w:jc w:val="center"/>
              <w:rPr>
                <w:color w:val="000000"/>
                <w:kern w:val="0"/>
                <w:sz w:val="21"/>
                <w:szCs w:val="21"/>
              </w:rPr>
            </w:pPr>
            <w:r>
              <w:rPr>
                <w:rFonts w:hint="eastAsia"/>
                <w:color w:val="000000"/>
                <w:kern w:val="0"/>
                <w:sz w:val="21"/>
                <w:szCs w:val="21"/>
              </w:rPr>
              <w:t>批</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63707B13">
            <w:pPr>
              <w:spacing w:line="240" w:lineRule="auto"/>
              <w:jc w:val="right"/>
              <w:rPr>
                <w:color w:val="000000"/>
                <w:kern w:val="0"/>
                <w:sz w:val="21"/>
                <w:szCs w:val="21"/>
              </w:rPr>
            </w:pPr>
            <w:r>
              <w:rPr>
                <w:rFonts w:hint="eastAsia"/>
                <w:color w:val="000000"/>
                <w:sz w:val="21"/>
                <w:szCs w:val="21"/>
              </w:rPr>
              <w:t>5,046.14</w:t>
            </w:r>
          </w:p>
        </w:tc>
      </w:tr>
    </w:tbl>
    <w:p w14:paraId="2A81E401"/>
    <w:p w14:paraId="5414BB07">
      <w:pPr>
        <w:pStyle w:val="8"/>
        <w:shd w:val="clear" w:color="auto" w:fill="FFFFFF"/>
        <w:spacing w:before="0" w:beforeAutospacing="0" w:after="0" w:afterAutospacing="0"/>
        <w:rPr>
          <w:rFonts w:ascii="Arial" w:hAnsi="Arial" w:cs="Arial"/>
          <w:color w:val="404040"/>
          <w:sz w:val="21"/>
          <w:szCs w:val="21"/>
        </w:rPr>
      </w:pPr>
      <w:r>
        <w:rPr>
          <w:rStyle w:val="12"/>
          <w:rFonts w:ascii="Arial" w:hAnsi="Arial" w:cs="Arial"/>
          <w:color w:val="404040"/>
          <w:sz w:val="21"/>
          <w:szCs w:val="21"/>
        </w:rPr>
        <w:t>三、收货信息</w:t>
      </w:r>
    </w:p>
    <w:p w14:paraId="3A57CC04">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送货方式:   </w:t>
      </w:r>
      <w:r>
        <w:rPr>
          <w:rStyle w:val="20"/>
          <w:rFonts w:ascii="Arial" w:hAnsi="Arial" w:cs="Arial"/>
          <w:color w:val="404040"/>
          <w:sz w:val="21"/>
          <w:szCs w:val="21"/>
        </w:rPr>
        <w:t>送货上门</w:t>
      </w:r>
      <w:r>
        <w:rPr>
          <w:rFonts w:ascii="Arial" w:hAnsi="Arial" w:cs="Arial"/>
          <w:color w:val="404040"/>
          <w:sz w:val="21"/>
          <w:szCs w:val="21"/>
        </w:rPr>
        <w:t> </w:t>
      </w:r>
    </w:p>
    <w:p w14:paraId="553A9270">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送货时间:   </w:t>
      </w:r>
      <w:r>
        <w:rPr>
          <w:rStyle w:val="20"/>
          <w:rFonts w:ascii="Arial" w:hAnsi="Arial" w:cs="Arial"/>
          <w:color w:val="404040"/>
          <w:sz w:val="21"/>
          <w:szCs w:val="21"/>
        </w:rPr>
        <w:t>工作日09:00至17:00</w:t>
      </w:r>
      <w:r>
        <w:rPr>
          <w:rFonts w:ascii="Arial" w:hAnsi="Arial" w:cs="Arial"/>
          <w:color w:val="404040"/>
          <w:sz w:val="21"/>
          <w:szCs w:val="21"/>
        </w:rPr>
        <w:t> </w:t>
      </w:r>
    </w:p>
    <w:p w14:paraId="4310BC7D">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送货期限:   </w:t>
      </w:r>
      <w:r>
        <w:rPr>
          <w:rStyle w:val="20"/>
          <w:rFonts w:hint="eastAsia" w:ascii="Arial" w:hAnsi="Arial" w:cs="Arial"/>
          <w:color w:val="404040"/>
          <w:sz w:val="21"/>
          <w:szCs w:val="21"/>
        </w:rPr>
        <w:t>报</w:t>
      </w:r>
      <w:r>
        <w:rPr>
          <w:rStyle w:val="20"/>
          <w:rFonts w:ascii="Arial" w:hAnsi="Arial" w:cs="Arial"/>
          <w:color w:val="404040"/>
          <w:sz w:val="21"/>
          <w:szCs w:val="21"/>
        </w:rPr>
        <w:t>价成交后7个工作日内</w:t>
      </w:r>
      <w:r>
        <w:rPr>
          <w:rFonts w:ascii="Arial" w:hAnsi="Arial" w:cs="Arial"/>
          <w:color w:val="404040"/>
          <w:sz w:val="21"/>
          <w:szCs w:val="21"/>
        </w:rPr>
        <w:t> </w:t>
      </w:r>
    </w:p>
    <w:p w14:paraId="741BCD2A">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送货地址：  </w:t>
      </w:r>
      <w:r>
        <w:rPr>
          <w:rFonts w:hint="eastAsia" w:ascii="Arial" w:hAnsi="Arial" w:cs="Arial"/>
          <w:color w:val="404040"/>
          <w:sz w:val="21"/>
          <w:szCs w:val="21"/>
        </w:rPr>
        <w:t>广西全州县采购人指定地点</w:t>
      </w:r>
    </w:p>
    <w:p w14:paraId="699AC894">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送货备注： </w:t>
      </w:r>
      <w:r>
        <w:rPr>
          <w:rStyle w:val="20"/>
          <w:rFonts w:ascii="Arial" w:hAnsi="Arial" w:cs="Arial"/>
          <w:color w:val="404040"/>
          <w:sz w:val="21"/>
          <w:szCs w:val="21"/>
        </w:rPr>
        <w:t>-</w:t>
      </w:r>
      <w:r>
        <w:rPr>
          <w:rFonts w:ascii="Arial" w:hAnsi="Arial" w:cs="Arial"/>
          <w:color w:val="404040"/>
          <w:sz w:val="21"/>
          <w:szCs w:val="21"/>
        </w:rPr>
        <w:t> </w:t>
      </w:r>
    </w:p>
    <w:p w14:paraId="720DCD93">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br w:type="textWrapping"/>
      </w:r>
      <w:r>
        <w:rPr>
          <w:rStyle w:val="12"/>
          <w:rFonts w:ascii="Arial" w:hAnsi="Arial" w:cs="Arial"/>
          <w:color w:val="404040"/>
          <w:sz w:val="21"/>
          <w:szCs w:val="21"/>
        </w:rPr>
        <w:t>四、商务要求</w:t>
      </w:r>
    </w:p>
    <w:p w14:paraId="16946B41"/>
    <w:tbl>
      <w:tblPr>
        <w:tblStyle w:val="10"/>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41"/>
        <w:gridCol w:w="12484"/>
      </w:tblGrid>
      <w:tr w14:paraId="69A6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87" w:type="dxa"/>
            <w:gridSpan w:val="3"/>
            <w:vAlign w:val="center"/>
          </w:tcPr>
          <w:p w14:paraId="56E350FD">
            <w:pPr>
              <w:spacing w:line="360" w:lineRule="exact"/>
              <w:jc w:val="both"/>
              <w:rPr>
                <w:rFonts w:cs="Times New Roman"/>
                <w:b/>
                <w:bCs/>
                <w:kern w:val="0"/>
                <w:sz w:val="32"/>
                <w:szCs w:val="32"/>
              </w:rPr>
            </w:pPr>
            <w:r>
              <w:rPr>
                <w:rFonts w:hint="eastAsia" w:cs="Times New Roman"/>
                <w:b/>
                <w:bCs/>
                <w:kern w:val="0"/>
                <w:sz w:val="32"/>
                <w:szCs w:val="32"/>
              </w:rPr>
              <w:t>商务要求</w:t>
            </w:r>
          </w:p>
        </w:tc>
      </w:tr>
      <w:tr w14:paraId="19F5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3FE5609F">
            <w:pPr>
              <w:spacing w:line="240" w:lineRule="auto"/>
              <w:jc w:val="center"/>
              <w:rPr>
                <w:rFonts w:cs="Times New Roman"/>
                <w:kern w:val="0"/>
                <w:sz w:val="21"/>
                <w:szCs w:val="21"/>
              </w:rPr>
            </w:pPr>
            <w:r>
              <w:rPr>
                <w:rFonts w:hint="eastAsia" w:cs="Times New Roman"/>
                <w:kern w:val="0"/>
                <w:sz w:val="21"/>
                <w:szCs w:val="21"/>
              </w:rPr>
              <w:t>1</w:t>
            </w:r>
          </w:p>
        </w:tc>
        <w:tc>
          <w:tcPr>
            <w:tcW w:w="841" w:type="dxa"/>
            <w:vAlign w:val="center"/>
          </w:tcPr>
          <w:p w14:paraId="5DB8867B">
            <w:pPr>
              <w:spacing w:line="240" w:lineRule="auto"/>
              <w:jc w:val="center"/>
              <w:rPr>
                <w:kern w:val="0"/>
                <w:sz w:val="21"/>
                <w:szCs w:val="21"/>
              </w:rPr>
            </w:pPr>
            <w:r>
              <w:rPr>
                <w:rFonts w:hint="eastAsia"/>
                <w:kern w:val="0"/>
                <w:sz w:val="21"/>
                <w:szCs w:val="21"/>
              </w:rPr>
              <w:t>售后服务要求</w:t>
            </w:r>
          </w:p>
        </w:tc>
        <w:tc>
          <w:tcPr>
            <w:tcW w:w="12484" w:type="dxa"/>
            <w:vAlign w:val="center"/>
          </w:tcPr>
          <w:p w14:paraId="0B0C0AE8">
            <w:pPr>
              <w:spacing w:line="360" w:lineRule="exact"/>
              <w:jc w:val="both"/>
              <w:rPr>
                <w:rFonts w:cs="Times New Roman"/>
                <w:sz w:val="21"/>
                <w:szCs w:val="21"/>
              </w:rPr>
            </w:pPr>
            <w:r>
              <w:rPr>
                <w:rFonts w:hint="eastAsia" w:cs="Times New Roman"/>
                <w:sz w:val="21"/>
                <w:szCs w:val="21"/>
              </w:rPr>
              <w:t>一、免费保修期：按国家有关产品“三包”规定执行“三包”，</w:t>
            </w:r>
            <w:r>
              <w:rPr>
                <w:rFonts w:cs="Times New Roman"/>
                <w:sz w:val="21"/>
                <w:szCs w:val="21"/>
              </w:rPr>
              <w:t xml:space="preserve"> 免费质保期最短不得少于1年，自验收合格之日算起</w:t>
            </w:r>
            <w:r>
              <w:rPr>
                <w:rFonts w:hint="eastAsia" w:cs="Times New Roman"/>
                <w:sz w:val="21"/>
                <w:szCs w:val="21"/>
              </w:rPr>
              <w:t>（参数中有质保期要求的，按参数中质保期执行）</w:t>
            </w:r>
            <w:r>
              <w:rPr>
                <w:rFonts w:cs="Times New Roman"/>
                <w:sz w:val="21"/>
                <w:szCs w:val="21"/>
              </w:rPr>
              <w:t>。</w:t>
            </w:r>
          </w:p>
          <w:p w14:paraId="680B212C">
            <w:pPr>
              <w:spacing w:line="360" w:lineRule="exact"/>
              <w:jc w:val="both"/>
              <w:rPr>
                <w:rFonts w:cs="Times New Roman"/>
                <w:sz w:val="21"/>
                <w:szCs w:val="21"/>
              </w:rPr>
            </w:pPr>
            <w:r>
              <w:rPr>
                <w:rFonts w:hint="eastAsia" w:cs="Times New Roman"/>
                <w:sz w:val="21"/>
                <w:szCs w:val="21"/>
              </w:rPr>
              <w:t>二、售后服务的内容和措施：</w:t>
            </w:r>
          </w:p>
          <w:p w14:paraId="0E048C59">
            <w:pPr>
              <w:widowControl w:val="0"/>
              <w:spacing w:line="360" w:lineRule="exact"/>
              <w:jc w:val="both"/>
              <w:rPr>
                <w:rFonts w:cs="Times New Roman"/>
                <w:sz w:val="21"/>
                <w:szCs w:val="21"/>
              </w:rPr>
            </w:pPr>
            <w:r>
              <w:rPr>
                <w:rFonts w:cs="Times New Roman"/>
                <w:sz w:val="21"/>
                <w:szCs w:val="21"/>
              </w:rPr>
              <w:t>1.免费保修期内免一切费用进行上门维修、配件更换或软件升级</w:t>
            </w:r>
            <w:r>
              <w:rPr>
                <w:rFonts w:hint="eastAsia" w:cs="Times New Roman"/>
                <w:sz w:val="21"/>
                <w:szCs w:val="21"/>
              </w:rPr>
              <w:t>（免费质保期内更新到厂家最新版本）</w:t>
            </w:r>
            <w:r>
              <w:rPr>
                <w:rFonts w:cs="Times New Roman"/>
                <w:sz w:val="21"/>
                <w:szCs w:val="21"/>
              </w:rPr>
              <w:t>等服务</w:t>
            </w:r>
            <w:r>
              <w:rPr>
                <w:rFonts w:hint="eastAsia" w:cs="Times New Roman"/>
                <w:sz w:val="21"/>
                <w:szCs w:val="21"/>
              </w:rPr>
              <w:t>；</w:t>
            </w:r>
            <w:r>
              <w:rPr>
                <w:rFonts w:cs="Times New Roman"/>
                <w:sz w:val="21"/>
                <w:szCs w:val="21"/>
              </w:rPr>
              <w:t>提供终身维修维护服务（只收配件费）</w:t>
            </w:r>
            <w:r>
              <w:rPr>
                <w:rFonts w:hint="eastAsia" w:cs="Times New Roman"/>
                <w:sz w:val="21"/>
                <w:szCs w:val="21"/>
              </w:rPr>
              <w:t>。</w:t>
            </w:r>
          </w:p>
          <w:p w14:paraId="5F88F35E">
            <w:pPr>
              <w:widowControl w:val="0"/>
              <w:spacing w:line="360" w:lineRule="exact"/>
              <w:jc w:val="both"/>
              <w:rPr>
                <w:rFonts w:cs="Times New Roman"/>
                <w:sz w:val="21"/>
                <w:szCs w:val="21"/>
              </w:rPr>
            </w:pPr>
            <w:r>
              <w:rPr>
                <w:rFonts w:cs="Times New Roman"/>
                <w:sz w:val="21"/>
                <w:szCs w:val="21"/>
              </w:rPr>
              <w:t>2.免费保修期内，成交供应商须提供免费的技术支持，负责免费培训采购人技术人员，培训时间不得影响采购人正常的业务开展工作，培训效果要达到使采购人所有技术人员能够理解系统原理、系统功能，能熟练掌握系统操作流程、常用功能、运维技巧等，培训地点由采购人指定。</w:t>
            </w:r>
          </w:p>
          <w:p w14:paraId="23ED5077">
            <w:pPr>
              <w:widowControl w:val="0"/>
              <w:spacing w:line="360" w:lineRule="exact"/>
              <w:jc w:val="both"/>
              <w:rPr>
                <w:rFonts w:cs="Times New Roman"/>
                <w:sz w:val="21"/>
                <w:szCs w:val="21"/>
              </w:rPr>
            </w:pPr>
            <w:r>
              <w:rPr>
                <w:rFonts w:cs="Times New Roman"/>
                <w:sz w:val="21"/>
                <w:szCs w:val="21"/>
              </w:rPr>
              <w:t>3.保修期内，</w:t>
            </w:r>
            <w:r>
              <w:rPr>
                <w:rFonts w:hint="eastAsia" w:cs="Times New Roman"/>
                <w:sz w:val="21"/>
                <w:szCs w:val="21"/>
              </w:rPr>
              <w:t>系统免费</w:t>
            </w:r>
            <w:r>
              <w:rPr>
                <w:rFonts w:cs="Times New Roman"/>
                <w:sz w:val="21"/>
                <w:szCs w:val="21"/>
              </w:rPr>
              <w:t>升级</w:t>
            </w:r>
            <w:r>
              <w:rPr>
                <w:rFonts w:hint="eastAsia" w:cs="Times New Roman"/>
                <w:sz w:val="21"/>
                <w:szCs w:val="21"/>
              </w:rPr>
              <w:t>（免费质保期内更新到厂家最新版本，含设备厂家自带及配送软件）</w:t>
            </w:r>
            <w:r>
              <w:rPr>
                <w:rFonts w:cs="Times New Roman"/>
                <w:sz w:val="21"/>
                <w:szCs w:val="21"/>
              </w:rPr>
              <w:t>、上门维修和保养服务，对于非采购人人为原因损坏（不包括不可抗力造成的损坏）需要维修或更换部件的，不收取任何额外费用（包括差旅费、邮寄费、安装调试费等），对于由于采购人人为损坏、不可抗力原因（如雷击、洪涝等自然灾害）造成的损坏以及免费保修期结束后的维修，只能按维修成本收取配件费用。</w:t>
            </w:r>
          </w:p>
          <w:p w14:paraId="6234AD9C">
            <w:pPr>
              <w:spacing w:line="240" w:lineRule="auto"/>
              <w:jc w:val="both"/>
              <w:rPr>
                <w:rFonts w:cs="Times New Roman"/>
                <w:kern w:val="0"/>
                <w:sz w:val="21"/>
                <w:szCs w:val="21"/>
              </w:rPr>
            </w:pPr>
            <w:r>
              <w:rPr>
                <w:rFonts w:cs="Times New Roman"/>
                <w:sz w:val="21"/>
                <w:szCs w:val="21"/>
              </w:rPr>
              <w:t>4.接到故障通知，</w:t>
            </w:r>
            <w:r>
              <w:rPr>
                <w:rFonts w:hint="eastAsia" w:cs="Times New Roman"/>
                <w:sz w:val="21"/>
                <w:szCs w:val="21"/>
              </w:rPr>
              <w:t>中标</w:t>
            </w:r>
            <w:r>
              <w:rPr>
                <w:rFonts w:cs="Times New Roman"/>
                <w:sz w:val="21"/>
                <w:szCs w:val="21"/>
              </w:rPr>
              <w:t>供应商的技术工程师须4小时内到达现场处理，如现场不能解决问题，24小时内无法修复须立即提供不低于投标产品配置的备用机器或软件供采购人正常使用。提供终身免费技术支持服务。</w:t>
            </w:r>
          </w:p>
        </w:tc>
      </w:tr>
      <w:tr w14:paraId="22F5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6CA67B7B">
            <w:pPr>
              <w:spacing w:line="240" w:lineRule="auto"/>
              <w:jc w:val="center"/>
              <w:rPr>
                <w:rFonts w:cs="Times New Roman"/>
                <w:kern w:val="0"/>
                <w:sz w:val="21"/>
                <w:szCs w:val="21"/>
              </w:rPr>
            </w:pPr>
            <w:r>
              <w:rPr>
                <w:rFonts w:hint="eastAsia" w:cs="Times New Roman"/>
                <w:kern w:val="0"/>
                <w:sz w:val="21"/>
                <w:szCs w:val="21"/>
              </w:rPr>
              <w:t>2</w:t>
            </w:r>
          </w:p>
        </w:tc>
        <w:tc>
          <w:tcPr>
            <w:tcW w:w="841" w:type="dxa"/>
            <w:vAlign w:val="center"/>
          </w:tcPr>
          <w:p w14:paraId="49DC07B5">
            <w:pPr>
              <w:spacing w:line="240" w:lineRule="auto"/>
              <w:jc w:val="center"/>
              <w:rPr>
                <w:kern w:val="0"/>
                <w:sz w:val="21"/>
                <w:szCs w:val="21"/>
              </w:rPr>
            </w:pPr>
            <w:r>
              <w:rPr>
                <w:rFonts w:hint="eastAsia"/>
                <w:kern w:val="0"/>
                <w:sz w:val="21"/>
                <w:szCs w:val="21"/>
              </w:rPr>
              <w:t>交付使用期及地点</w:t>
            </w:r>
          </w:p>
        </w:tc>
        <w:tc>
          <w:tcPr>
            <w:tcW w:w="12484" w:type="dxa"/>
            <w:vAlign w:val="center"/>
          </w:tcPr>
          <w:p w14:paraId="1920857F">
            <w:pPr>
              <w:spacing w:line="360" w:lineRule="exact"/>
              <w:jc w:val="both"/>
              <w:rPr>
                <w:rFonts w:cs="Times New Roman"/>
                <w:sz w:val="21"/>
                <w:szCs w:val="21"/>
              </w:rPr>
            </w:pPr>
            <w:r>
              <w:rPr>
                <w:rFonts w:cs="Times New Roman"/>
                <w:sz w:val="21"/>
                <w:szCs w:val="21"/>
              </w:rPr>
              <w:t>1.交付使用期：自签订合同之日起7个日历日内全部安装调试合格完毕并</w:t>
            </w:r>
            <w:r>
              <w:rPr>
                <w:rFonts w:hint="eastAsia" w:cs="Times New Roman"/>
                <w:sz w:val="21"/>
                <w:szCs w:val="21"/>
              </w:rPr>
              <w:t>验收合格</w:t>
            </w:r>
            <w:r>
              <w:rPr>
                <w:rFonts w:cs="Times New Roman"/>
                <w:sz w:val="21"/>
                <w:szCs w:val="21"/>
              </w:rPr>
              <w:t>交付使用，超期未安装调试完毕</w:t>
            </w:r>
            <w:r>
              <w:rPr>
                <w:rFonts w:hint="eastAsia" w:cs="Times New Roman"/>
                <w:sz w:val="21"/>
                <w:szCs w:val="21"/>
              </w:rPr>
              <w:t>并验收合格</w:t>
            </w:r>
            <w:r>
              <w:rPr>
                <w:rFonts w:cs="Times New Roman"/>
                <w:sz w:val="21"/>
                <w:szCs w:val="21"/>
              </w:rPr>
              <w:t>则视为违约。</w:t>
            </w:r>
          </w:p>
          <w:p w14:paraId="0FAE0B58">
            <w:pPr>
              <w:spacing w:line="240" w:lineRule="auto"/>
              <w:jc w:val="both"/>
              <w:rPr>
                <w:rFonts w:cs="Times New Roman"/>
                <w:kern w:val="0"/>
                <w:sz w:val="21"/>
                <w:szCs w:val="21"/>
              </w:rPr>
            </w:pPr>
            <w:r>
              <w:rPr>
                <w:rFonts w:cs="Times New Roman"/>
                <w:sz w:val="21"/>
                <w:szCs w:val="21"/>
              </w:rPr>
              <w:t>2.交货地点：广西</w:t>
            </w:r>
            <w:r>
              <w:rPr>
                <w:rFonts w:hint="eastAsia" w:cs="Times New Roman"/>
                <w:sz w:val="21"/>
                <w:szCs w:val="21"/>
              </w:rPr>
              <w:t>全州县</w:t>
            </w:r>
            <w:r>
              <w:rPr>
                <w:rFonts w:cs="Times New Roman"/>
                <w:sz w:val="21"/>
                <w:szCs w:val="21"/>
              </w:rPr>
              <w:t>采购人指定地点。</w:t>
            </w:r>
          </w:p>
        </w:tc>
      </w:tr>
      <w:tr w14:paraId="53AC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4C425500">
            <w:pPr>
              <w:spacing w:line="240" w:lineRule="auto"/>
              <w:jc w:val="center"/>
              <w:rPr>
                <w:rFonts w:cs="Times New Roman"/>
                <w:kern w:val="0"/>
                <w:sz w:val="21"/>
                <w:szCs w:val="21"/>
              </w:rPr>
            </w:pPr>
            <w:r>
              <w:rPr>
                <w:rFonts w:hint="eastAsia" w:cs="Times New Roman"/>
                <w:kern w:val="0"/>
                <w:sz w:val="21"/>
                <w:szCs w:val="21"/>
              </w:rPr>
              <w:t>3</w:t>
            </w:r>
          </w:p>
        </w:tc>
        <w:tc>
          <w:tcPr>
            <w:tcW w:w="841" w:type="dxa"/>
            <w:vAlign w:val="center"/>
          </w:tcPr>
          <w:p w14:paraId="27C3CF39">
            <w:pPr>
              <w:spacing w:line="360" w:lineRule="exact"/>
              <w:jc w:val="center"/>
              <w:rPr>
                <w:kern w:val="0"/>
                <w:sz w:val="21"/>
                <w:szCs w:val="21"/>
              </w:rPr>
            </w:pPr>
            <w:r>
              <w:rPr>
                <w:rFonts w:hint="eastAsia" w:cs="Times New Roman"/>
                <w:sz w:val="21"/>
                <w:szCs w:val="21"/>
              </w:rPr>
              <w:t>付款方式</w:t>
            </w:r>
          </w:p>
        </w:tc>
        <w:tc>
          <w:tcPr>
            <w:tcW w:w="12484" w:type="dxa"/>
            <w:vAlign w:val="center"/>
          </w:tcPr>
          <w:p w14:paraId="1DF1789A">
            <w:pPr>
              <w:spacing w:line="360" w:lineRule="exact"/>
              <w:jc w:val="both"/>
              <w:rPr>
                <w:rFonts w:cs="Times New Roman"/>
                <w:kern w:val="0"/>
                <w:sz w:val="21"/>
                <w:szCs w:val="21"/>
              </w:rPr>
            </w:pPr>
            <w:r>
              <w:rPr>
                <w:rFonts w:hint="eastAsia"/>
                <w:bCs/>
                <w:sz w:val="21"/>
                <w:szCs w:val="21"/>
              </w:rPr>
              <w:t>签订合同，货物到现场</w:t>
            </w:r>
            <w:r>
              <w:rPr>
                <w:bCs/>
                <w:sz w:val="21"/>
                <w:szCs w:val="21"/>
              </w:rPr>
              <w:t>5个工作日内，支付到合同总金额的</w:t>
            </w:r>
            <w:r>
              <w:rPr>
                <w:rFonts w:hint="eastAsia"/>
                <w:bCs/>
                <w:sz w:val="21"/>
                <w:szCs w:val="21"/>
                <w:lang w:val="en-US" w:eastAsia="zh-CN"/>
              </w:rPr>
              <w:t>50</w:t>
            </w:r>
            <w:r>
              <w:rPr>
                <w:bCs/>
                <w:sz w:val="21"/>
                <w:szCs w:val="21"/>
              </w:rPr>
              <w:t>%；设备安装调试验收合格后</w:t>
            </w:r>
            <w:r>
              <w:rPr>
                <w:rFonts w:hint="eastAsia"/>
                <w:bCs/>
                <w:sz w:val="21"/>
                <w:szCs w:val="21"/>
                <w:lang w:val="en-US" w:eastAsia="zh-CN"/>
              </w:rPr>
              <w:t>15</w:t>
            </w:r>
            <w:r>
              <w:rPr>
                <w:bCs/>
                <w:sz w:val="21"/>
                <w:szCs w:val="21"/>
              </w:rPr>
              <w:t>个工作日内，支付到合同总金额的</w:t>
            </w:r>
            <w:r>
              <w:rPr>
                <w:rFonts w:hint="eastAsia"/>
                <w:bCs/>
                <w:sz w:val="21"/>
                <w:szCs w:val="21"/>
                <w:lang w:val="en-US" w:eastAsia="zh-CN"/>
              </w:rPr>
              <w:t>90</w:t>
            </w:r>
            <w:r>
              <w:rPr>
                <w:bCs/>
                <w:sz w:val="21"/>
                <w:szCs w:val="21"/>
              </w:rPr>
              <w:t>%</w:t>
            </w:r>
            <w:r>
              <w:rPr>
                <w:rFonts w:hint="eastAsia"/>
                <w:bCs/>
                <w:sz w:val="21"/>
                <w:szCs w:val="21"/>
              </w:rPr>
              <w:t>（</w:t>
            </w:r>
            <w:r>
              <w:rPr>
                <w:bCs/>
                <w:sz w:val="21"/>
                <w:szCs w:val="21"/>
              </w:rPr>
              <w:t>付款时乙方向甲方开具同等付款金额增值税发票）</w:t>
            </w:r>
            <w:r>
              <w:rPr>
                <w:rFonts w:hint="eastAsia"/>
                <w:bCs/>
                <w:sz w:val="21"/>
                <w:szCs w:val="21"/>
              </w:rPr>
              <w:t>；</w:t>
            </w:r>
            <w:r>
              <w:rPr>
                <w:rFonts w:hint="eastAsia"/>
                <w:bCs/>
                <w:sz w:val="21"/>
                <w:szCs w:val="21"/>
                <w:lang w:eastAsia="zh-CN"/>
              </w:rPr>
              <w:t>在</w:t>
            </w:r>
            <w:r>
              <w:rPr>
                <w:rFonts w:hint="eastAsia"/>
                <w:bCs/>
                <w:sz w:val="21"/>
                <w:szCs w:val="21"/>
                <w:lang w:val="en-US" w:eastAsia="zh-CN"/>
              </w:rPr>
              <w:t>质保期内无质量问题，再支付剩余10%款项。</w:t>
            </w:r>
            <w:r>
              <w:rPr>
                <w:bCs/>
                <w:sz w:val="21"/>
                <w:szCs w:val="21"/>
              </w:rPr>
              <w:t>如有特殊情况款项延后支付（如财政未能及时拨款</w:t>
            </w:r>
            <w:r>
              <w:rPr>
                <w:rFonts w:hint="eastAsia"/>
                <w:bCs/>
                <w:sz w:val="21"/>
                <w:szCs w:val="21"/>
              </w:rPr>
              <w:t>等情况</w:t>
            </w:r>
            <w:r>
              <w:rPr>
                <w:bCs/>
                <w:sz w:val="21"/>
                <w:szCs w:val="21"/>
              </w:rPr>
              <w:t>）</w:t>
            </w:r>
            <w:r>
              <w:rPr>
                <w:rFonts w:hint="eastAsia"/>
                <w:bCs/>
                <w:sz w:val="21"/>
                <w:szCs w:val="21"/>
              </w:rPr>
              <w:t>。</w:t>
            </w:r>
            <w:bookmarkStart w:id="0" w:name="_GoBack"/>
            <w:bookmarkEnd w:id="0"/>
          </w:p>
        </w:tc>
      </w:tr>
      <w:tr w14:paraId="34BD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1B4210F4">
            <w:pPr>
              <w:spacing w:line="240" w:lineRule="auto"/>
              <w:jc w:val="center"/>
              <w:rPr>
                <w:rFonts w:cs="Times New Roman"/>
                <w:kern w:val="0"/>
                <w:sz w:val="21"/>
                <w:szCs w:val="21"/>
              </w:rPr>
            </w:pPr>
            <w:r>
              <w:rPr>
                <w:rFonts w:hint="eastAsia" w:cs="Times New Roman"/>
                <w:kern w:val="0"/>
                <w:sz w:val="21"/>
                <w:szCs w:val="21"/>
              </w:rPr>
              <w:t>4</w:t>
            </w:r>
          </w:p>
        </w:tc>
        <w:tc>
          <w:tcPr>
            <w:tcW w:w="841" w:type="dxa"/>
            <w:vAlign w:val="center"/>
          </w:tcPr>
          <w:p w14:paraId="50912D97">
            <w:pPr>
              <w:spacing w:line="360" w:lineRule="exact"/>
              <w:jc w:val="center"/>
              <w:rPr>
                <w:rFonts w:cs="Times New Roman"/>
                <w:sz w:val="21"/>
                <w:szCs w:val="21"/>
              </w:rPr>
            </w:pPr>
            <w:r>
              <w:rPr>
                <w:rFonts w:hint="eastAsia" w:cs="Times New Roman"/>
                <w:sz w:val="21"/>
                <w:szCs w:val="21"/>
              </w:rPr>
              <w:t>其他要求</w:t>
            </w:r>
          </w:p>
        </w:tc>
        <w:tc>
          <w:tcPr>
            <w:tcW w:w="12484" w:type="dxa"/>
            <w:vAlign w:val="center"/>
          </w:tcPr>
          <w:p w14:paraId="6C8EE899">
            <w:pPr>
              <w:widowControl w:val="0"/>
              <w:numPr>
                <w:ilvl w:val="0"/>
                <w:numId w:val="2"/>
              </w:numPr>
              <w:spacing w:line="360" w:lineRule="exact"/>
              <w:jc w:val="both"/>
              <w:rPr>
                <w:rFonts w:cs="Times New Roman"/>
                <w:sz w:val="21"/>
                <w:szCs w:val="21"/>
              </w:rPr>
            </w:pPr>
            <w:r>
              <w:rPr>
                <w:rFonts w:hint="eastAsia" w:cs="Times New Roman"/>
                <w:sz w:val="21"/>
                <w:szCs w:val="21"/>
              </w:rPr>
              <w:t>本项目是系统集成实施项目，为交钥匙项目：供应商的投标报价包含本次采购范围内货物、包装、运输、装卸、安装所需要的所有附件、配套设备、其他材料（如网线、电源线、各类连接件等）、安装费、技术支持服务费、系统集成服务费、网络系统集成费、网络测试服务费、税金等所涉及的一切费用的总和。</w:t>
            </w:r>
            <w:r>
              <w:rPr>
                <w:rFonts w:cs="Times New Roman"/>
                <w:sz w:val="21"/>
                <w:szCs w:val="21"/>
              </w:rPr>
              <w:t xml:space="preserve"> </w:t>
            </w:r>
          </w:p>
          <w:p w14:paraId="417E2141">
            <w:pPr>
              <w:widowControl w:val="0"/>
              <w:numPr>
                <w:ilvl w:val="0"/>
                <w:numId w:val="2"/>
              </w:numPr>
              <w:spacing w:line="360" w:lineRule="exact"/>
              <w:jc w:val="both"/>
              <w:rPr>
                <w:rFonts w:cs="Times New Roman"/>
                <w:color w:val="auto"/>
                <w:sz w:val="21"/>
                <w:szCs w:val="21"/>
              </w:rPr>
            </w:pPr>
            <w:r>
              <w:rPr>
                <w:rFonts w:hint="eastAsia"/>
                <w:b w:val="0"/>
                <w:bCs w:val="0"/>
                <w:color w:val="auto"/>
                <w:kern w:val="0"/>
                <w:sz w:val="22"/>
                <w:lang w:bidi="ar"/>
              </w:rPr>
              <w:t>为保证售后服务质量，投标时投标人必须提供采购需求中第2、3项生产厂家针对此项目的售后服务承诺函和投标授权函，并加盖供应商厂家公章，否则投标无效。</w:t>
            </w:r>
          </w:p>
          <w:p w14:paraId="1ECE9534">
            <w:pPr>
              <w:widowControl w:val="0"/>
              <w:spacing w:line="360" w:lineRule="exact"/>
              <w:jc w:val="both"/>
              <w:rPr>
                <w:rFonts w:cs="Times New Roman"/>
                <w:sz w:val="21"/>
                <w:szCs w:val="21"/>
              </w:rPr>
            </w:pPr>
            <w:r>
              <w:rPr>
                <w:rFonts w:hint="eastAsia" w:cs="Times New Roman"/>
                <w:sz w:val="21"/>
                <w:szCs w:val="21"/>
              </w:rPr>
              <w:t>3.验收要求：</w:t>
            </w:r>
          </w:p>
          <w:p w14:paraId="763EB684">
            <w:pPr>
              <w:spacing w:line="360" w:lineRule="exact"/>
              <w:jc w:val="both"/>
              <w:rPr>
                <w:bCs/>
                <w:sz w:val="21"/>
                <w:szCs w:val="21"/>
              </w:rPr>
            </w:pPr>
            <w:r>
              <w:rPr>
                <w:rFonts w:hint="eastAsia"/>
                <w:bCs/>
                <w:sz w:val="21"/>
                <w:szCs w:val="21"/>
              </w:rPr>
              <w:t>（1）中标人提供的设备、相关配件、材料及工具须为全新未使用的合格产品。设备、相关配件、材料、工具及其辅助装置的铭牌、使用指示、警告指示应以中文或英文及易懂的通用符号来表示。中标人必须按照采购文件和合同的具体要求，准时提供设备、相关配件、材料、工具，并负责所供设备、相关配件、材料、工具的包装和运保，免费送货上门。</w:t>
            </w:r>
          </w:p>
          <w:p w14:paraId="5EECE2DB">
            <w:pPr>
              <w:spacing w:line="360" w:lineRule="exact"/>
              <w:jc w:val="both"/>
              <w:rPr>
                <w:bCs/>
                <w:sz w:val="21"/>
                <w:szCs w:val="21"/>
              </w:rPr>
            </w:pPr>
            <w:r>
              <w:rPr>
                <w:rFonts w:hint="eastAsia"/>
                <w:bCs/>
                <w:sz w:val="21"/>
                <w:szCs w:val="21"/>
              </w:rPr>
              <w:t>（2）</w:t>
            </w:r>
            <w:r>
              <w:rPr>
                <w:bCs/>
                <w:sz w:val="21"/>
                <w:szCs w:val="21"/>
              </w:rPr>
              <w:t>符合国标或其他强制性标准、投标文件承诺及招标文件要求。</w:t>
            </w:r>
          </w:p>
          <w:p w14:paraId="40C7E3F8">
            <w:pPr>
              <w:spacing w:line="360" w:lineRule="exact"/>
              <w:jc w:val="both"/>
              <w:rPr>
                <w:b/>
                <w:sz w:val="21"/>
                <w:szCs w:val="21"/>
              </w:rPr>
            </w:pPr>
            <w:r>
              <w:rPr>
                <w:rFonts w:hint="eastAsia"/>
                <w:b/>
                <w:sz w:val="21"/>
                <w:szCs w:val="21"/>
              </w:rPr>
              <w:t>（3）</w:t>
            </w:r>
            <w:r>
              <w:rPr>
                <w:b w:val="0"/>
                <w:bCs/>
                <w:sz w:val="21"/>
                <w:szCs w:val="21"/>
              </w:rPr>
              <w:t>成交供应商自成交公告（或确认电话/函）发出之日起48小时内提供产品“</w:t>
            </w:r>
            <w:r>
              <w:rPr>
                <w:rFonts w:hint="eastAsia"/>
                <w:b w:val="0"/>
                <w:bCs/>
                <w:sz w:val="21"/>
                <w:szCs w:val="21"/>
              </w:rPr>
              <w:t>智能电源</w:t>
            </w:r>
            <w:r>
              <w:rPr>
                <w:b w:val="0"/>
                <w:bCs/>
                <w:sz w:val="21"/>
                <w:szCs w:val="21"/>
              </w:rPr>
              <w:t>PDU”、“LED显示屏”</w:t>
            </w:r>
            <w:r>
              <w:rPr>
                <w:rFonts w:hint="eastAsia"/>
                <w:b w:val="0"/>
                <w:bCs/>
                <w:sz w:val="21"/>
                <w:szCs w:val="21"/>
              </w:rPr>
              <w:t>、</w:t>
            </w:r>
            <w:r>
              <w:rPr>
                <w:rFonts w:hint="eastAsia"/>
                <w:b w:val="0"/>
                <w:bCs/>
                <w:color w:val="000000"/>
                <w:kern w:val="0"/>
                <w:sz w:val="21"/>
                <w:szCs w:val="21"/>
              </w:rPr>
              <w:t xml:space="preserve"> “播控安全管理主机”、“解码器”</w:t>
            </w:r>
            <w:r>
              <w:rPr>
                <w:b w:val="0"/>
                <w:bCs/>
                <w:sz w:val="21"/>
                <w:szCs w:val="21"/>
              </w:rPr>
              <w:t>生产厂家针对此项目的售后服务保证函原件、供货证明原件；否则视为自动放弃中标资格。</w:t>
            </w:r>
          </w:p>
          <w:p w14:paraId="4F8176F6">
            <w:pPr>
              <w:spacing w:line="360" w:lineRule="exact"/>
              <w:jc w:val="both"/>
              <w:rPr>
                <w:bCs/>
                <w:sz w:val="21"/>
                <w:szCs w:val="21"/>
              </w:rPr>
            </w:pPr>
            <w:r>
              <w:rPr>
                <w:rFonts w:hint="eastAsia"/>
                <w:bCs/>
                <w:sz w:val="21"/>
                <w:szCs w:val="21"/>
              </w:rPr>
              <w:t>（4）</w:t>
            </w:r>
            <w:r>
              <w:rPr>
                <w:bCs/>
                <w:sz w:val="21"/>
                <w:szCs w:val="21"/>
              </w:rPr>
              <w:t>成交供应商提供的产品必须是原厂生产的正品全新、完整的合格产品，产品质量符合国家标准和规范，具备正规合法经销渠道。所有产品除满足《采购项目需求一览表》要求的技术参数外，其余均按国家标准及生产厂家出厂标准配置。成交供应商提供的产品品牌、型号、规格、技术参数、质量不</w:t>
            </w:r>
            <w:r>
              <w:rPr>
                <w:rFonts w:hint="eastAsia"/>
                <w:bCs/>
                <w:sz w:val="21"/>
                <w:szCs w:val="21"/>
              </w:rPr>
              <w:t>符合合同规定及采购需求规定标准的，采购单位有权拒收该产品。</w:t>
            </w:r>
          </w:p>
        </w:tc>
      </w:tr>
    </w:tbl>
    <w:p w14:paraId="68FD9952"/>
    <w:sectPr>
      <w:pgSz w:w="16838" w:h="11906" w:orient="landscape"/>
      <w:pgMar w:top="1134" w:right="1134" w:bottom="1134" w:left="1134"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8AB0F"/>
    <w:multiLevelType w:val="singleLevel"/>
    <w:tmpl w:val="D7B8AB0F"/>
    <w:lvl w:ilvl="0" w:tentative="0">
      <w:start w:val="1"/>
      <w:numFmt w:val="decimal"/>
      <w:lvlText w:val="(%1)"/>
      <w:lvlJc w:val="left"/>
      <w:pPr>
        <w:tabs>
          <w:tab w:val="left" w:pos="312"/>
        </w:tabs>
        <w:ind w:left="0" w:firstLine="0"/>
      </w:pPr>
    </w:lvl>
  </w:abstractNum>
  <w:abstractNum w:abstractNumId="1">
    <w:nsid w:val="24B97225"/>
    <w:multiLevelType w:val="singleLevel"/>
    <w:tmpl w:val="24B97225"/>
    <w:lvl w:ilvl="0" w:tentative="0">
      <w:start w:val="1"/>
      <w:numFmt w:val="decimal"/>
      <w:lvlText w:val="%1."/>
      <w:lvlJc w:val="left"/>
      <w:pPr>
        <w:tabs>
          <w:tab w:val="left" w:pos="312"/>
        </w:tabs>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A8"/>
    <w:rsid w:val="00230C53"/>
    <w:rsid w:val="00293DF8"/>
    <w:rsid w:val="002A215A"/>
    <w:rsid w:val="003801ED"/>
    <w:rsid w:val="0038173F"/>
    <w:rsid w:val="004C4064"/>
    <w:rsid w:val="00502047"/>
    <w:rsid w:val="005419C7"/>
    <w:rsid w:val="0065426B"/>
    <w:rsid w:val="006726A8"/>
    <w:rsid w:val="00691A26"/>
    <w:rsid w:val="006975D3"/>
    <w:rsid w:val="006C255E"/>
    <w:rsid w:val="00842ACB"/>
    <w:rsid w:val="00876613"/>
    <w:rsid w:val="008E263E"/>
    <w:rsid w:val="0092642B"/>
    <w:rsid w:val="00B63EFC"/>
    <w:rsid w:val="00BC5C20"/>
    <w:rsid w:val="00C51447"/>
    <w:rsid w:val="00C61764"/>
    <w:rsid w:val="00C72188"/>
    <w:rsid w:val="00D009BA"/>
    <w:rsid w:val="00D568C1"/>
    <w:rsid w:val="00DF1F71"/>
    <w:rsid w:val="00E34374"/>
    <w:rsid w:val="02874AC5"/>
    <w:rsid w:val="1A4517FC"/>
    <w:rsid w:val="1FFD3A29"/>
    <w:rsid w:val="454E1E93"/>
    <w:rsid w:val="461172C2"/>
    <w:rsid w:val="5C4359FF"/>
    <w:rsid w:val="61BF5F91"/>
    <w:rsid w:val="6EA6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kern w:val="2"/>
      <w:sz w:val="24"/>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等线 Light" w:hAnsi="等线 Light"/>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5"/>
    <w:semiHidden/>
    <w:unhideWhenUsed/>
    <w:qFormat/>
    <w:uiPriority w:val="9"/>
    <w:pPr>
      <w:keepNext/>
      <w:keepLines/>
      <w:spacing w:before="280" w:after="290" w:line="376" w:lineRule="auto"/>
      <w:outlineLvl w:val="3"/>
    </w:pPr>
    <w:rPr>
      <w:rFonts w:ascii="等线 Light" w:hAnsi="等线 Light"/>
      <w:b/>
      <w:bCs/>
      <w:sz w:val="28"/>
      <w:szCs w:val="28"/>
    </w:rPr>
  </w:style>
  <w:style w:type="paragraph" w:styleId="6">
    <w:name w:val="heading 6"/>
    <w:basedOn w:val="1"/>
    <w:next w:val="1"/>
    <w:link w:val="19"/>
    <w:semiHidden/>
    <w:unhideWhenUsed/>
    <w:qFormat/>
    <w:uiPriority w:val="9"/>
    <w:pPr>
      <w:keepNext/>
      <w:keepLines/>
      <w:spacing w:before="240" w:after="64" w:line="320" w:lineRule="auto"/>
      <w:outlineLvl w:val="5"/>
    </w:pPr>
    <w:rPr>
      <w:rFonts w:ascii="等线 Light" w:hAnsi="等线 Light"/>
      <w:b/>
      <w:bCs/>
      <w:szCs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Subtitle"/>
    <w:basedOn w:val="1"/>
    <w:next w:val="1"/>
    <w:link w:val="17"/>
    <w:qFormat/>
    <w:uiPriority w:val="11"/>
    <w:pPr>
      <w:spacing w:before="240" w:after="60" w:line="312" w:lineRule="auto"/>
      <w:jc w:val="center"/>
      <w:outlineLvl w:val="1"/>
    </w:pPr>
    <w:rPr>
      <w:rFonts w:ascii="等线" w:hAnsi="等线"/>
      <w:b/>
      <w:bCs/>
      <w:kern w:val="28"/>
      <w:sz w:val="32"/>
      <w:szCs w:val="32"/>
    </w:rPr>
  </w:style>
  <w:style w:type="paragraph" w:styleId="8">
    <w:name w:val="Normal (Web)"/>
    <w:basedOn w:val="1"/>
    <w:qFormat/>
    <w:uiPriority w:val="99"/>
    <w:pPr>
      <w:spacing w:before="100" w:beforeAutospacing="1" w:after="100" w:afterAutospacing="1" w:line="240" w:lineRule="auto"/>
    </w:pPr>
    <w:rPr>
      <w:kern w:val="0"/>
      <w:szCs w:val="24"/>
    </w:rPr>
  </w:style>
  <w:style w:type="paragraph" w:styleId="9">
    <w:name w:val="Title"/>
    <w:basedOn w:val="1"/>
    <w:next w:val="1"/>
    <w:link w:val="16"/>
    <w:qFormat/>
    <w:uiPriority w:val="10"/>
    <w:pPr>
      <w:spacing w:before="240" w:after="60"/>
      <w:jc w:val="center"/>
      <w:outlineLvl w:val="0"/>
    </w:pPr>
    <w:rPr>
      <w:rFonts w:ascii="等线 Light" w:hAnsi="等线 Light"/>
      <w:b/>
      <w:bCs/>
      <w:sz w:val="32"/>
      <w:szCs w:val="32"/>
    </w:rPr>
  </w:style>
  <w:style w:type="character" w:styleId="12">
    <w:name w:val="Strong"/>
    <w:basedOn w:val="11"/>
    <w:qFormat/>
    <w:uiPriority w:val="22"/>
    <w:rPr>
      <w:b/>
      <w:bCs/>
    </w:rPr>
  </w:style>
  <w:style w:type="character" w:customStyle="1" w:styleId="13">
    <w:name w:val="标题 1 字符"/>
    <w:basedOn w:val="11"/>
    <w:link w:val="2"/>
    <w:qFormat/>
    <w:uiPriority w:val="9"/>
    <w:rPr>
      <w:b/>
      <w:bCs/>
      <w:kern w:val="44"/>
      <w:sz w:val="44"/>
      <w:szCs w:val="44"/>
    </w:rPr>
  </w:style>
  <w:style w:type="character" w:customStyle="1" w:styleId="14">
    <w:name w:val="标题 3 字符"/>
    <w:basedOn w:val="11"/>
    <w:link w:val="4"/>
    <w:qFormat/>
    <w:uiPriority w:val="9"/>
    <w:rPr>
      <w:b/>
      <w:bCs/>
      <w:sz w:val="32"/>
      <w:szCs w:val="32"/>
    </w:rPr>
  </w:style>
  <w:style w:type="character" w:customStyle="1" w:styleId="15">
    <w:name w:val="标题 4 字符"/>
    <w:basedOn w:val="11"/>
    <w:link w:val="5"/>
    <w:qFormat/>
    <w:uiPriority w:val="9"/>
    <w:rPr>
      <w:rFonts w:ascii="等线 Light" w:hAnsi="等线 Light" w:cs="宋体"/>
      <w:b/>
      <w:bCs/>
      <w:sz w:val="28"/>
      <w:szCs w:val="28"/>
    </w:rPr>
  </w:style>
  <w:style w:type="character" w:customStyle="1" w:styleId="16">
    <w:name w:val="标题 字符"/>
    <w:basedOn w:val="11"/>
    <w:link w:val="9"/>
    <w:qFormat/>
    <w:uiPriority w:val="10"/>
    <w:rPr>
      <w:rFonts w:ascii="等线 Light" w:hAnsi="等线 Light" w:cs="宋体"/>
      <w:b/>
      <w:bCs/>
      <w:sz w:val="32"/>
      <w:szCs w:val="32"/>
    </w:rPr>
  </w:style>
  <w:style w:type="character" w:customStyle="1" w:styleId="17">
    <w:name w:val="副标题 字符"/>
    <w:basedOn w:val="11"/>
    <w:link w:val="7"/>
    <w:qFormat/>
    <w:uiPriority w:val="11"/>
    <w:rPr>
      <w:rFonts w:ascii="等线" w:hAnsi="等线"/>
      <w:b/>
      <w:bCs/>
      <w:kern w:val="28"/>
      <w:sz w:val="32"/>
      <w:szCs w:val="32"/>
    </w:rPr>
  </w:style>
  <w:style w:type="character" w:customStyle="1" w:styleId="18">
    <w:name w:val="标题 2 字符"/>
    <w:basedOn w:val="11"/>
    <w:link w:val="3"/>
    <w:qFormat/>
    <w:uiPriority w:val="9"/>
    <w:rPr>
      <w:rFonts w:ascii="等线 Light" w:hAnsi="等线 Light" w:cs="宋体"/>
      <w:b/>
      <w:bCs/>
      <w:sz w:val="32"/>
      <w:szCs w:val="32"/>
    </w:rPr>
  </w:style>
  <w:style w:type="character" w:customStyle="1" w:styleId="19">
    <w:name w:val="标题 6 字符"/>
    <w:basedOn w:val="11"/>
    <w:link w:val="6"/>
    <w:qFormat/>
    <w:uiPriority w:val="9"/>
    <w:rPr>
      <w:rFonts w:ascii="等线 Light" w:hAnsi="等线 Light" w:cs="宋体"/>
      <w:b/>
      <w:bCs/>
      <w:szCs w:val="24"/>
    </w:rPr>
  </w:style>
  <w:style w:type="character" w:customStyle="1" w:styleId="20">
    <w:name w:val="bookmark-item"/>
    <w:basedOn w:val="11"/>
    <w:qFormat/>
    <w:uiPriority w:val="0"/>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6515</Words>
  <Characters>7328</Characters>
  <Lines>53</Lines>
  <Paragraphs>15</Paragraphs>
  <TotalTime>11</TotalTime>
  <ScaleCrop>false</ScaleCrop>
  <LinksUpToDate>false</LinksUpToDate>
  <CharactersWithSpaces>7398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2025-07-10T02:39:00Z</dcterms:created>
  <dc:creator>Administrator</dc:creator>
  <cp:lastModifiedBy>莫莫</cp:lastModifiedBy>
  <dcterms:modified xsi:type="dcterms:W3CDTF">2025-09-10T08:40:00Z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E04867F96EA34923B2A681F1ABC81E79_13</vt:lpwstr>
  </property>
  <property fmtid="{D5CDD505-2E9C-101B-9397-08002B2CF9AE}" pid="3" name="KSOTemplateDocerSaveRecord">
    <vt:lpwstr>eyJoZGlkIjoiNGEyYmNkYTk4NzIyNDQ5NDVjNGNkODYwYWJmOTNkZTYiLCJ1c2VySWQiOiI1MDUxMzM2MjQifQ==</vt:lpwstr>
  </property>
  <property fmtid="{D5CDD505-2E9C-101B-9397-08002B2CF9AE}" pid="4" name="KSOProductBuildVer">
    <vt:lpwstr>2052-12.1.0.21915</vt:lpwstr>
  </property>
</Properties>
</file>