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33048">
      <w:pPr>
        <w:pStyle w:val="12"/>
        <w:spacing w:after="160" w:line="360" w:lineRule="auto"/>
        <w:jc w:val="center"/>
        <w:rPr>
          <w:rFonts w:ascii="新宋体" w:hAnsi="新宋体" w:eastAsia="新宋体"/>
          <w:b/>
          <w:sz w:val="36"/>
          <w:szCs w:val="36"/>
        </w:rPr>
      </w:pPr>
      <w:r>
        <w:rPr>
          <w:rFonts w:ascii="新宋体" w:hAnsi="新宋体" w:eastAsia="新宋体"/>
          <w:b/>
          <w:sz w:val="36"/>
          <w:szCs w:val="36"/>
        </w:rPr>
        <w:t>采购项目需求一览表</w:t>
      </w:r>
    </w:p>
    <w:tbl>
      <w:tblPr>
        <w:tblStyle w:val="9"/>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23"/>
        <w:gridCol w:w="700"/>
        <w:gridCol w:w="630"/>
        <w:gridCol w:w="7020"/>
      </w:tblGrid>
      <w:tr w14:paraId="7CCD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14:paraId="018AA885">
            <w:pPr>
              <w:spacing w:after="160" w:line="420" w:lineRule="exact"/>
              <w:jc w:val="center"/>
              <w:rPr>
                <w:rFonts w:ascii="宋体" w:hAnsi="宋体" w:eastAsia="宋体"/>
                <w:color w:val="auto"/>
              </w:rPr>
            </w:pPr>
            <w:r>
              <w:rPr>
                <w:rFonts w:ascii="宋体" w:hAnsi="宋体" w:eastAsia="宋体"/>
                <w:color w:val="auto"/>
              </w:rPr>
              <w:t>项号</w:t>
            </w:r>
          </w:p>
        </w:tc>
        <w:tc>
          <w:tcPr>
            <w:tcW w:w="1223" w:type="dxa"/>
            <w:tcBorders>
              <w:top w:val="single" w:color="auto" w:sz="4" w:space="0"/>
              <w:left w:val="single" w:color="auto" w:sz="4" w:space="0"/>
              <w:bottom w:val="single" w:color="auto" w:sz="4" w:space="0"/>
              <w:right w:val="single" w:color="auto" w:sz="4" w:space="0"/>
            </w:tcBorders>
            <w:vAlign w:val="center"/>
          </w:tcPr>
          <w:p w14:paraId="27035A08">
            <w:pPr>
              <w:spacing w:after="160" w:line="420" w:lineRule="exact"/>
              <w:jc w:val="center"/>
              <w:rPr>
                <w:rFonts w:ascii="宋体" w:hAnsi="宋体" w:eastAsia="宋体"/>
                <w:color w:val="auto"/>
              </w:rPr>
            </w:pPr>
            <w:r>
              <w:rPr>
                <w:rFonts w:ascii="宋体" w:hAnsi="宋体" w:eastAsia="宋体"/>
                <w:color w:val="auto"/>
              </w:rPr>
              <w:t>货物名称</w:t>
            </w:r>
          </w:p>
        </w:tc>
        <w:tc>
          <w:tcPr>
            <w:tcW w:w="700" w:type="dxa"/>
            <w:tcBorders>
              <w:top w:val="single" w:color="auto" w:sz="4" w:space="0"/>
              <w:left w:val="single" w:color="auto" w:sz="4" w:space="0"/>
              <w:bottom w:val="single" w:color="auto" w:sz="4" w:space="0"/>
              <w:right w:val="single" w:color="auto" w:sz="4" w:space="0"/>
            </w:tcBorders>
            <w:vAlign w:val="center"/>
          </w:tcPr>
          <w:p w14:paraId="52EFA7D6">
            <w:pPr>
              <w:spacing w:after="160" w:line="420" w:lineRule="exact"/>
              <w:jc w:val="center"/>
              <w:rPr>
                <w:rFonts w:ascii="宋体" w:hAnsi="宋体" w:eastAsia="宋体"/>
                <w:color w:val="auto"/>
              </w:rPr>
            </w:pPr>
            <w:r>
              <w:rPr>
                <w:rFonts w:ascii="宋体" w:hAnsi="宋体" w:eastAsia="宋体"/>
                <w:color w:val="auto"/>
              </w:rPr>
              <w:t>数量</w:t>
            </w:r>
          </w:p>
        </w:tc>
        <w:tc>
          <w:tcPr>
            <w:tcW w:w="630" w:type="dxa"/>
            <w:tcBorders>
              <w:top w:val="single" w:color="auto" w:sz="4" w:space="0"/>
              <w:left w:val="single" w:color="auto" w:sz="4" w:space="0"/>
              <w:bottom w:val="single" w:color="auto" w:sz="4" w:space="0"/>
              <w:right w:val="single" w:color="auto" w:sz="4" w:space="0"/>
            </w:tcBorders>
            <w:vAlign w:val="center"/>
          </w:tcPr>
          <w:p w14:paraId="0910A862">
            <w:pPr>
              <w:spacing w:after="160" w:line="420" w:lineRule="exact"/>
              <w:jc w:val="center"/>
              <w:rPr>
                <w:rFonts w:ascii="宋体" w:hAnsi="宋体" w:eastAsia="宋体"/>
                <w:color w:val="auto"/>
              </w:rPr>
            </w:pPr>
            <w:r>
              <w:rPr>
                <w:rFonts w:ascii="宋体" w:hAnsi="宋体" w:eastAsia="宋体"/>
                <w:color w:val="auto"/>
              </w:rPr>
              <w:t>单位</w:t>
            </w:r>
          </w:p>
        </w:tc>
        <w:tc>
          <w:tcPr>
            <w:tcW w:w="7020" w:type="dxa"/>
            <w:tcBorders>
              <w:top w:val="single" w:color="auto" w:sz="4" w:space="0"/>
              <w:left w:val="single" w:color="auto" w:sz="4" w:space="0"/>
              <w:bottom w:val="single" w:color="auto" w:sz="4" w:space="0"/>
              <w:right w:val="single" w:color="auto" w:sz="4" w:space="0"/>
            </w:tcBorders>
            <w:vAlign w:val="center"/>
          </w:tcPr>
          <w:p w14:paraId="53E84EB0">
            <w:pPr>
              <w:spacing w:after="160" w:line="420" w:lineRule="exact"/>
              <w:jc w:val="center"/>
              <w:rPr>
                <w:rFonts w:ascii="宋体" w:hAnsi="宋体" w:eastAsia="宋体"/>
                <w:color w:val="auto"/>
              </w:rPr>
            </w:pPr>
            <w:r>
              <w:rPr>
                <w:rFonts w:ascii="宋体" w:hAnsi="宋体" w:eastAsia="宋体"/>
                <w:color w:val="auto"/>
              </w:rPr>
              <w:t>技术参数及性能配置要求</w:t>
            </w:r>
          </w:p>
        </w:tc>
      </w:tr>
      <w:tr w14:paraId="5692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14:paraId="2E472BCF">
            <w:pPr>
              <w:keepNext w:val="0"/>
              <w:keepLines w:val="0"/>
              <w:pageBreakBefore w:val="0"/>
              <w:widowControl/>
              <w:kinsoku/>
              <w:wordWrap/>
              <w:overflowPunct/>
              <w:topLinePunct w:val="0"/>
              <w:bidi w:val="0"/>
              <w:snapToGrid/>
              <w:spacing w:after="160" w:line="400" w:lineRule="exact"/>
              <w:jc w:val="center"/>
              <w:textAlignment w:val="auto"/>
              <w:rPr>
                <w:rFonts w:ascii="宋体" w:hAnsi="宋体" w:eastAsia="宋体"/>
                <w:color w:val="auto"/>
              </w:rPr>
            </w:pPr>
            <w:r>
              <w:rPr>
                <w:rFonts w:ascii="宋体" w:hAnsi="宋体" w:eastAsia="宋体"/>
                <w:color w:val="auto"/>
              </w:rPr>
              <w:t>1</w:t>
            </w:r>
          </w:p>
        </w:tc>
        <w:tc>
          <w:tcPr>
            <w:tcW w:w="1223" w:type="dxa"/>
            <w:tcBorders>
              <w:top w:val="single" w:color="auto" w:sz="4" w:space="0"/>
              <w:left w:val="single" w:color="auto" w:sz="4" w:space="0"/>
              <w:bottom w:val="single" w:color="auto" w:sz="4" w:space="0"/>
              <w:right w:val="single" w:color="auto" w:sz="4" w:space="0"/>
            </w:tcBorders>
            <w:vAlign w:val="center"/>
          </w:tcPr>
          <w:p w14:paraId="543708F5">
            <w:pPr>
              <w:keepNext w:val="0"/>
              <w:keepLines w:val="0"/>
              <w:pageBreakBefore w:val="0"/>
              <w:widowControl/>
              <w:kinsoku/>
              <w:wordWrap/>
              <w:overflowPunct/>
              <w:topLinePunct w:val="0"/>
              <w:bidi w:val="0"/>
              <w:snapToGrid/>
              <w:spacing w:after="160" w:line="400" w:lineRule="exact"/>
              <w:jc w:val="center"/>
              <w:textAlignment w:val="auto"/>
              <w:rPr>
                <w:rFonts w:hint="default" w:ascii="宋体" w:hAnsi="宋体" w:eastAsia="宋体"/>
                <w:b/>
                <w:bCs/>
                <w:color w:val="auto"/>
                <w:lang w:val="en-US" w:eastAsia="zh-CN"/>
              </w:rPr>
            </w:pPr>
            <w:r>
              <w:rPr>
                <w:rFonts w:hint="eastAsia" w:ascii="宋体" w:hAnsi="宋体" w:eastAsia="宋体"/>
                <w:color w:val="auto"/>
                <w:lang w:val="en-US" w:eastAsia="zh-CN"/>
              </w:rPr>
              <w:t>杭州西奥</w:t>
            </w:r>
            <w:r>
              <w:rPr>
                <w:rFonts w:ascii="宋体" w:hAnsi="宋体" w:cs="微软雅黑"/>
                <w:b w:val="0"/>
                <w:bCs/>
                <w:color w:val="auto"/>
                <w:sz w:val="21"/>
                <w:szCs w:val="21"/>
                <w:shd w:val="clear" w:color="auto" w:fill="FFFFFF"/>
              </w:rPr>
              <w:t>XO-REZOII</w:t>
            </w:r>
          </w:p>
        </w:tc>
        <w:tc>
          <w:tcPr>
            <w:tcW w:w="700" w:type="dxa"/>
            <w:tcBorders>
              <w:top w:val="single" w:color="auto" w:sz="4" w:space="0"/>
              <w:left w:val="single" w:color="auto" w:sz="4" w:space="0"/>
              <w:bottom w:val="single" w:color="auto" w:sz="4" w:space="0"/>
              <w:right w:val="single" w:color="auto" w:sz="4" w:space="0"/>
            </w:tcBorders>
            <w:vAlign w:val="center"/>
          </w:tcPr>
          <w:p w14:paraId="20C7D411">
            <w:pPr>
              <w:keepNext w:val="0"/>
              <w:keepLines w:val="0"/>
              <w:pageBreakBefore w:val="0"/>
              <w:widowControl/>
              <w:kinsoku/>
              <w:wordWrap/>
              <w:overflowPunct/>
              <w:topLinePunct w:val="0"/>
              <w:bidi w:val="0"/>
              <w:snapToGrid/>
              <w:spacing w:after="160" w:line="400" w:lineRule="exact"/>
              <w:jc w:val="center"/>
              <w:textAlignment w:val="auto"/>
              <w:rPr>
                <w:rFonts w:ascii="宋体" w:hAnsi="宋体" w:eastAsia="宋体"/>
                <w:color w:val="auto"/>
              </w:rPr>
            </w:pPr>
            <w:r>
              <w:rPr>
                <w:rFonts w:hint="eastAsia" w:ascii="宋体" w:hAnsi="宋体" w:eastAsia="宋体"/>
                <w:color w:val="auto"/>
              </w:rPr>
              <w:t>1</w:t>
            </w:r>
          </w:p>
        </w:tc>
        <w:tc>
          <w:tcPr>
            <w:tcW w:w="630" w:type="dxa"/>
            <w:tcBorders>
              <w:top w:val="single" w:color="auto" w:sz="4" w:space="0"/>
              <w:left w:val="single" w:color="auto" w:sz="4" w:space="0"/>
              <w:bottom w:val="single" w:color="auto" w:sz="4" w:space="0"/>
              <w:right w:val="single" w:color="auto" w:sz="4" w:space="0"/>
            </w:tcBorders>
            <w:vAlign w:val="center"/>
          </w:tcPr>
          <w:p w14:paraId="1121A764">
            <w:pPr>
              <w:keepNext w:val="0"/>
              <w:keepLines w:val="0"/>
              <w:pageBreakBefore w:val="0"/>
              <w:widowControl/>
              <w:kinsoku/>
              <w:wordWrap/>
              <w:overflowPunct/>
              <w:topLinePunct w:val="0"/>
              <w:bidi w:val="0"/>
              <w:snapToGrid/>
              <w:spacing w:after="160" w:line="400" w:lineRule="exact"/>
              <w:jc w:val="center"/>
              <w:textAlignment w:val="auto"/>
              <w:rPr>
                <w:rFonts w:ascii="宋体" w:hAnsi="宋体" w:eastAsia="宋体"/>
                <w:b/>
                <w:color w:val="auto"/>
              </w:rPr>
            </w:pPr>
            <w:r>
              <w:rPr>
                <w:rFonts w:ascii="宋体" w:hAnsi="宋体" w:eastAsia="宋体"/>
                <w:color w:val="auto"/>
              </w:rPr>
              <w:t>台</w:t>
            </w:r>
          </w:p>
        </w:tc>
        <w:tc>
          <w:tcPr>
            <w:tcW w:w="7020" w:type="dxa"/>
            <w:tcBorders>
              <w:top w:val="single" w:color="auto" w:sz="4" w:space="0"/>
              <w:left w:val="single" w:color="auto" w:sz="4" w:space="0"/>
              <w:bottom w:val="single" w:color="auto" w:sz="4" w:space="0"/>
              <w:right w:val="single" w:color="auto" w:sz="4" w:space="0"/>
            </w:tcBorders>
            <w:vAlign w:val="center"/>
          </w:tcPr>
          <w:p w14:paraId="06C83093">
            <w:pPr>
              <w:pStyle w:val="17"/>
              <w:keepNext w:val="0"/>
              <w:keepLines w:val="0"/>
              <w:pageBreakBefore w:val="0"/>
              <w:widowControl/>
              <w:numPr>
                <w:ilvl w:val="0"/>
                <w:numId w:val="0"/>
              </w:numPr>
              <w:kinsoku/>
              <w:wordWrap/>
              <w:overflowPunct/>
              <w:topLinePunct w:val="0"/>
              <w:bidi w:val="0"/>
              <w:snapToGrid/>
              <w:spacing w:line="400" w:lineRule="exact"/>
              <w:ind w:leftChars="0"/>
              <w:textAlignment w:val="auto"/>
              <w:rPr>
                <w:rFonts w:ascii="宋体" w:hAnsi="宋体" w:eastAsia="宋体"/>
                <w:color w:val="auto"/>
                <w:kern w:val="2"/>
                <w:shd w:val="clear" w:color="auto" w:fill="auto"/>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一、</w:t>
            </w:r>
            <w:r>
              <w:rPr>
                <w:rFonts w:hint="eastAsia" w:ascii="宋体" w:hAnsi="宋体" w:eastAsia="宋体"/>
                <w:color w:val="auto"/>
                <w:kern w:val="2"/>
                <w:shd w:val="clear" w:color="auto" w:fill="auto"/>
              </w:rPr>
              <w:t>电梯技术参数：</w:t>
            </w:r>
          </w:p>
          <w:p w14:paraId="39FBCE8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电梯数量：1台（DT1）有机房乘客电梯</w:t>
            </w:r>
          </w:p>
          <w:p w14:paraId="752A23A4">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1、额定载重量：1050公斤；</w:t>
            </w:r>
          </w:p>
          <w:p w14:paraId="7DEB768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2、层/站/门：8层8站8门</w:t>
            </w:r>
          </w:p>
          <w:p w14:paraId="2076E2C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3、额定速度：1.75米/秒；</w:t>
            </w:r>
          </w:p>
          <w:p w14:paraId="0ACFC703">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4、井道净空尺寸宽×深：2400mm×2400mm；</w:t>
            </w:r>
          </w:p>
          <w:p w14:paraId="53A57C97">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5、轿厢净尺寸宽×深×高：1600mm×1500mm×2400mm；</w:t>
            </w:r>
          </w:p>
          <w:p w14:paraId="760B077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 xml:space="preserve">6、顶层净高：4300； </w:t>
            </w:r>
          </w:p>
          <w:p w14:paraId="74F4A95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 xml:space="preserve">7、底坑净深：2000； </w:t>
            </w:r>
          </w:p>
          <w:p w14:paraId="5192DAE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8、中分开门净尺寸宽×高：900mm×2100mm；</w:t>
            </w:r>
          </w:p>
          <w:p w14:paraId="383E7F7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9、提升高度：27.1米；</w:t>
            </w:r>
          </w:p>
          <w:p w14:paraId="68F4DAD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p>
          <w:p w14:paraId="0D3AD797">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★二、技术要求：</w:t>
            </w:r>
          </w:p>
          <w:p w14:paraId="2D977BF9">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1、通讯方式：串行通讯技术。</w:t>
            </w:r>
          </w:p>
          <w:p w14:paraId="547FF279">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 xml:space="preserve">2、控制方式：单控 </w:t>
            </w:r>
          </w:p>
          <w:p w14:paraId="4FB7F63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3、供电方式：电压：380V±7%  频率：50Hz 三相；照明电源：电压：220V频率：50Hz 单相。</w:t>
            </w:r>
          </w:p>
          <w:p w14:paraId="734C904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4、特殊功能：无障碍功能(后壁扶手、残疾人操纵箱、语音报站、后壁镜面、盲文按钮)</w:t>
            </w:r>
          </w:p>
          <w:p w14:paraId="4F96801D">
            <w:pPr>
              <w:keepNext w:val="0"/>
              <w:keepLines w:val="0"/>
              <w:pageBreakBefore w:val="0"/>
              <w:widowControl/>
              <w:kinsoku/>
              <w:wordWrap/>
              <w:overflowPunct/>
              <w:topLinePunct w:val="0"/>
              <w:bidi w:val="0"/>
              <w:snapToGrid/>
              <w:spacing w:line="400" w:lineRule="exact"/>
              <w:textAlignment w:val="auto"/>
              <w:rPr>
                <w:rFonts w:hint="eastAsia" w:ascii="宋体" w:hAnsi="宋体" w:eastAsia="宋体" w:cs="宋体"/>
                <w:color w:val="auto"/>
                <w:sz w:val="21"/>
                <w:szCs w:val="21"/>
              </w:rPr>
            </w:pPr>
          </w:p>
          <w:p w14:paraId="26C5B3B6">
            <w:pPr>
              <w:keepNext w:val="0"/>
              <w:keepLines w:val="0"/>
              <w:pageBreakBefore w:val="0"/>
              <w:widowControl/>
              <w:kinsoku/>
              <w:wordWrap/>
              <w:overflowPunct/>
              <w:topLinePunct w:val="0"/>
              <w:bidi w:val="0"/>
              <w:snapToGrid/>
              <w:spacing w:line="400" w:lineRule="exact"/>
              <w:textAlignment w:val="auto"/>
              <w:rPr>
                <w:rFonts w:ascii="宋体" w:hAnsi="宋体" w:eastAsia="宋体"/>
                <w:color w:val="auto"/>
                <w:kern w:val="2"/>
                <w:shd w:val="clear" w:color="auto" w:fill="auto"/>
              </w:rPr>
            </w:pPr>
            <w:r>
              <w:rPr>
                <w:rFonts w:hint="eastAsia" w:ascii="宋体" w:hAnsi="宋体" w:eastAsia="宋体" w:cs="宋体"/>
                <w:color w:val="auto"/>
                <w:sz w:val="21"/>
                <w:szCs w:val="21"/>
              </w:rPr>
              <w:t>★</w:t>
            </w:r>
            <w:r>
              <w:rPr>
                <w:rFonts w:hint="eastAsia" w:ascii="宋体" w:hAnsi="宋体" w:eastAsia="宋体"/>
                <w:color w:val="auto"/>
                <w:kern w:val="2"/>
                <w:shd w:val="clear" w:color="auto" w:fill="auto"/>
              </w:rPr>
              <w:t>三、主要部件及要求</w:t>
            </w:r>
          </w:p>
          <w:p w14:paraId="3BAA5ADE">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bCs/>
                <w:color w:val="auto"/>
                <w:lang w:val="en-US" w:eastAsia="zh-CN"/>
              </w:rPr>
            </w:pPr>
            <w:r>
              <w:rPr>
                <w:rFonts w:ascii="宋体" w:hAnsi="宋体" w:eastAsia="宋体" w:cs="Arial"/>
                <w:color w:val="auto"/>
              </w:rPr>
              <w:t>1.</w:t>
            </w:r>
            <w:r>
              <w:rPr>
                <w:rFonts w:hint="eastAsia" w:ascii="宋体" w:hAnsi="宋体" w:eastAsia="宋体"/>
                <w:bCs/>
                <w:color w:val="auto"/>
              </w:rPr>
              <w:t>控制系统：双32位微机控制，采用闭环矢量技术，电梯运行更平稳可靠；</w:t>
            </w:r>
            <w:r>
              <w:rPr>
                <w:rFonts w:hint="eastAsia" w:ascii="宋体" w:hAnsi="宋体" w:cs="微软雅黑"/>
                <w:color w:val="auto"/>
                <w:szCs w:val="21"/>
                <w:shd w:val="clear" w:color="auto" w:fill="FFFFFF"/>
              </w:rPr>
              <w:t>采用无铅电路板，灵活处理系统兼顾优异的环保性能</w:t>
            </w:r>
            <w:r>
              <w:rPr>
                <w:rFonts w:hint="eastAsia" w:ascii="宋体" w:hAnsi="宋体" w:eastAsia="宋体" w:cs="微软雅黑"/>
                <w:color w:val="auto"/>
                <w:szCs w:val="21"/>
                <w:shd w:val="clear" w:color="auto" w:fill="FFFFFF"/>
                <w:lang w:val="en-US" w:eastAsia="zh-CN"/>
              </w:rPr>
              <w:t>;</w:t>
            </w:r>
            <w:r>
              <w:rPr>
                <w:rFonts w:hint="eastAsia" w:ascii="宋体" w:hAnsi="宋体" w:cs="微软雅黑"/>
                <w:color w:val="auto"/>
                <w:szCs w:val="21"/>
                <w:shd w:val="clear" w:color="auto" w:fill="FFFFFF"/>
              </w:rPr>
              <w:t>宽电压设计，±20%电压波动范围认证</w:t>
            </w:r>
            <w:r>
              <w:rPr>
                <w:rFonts w:hint="eastAsia" w:ascii="宋体" w:hAnsi="宋体" w:eastAsia="宋体"/>
                <w:bCs/>
                <w:color w:val="auto"/>
              </w:rPr>
              <w:t>（</w:t>
            </w:r>
            <w:r>
              <w:rPr>
                <w:rFonts w:hint="eastAsia" w:ascii="宋体" w:hAnsi="宋体" w:eastAsia="宋体"/>
                <w:bCs/>
                <w:color w:val="auto"/>
                <w:lang w:eastAsia="zh-CN"/>
              </w:rPr>
              <w:t>电梯验收时</w:t>
            </w:r>
            <w:r>
              <w:rPr>
                <w:rFonts w:hint="eastAsia" w:ascii="宋体" w:hAnsi="宋体" w:eastAsia="宋体"/>
                <w:bCs/>
                <w:color w:val="auto"/>
              </w:rPr>
              <w:t>必须提供</w:t>
            </w:r>
            <w:r>
              <w:rPr>
                <w:rFonts w:hint="eastAsia" w:ascii="宋体" w:hAnsi="宋体" w:eastAsia="宋体" w:cs="Arial"/>
                <w:color w:val="auto"/>
                <w:lang w:val="en-US" w:eastAsia="zh-CN"/>
              </w:rPr>
              <w:t>经CNAS 认证的第三方证明材料复印件</w:t>
            </w:r>
            <w:r>
              <w:rPr>
                <w:rFonts w:hint="eastAsia" w:ascii="宋体" w:hAnsi="宋体" w:eastAsia="宋体"/>
                <w:bCs/>
                <w:color w:val="auto"/>
              </w:rPr>
              <w:t>）</w:t>
            </w:r>
            <w:r>
              <w:rPr>
                <w:rFonts w:hint="eastAsia" w:ascii="宋体" w:hAnsi="宋体" w:eastAsia="宋体" w:cs="微软雅黑"/>
                <w:color w:val="auto"/>
                <w:szCs w:val="21"/>
                <w:shd w:val="clear" w:color="auto" w:fill="FFFFFF"/>
                <w:lang w:eastAsia="zh-CN"/>
              </w:rPr>
              <w:t>。</w:t>
            </w:r>
            <w:r>
              <w:rPr>
                <w:rFonts w:hint="eastAsia" w:ascii="宋体" w:hAnsi="宋体" w:eastAsia="宋体" w:cs="微软雅黑"/>
                <w:color w:val="auto"/>
                <w:szCs w:val="21"/>
                <w:shd w:val="clear" w:color="auto" w:fill="FFFFFF"/>
                <w:lang w:val="en-US" w:eastAsia="zh-CN"/>
              </w:rPr>
              <w:t>控制柜(含控制装置及调速装置)为原厂原品牌制造。</w:t>
            </w:r>
          </w:p>
          <w:p w14:paraId="7F35191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bCs/>
                <w:color w:val="auto"/>
                <w:lang w:val="en-US" w:eastAsia="zh-CN"/>
              </w:rPr>
            </w:pPr>
            <w:r>
              <w:rPr>
                <w:rFonts w:hint="eastAsia" w:ascii="宋体" w:hAnsi="宋体" w:eastAsia="宋体" w:cs="Arial"/>
                <w:color w:val="auto"/>
              </w:rPr>
              <w:t>2.</w:t>
            </w:r>
            <w:r>
              <w:rPr>
                <w:rFonts w:hint="eastAsia" w:ascii="宋体" w:hAnsi="宋体" w:eastAsia="宋体"/>
                <w:bCs/>
                <w:color w:val="auto"/>
              </w:rPr>
              <w:t>曳引系统：永磁同步无齿轮曳引机，主机无需励磁，启动电流极小，传动效率极高，外转子设计使转子与制动轮合二为一，超高安全性。</w:t>
            </w:r>
            <w:r>
              <w:rPr>
                <w:rFonts w:hint="eastAsia" w:ascii="宋体" w:hAnsi="宋体" w:cs="微软雅黑"/>
                <w:color w:val="auto"/>
                <w:szCs w:val="21"/>
                <w:shd w:val="clear" w:color="auto" w:fill="FFFFFF"/>
              </w:rPr>
              <w:t>超静音制动器，进口吸音原件和减震材料，使主机噪音更低、更安静</w:t>
            </w:r>
            <w:r>
              <w:rPr>
                <w:rFonts w:hint="eastAsia" w:ascii="宋体" w:hAnsi="宋体" w:eastAsia="宋体" w:cs="微软雅黑"/>
                <w:color w:val="auto"/>
                <w:szCs w:val="21"/>
                <w:shd w:val="clear" w:color="auto" w:fill="FFFFFF"/>
                <w:lang w:eastAsia="zh-CN"/>
              </w:rPr>
              <w:t>；标配检修零速停车，进一步提高抱闸寿命。</w:t>
            </w:r>
            <w:r>
              <w:rPr>
                <w:rFonts w:hint="eastAsia" w:ascii="宋体" w:hAnsi="宋体" w:eastAsia="宋体" w:cs="微软雅黑"/>
                <w:color w:val="auto"/>
                <w:szCs w:val="21"/>
                <w:shd w:val="clear" w:color="auto" w:fill="FFFFFF"/>
                <w:lang w:val="en-US" w:eastAsia="zh-CN"/>
              </w:rPr>
              <w:t>曳引机为原厂原品牌制造。</w:t>
            </w:r>
          </w:p>
          <w:p w14:paraId="56F1422E">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bCs/>
                <w:color w:val="auto"/>
                <w:lang w:val="en-US" w:eastAsia="zh-CN"/>
              </w:rPr>
            </w:pPr>
            <w:r>
              <w:rPr>
                <w:rFonts w:hint="eastAsia" w:ascii="宋体" w:hAnsi="宋体" w:eastAsia="宋体" w:cs="Arial"/>
                <w:color w:val="auto"/>
                <w:lang w:val="en-US" w:eastAsia="zh-CN"/>
              </w:rPr>
              <w:t>3</w:t>
            </w:r>
            <w:r>
              <w:rPr>
                <w:rFonts w:hint="eastAsia" w:ascii="宋体" w:hAnsi="宋体" w:eastAsia="宋体" w:cs="Arial"/>
                <w:color w:val="auto"/>
              </w:rPr>
              <w:t>.</w:t>
            </w:r>
            <w:r>
              <w:rPr>
                <w:rFonts w:hint="eastAsia" w:ascii="宋体" w:hAnsi="宋体" w:eastAsia="宋体"/>
                <w:bCs/>
                <w:color w:val="auto"/>
              </w:rPr>
              <w:t>门机系统：</w:t>
            </w:r>
            <w:r>
              <w:rPr>
                <w:rFonts w:hint="eastAsia" w:ascii="宋体" w:hAnsi="宋体" w:cs="微软雅黑"/>
                <w:color w:val="auto"/>
                <w:szCs w:val="21"/>
                <w:shd w:val="clear" w:color="auto" w:fill="FFFFFF"/>
              </w:rPr>
              <w:t>采用VVVF变压变频技术驱动门机系统</w:t>
            </w:r>
            <w:r>
              <w:rPr>
                <w:rFonts w:hint="eastAsia" w:ascii="宋体" w:hAnsi="宋体" w:eastAsia="宋体" w:cs="微软雅黑"/>
                <w:color w:val="auto"/>
                <w:szCs w:val="21"/>
                <w:shd w:val="clear" w:color="auto" w:fill="FFFFFF"/>
                <w:lang w:eastAsia="zh-CN"/>
              </w:rPr>
              <w:t>；无连杆同步齿形带传动，降低故障率；采用宽电压防烧毁技术，门电机防水防尘等级标配IP54，大大降低了门电机进水隐患。</w:t>
            </w:r>
            <w:r>
              <w:rPr>
                <w:rFonts w:hint="eastAsia" w:ascii="宋体" w:hAnsi="宋体" w:eastAsia="宋体" w:cs="微软雅黑"/>
                <w:color w:val="auto"/>
                <w:szCs w:val="21"/>
                <w:shd w:val="clear" w:color="auto" w:fill="FFFFFF"/>
                <w:lang w:val="en-US" w:eastAsia="zh-CN"/>
              </w:rPr>
              <w:t>门机为原厂原品牌制造。</w:t>
            </w:r>
          </w:p>
          <w:p w14:paraId="07DFB814">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eastAsia="zh-CN"/>
              </w:rPr>
            </w:pPr>
            <w:r>
              <w:rPr>
                <w:rFonts w:hint="eastAsia" w:ascii="宋体" w:hAnsi="宋体" w:eastAsia="宋体" w:cs="Arial"/>
                <w:color w:val="auto"/>
                <w:lang w:val="en-US" w:eastAsia="zh-CN"/>
              </w:rPr>
              <w:t>4</w:t>
            </w:r>
            <w:r>
              <w:rPr>
                <w:rFonts w:hint="eastAsia" w:ascii="宋体" w:hAnsi="宋体" w:eastAsia="宋体" w:cs="Arial"/>
                <w:color w:val="auto"/>
              </w:rPr>
              <w:t>.</w:t>
            </w:r>
            <w:r>
              <w:rPr>
                <w:rFonts w:hint="eastAsia" w:ascii="宋体" w:hAnsi="宋体" w:eastAsia="宋体"/>
                <w:bCs/>
                <w:color w:val="auto"/>
              </w:rPr>
              <w:t>光幕为原厂原品牌，且最大光束数为 194 束，防护等级 IP65，响应时间≦65ms</w:t>
            </w:r>
            <w:r>
              <w:rPr>
                <w:rFonts w:hint="eastAsia" w:ascii="宋体" w:hAnsi="宋体" w:eastAsia="宋体"/>
                <w:bCs/>
                <w:color w:val="auto"/>
                <w:lang w:eastAsia="zh-CN"/>
              </w:rPr>
              <w:t>。</w:t>
            </w:r>
            <w:r>
              <w:rPr>
                <w:rFonts w:hint="eastAsia" w:ascii="宋体" w:hAnsi="宋体" w:eastAsia="宋体"/>
                <w:bCs/>
                <w:color w:val="auto"/>
              </w:rPr>
              <w:t>（</w:t>
            </w:r>
            <w:r>
              <w:rPr>
                <w:rFonts w:hint="eastAsia" w:ascii="宋体" w:hAnsi="宋体" w:eastAsia="宋体"/>
                <w:bCs/>
                <w:color w:val="auto"/>
                <w:lang w:eastAsia="zh-CN"/>
              </w:rPr>
              <w:t>电梯验收时</w:t>
            </w:r>
            <w:r>
              <w:rPr>
                <w:rFonts w:hint="eastAsia" w:ascii="宋体" w:hAnsi="宋体" w:eastAsia="宋体"/>
                <w:bCs/>
                <w:color w:val="auto"/>
              </w:rPr>
              <w:t>必须提供</w:t>
            </w:r>
            <w:r>
              <w:rPr>
                <w:rFonts w:hint="eastAsia" w:ascii="宋体" w:hAnsi="宋体" w:eastAsia="宋体" w:cs="Arial"/>
                <w:color w:val="auto"/>
                <w:lang w:val="en-US" w:eastAsia="zh-CN"/>
              </w:rPr>
              <w:t>经CNAS 认证的第三方证明材料复印件</w:t>
            </w:r>
            <w:r>
              <w:rPr>
                <w:rFonts w:hint="eastAsia" w:ascii="宋体" w:hAnsi="宋体" w:eastAsia="宋体"/>
                <w:bCs/>
                <w:color w:val="auto"/>
              </w:rPr>
              <w:t>）</w:t>
            </w:r>
            <w:r>
              <w:rPr>
                <w:rFonts w:hint="eastAsia" w:ascii="宋体" w:hAnsi="宋体" w:eastAsia="宋体"/>
                <w:bCs/>
                <w:color w:val="auto"/>
                <w:lang w:eastAsia="zh-CN"/>
              </w:rPr>
              <w:t>。</w:t>
            </w:r>
          </w:p>
          <w:p w14:paraId="141FDA16">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ascii="宋体" w:hAnsi="宋体" w:eastAsia="宋体"/>
                <w:bCs/>
                <w:color w:val="auto"/>
              </w:rPr>
            </w:pPr>
            <w:r>
              <w:rPr>
                <w:rFonts w:hint="eastAsia" w:ascii="宋体" w:hAnsi="宋体" w:eastAsia="宋体" w:cs="Arial"/>
                <w:color w:val="auto"/>
                <w:lang w:val="en-US" w:eastAsia="zh-CN"/>
              </w:rPr>
              <w:t>5</w:t>
            </w:r>
            <w:r>
              <w:rPr>
                <w:rFonts w:hint="eastAsia" w:ascii="宋体" w:hAnsi="宋体" w:eastAsia="宋体" w:cs="Arial"/>
                <w:color w:val="auto"/>
              </w:rPr>
              <w:t>.</w:t>
            </w:r>
            <w:r>
              <w:rPr>
                <w:rFonts w:hint="eastAsia" w:ascii="宋体" w:hAnsi="宋体" w:eastAsia="宋体"/>
                <w:bCs/>
                <w:color w:val="auto"/>
              </w:rPr>
              <w:t>轿厢：轿体要求制作精良，连接紧固，抗变形能力强，符合相关安全标准，装置渐进式安全钳；轿厢装设到站钟设备；轿厢内饰精致典雅，面板采用发纹不锈钢材质，照明和换气设备良好耐用，给人以舒适的感觉。</w:t>
            </w:r>
          </w:p>
          <w:p w14:paraId="486A6268">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bCs/>
                <w:color w:val="auto"/>
                <w:lang w:val="en-US" w:eastAsia="zh-CN"/>
              </w:rPr>
            </w:pPr>
            <w:r>
              <w:rPr>
                <w:rFonts w:hint="eastAsia" w:ascii="宋体" w:hAnsi="宋体" w:eastAsia="宋体" w:cs="Arial"/>
                <w:color w:val="auto"/>
                <w:lang w:val="en-US" w:eastAsia="zh-CN"/>
              </w:rPr>
              <w:t>6</w:t>
            </w:r>
            <w:r>
              <w:rPr>
                <w:rFonts w:hint="eastAsia" w:ascii="宋体" w:hAnsi="宋体" w:eastAsia="宋体" w:cs="Arial"/>
                <w:color w:val="auto"/>
              </w:rPr>
              <w:t>.</w:t>
            </w:r>
            <w:r>
              <w:rPr>
                <w:rFonts w:hint="eastAsia" w:ascii="宋体" w:hAnsi="宋体" w:eastAsia="宋体" w:cs="Arial"/>
                <w:color w:val="auto"/>
                <w:lang w:val="en-US" w:eastAsia="zh-CN"/>
              </w:rPr>
              <w:t>能效等级：在经过国际权威机构能耗测试后，其各项指标均达到较高水准，被认定为节能（ISO25745）A+++级产品，且乘运质量等级达到Good级。</w:t>
            </w:r>
            <w:r>
              <w:rPr>
                <w:rFonts w:hint="eastAsia" w:ascii="宋体" w:hAnsi="宋体" w:eastAsia="宋体"/>
                <w:bCs/>
                <w:color w:val="auto"/>
              </w:rPr>
              <w:t>（</w:t>
            </w:r>
            <w:r>
              <w:rPr>
                <w:rFonts w:hint="eastAsia" w:ascii="宋体" w:hAnsi="宋体" w:eastAsia="宋体"/>
                <w:bCs/>
                <w:color w:val="auto"/>
                <w:lang w:eastAsia="zh-CN"/>
              </w:rPr>
              <w:t>电梯验收时</w:t>
            </w:r>
            <w:r>
              <w:rPr>
                <w:rFonts w:hint="eastAsia" w:ascii="宋体" w:hAnsi="宋体" w:eastAsia="宋体"/>
                <w:bCs/>
                <w:color w:val="auto"/>
              </w:rPr>
              <w:t>必须提供</w:t>
            </w:r>
            <w:r>
              <w:rPr>
                <w:rFonts w:hint="eastAsia" w:ascii="宋体" w:hAnsi="宋体" w:eastAsia="宋体" w:cs="Arial"/>
                <w:color w:val="auto"/>
                <w:lang w:val="en-US" w:eastAsia="zh-CN"/>
              </w:rPr>
              <w:t>第三方证明材料复印件）。</w:t>
            </w:r>
          </w:p>
          <w:p w14:paraId="49CE296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7.曳引机、控制柜（含控制装置和调速装置）、限速器、安全钳、缓冲器、轿厢意外移动保护装置、轿厢上行超速保护装置、安全电路，门锁均为原厂原品牌设计制造。</w:t>
            </w:r>
          </w:p>
          <w:p w14:paraId="74F0E9C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Arial"/>
                <w:color w:val="auto"/>
                <w:lang w:val="en-US" w:eastAsia="zh-CN"/>
              </w:rPr>
            </w:pPr>
            <w:r>
              <w:rPr>
                <w:rFonts w:hint="eastAsia" w:ascii="宋体" w:hAnsi="宋体" w:eastAsia="宋体"/>
                <w:bCs/>
                <w:color w:val="auto"/>
                <w:lang w:val="en-US" w:eastAsia="zh-CN"/>
              </w:rPr>
              <w:t>8.所投电梯按钮经过2000万次或以上寿命测试，试验后按钮通断功能正常、结构无明显损坏，测试应包括“上行、下行、楼层”按钮。</w:t>
            </w:r>
            <w:r>
              <w:rPr>
                <w:rFonts w:hint="eastAsia" w:ascii="宋体" w:hAnsi="宋体" w:eastAsia="宋体"/>
                <w:bCs/>
                <w:color w:val="auto"/>
              </w:rPr>
              <w:t>（</w:t>
            </w:r>
            <w:r>
              <w:rPr>
                <w:rFonts w:hint="eastAsia" w:ascii="宋体" w:hAnsi="宋体" w:eastAsia="宋体"/>
                <w:bCs/>
                <w:color w:val="auto"/>
                <w:lang w:eastAsia="zh-CN"/>
              </w:rPr>
              <w:t>电梯验收时</w:t>
            </w:r>
            <w:r>
              <w:rPr>
                <w:rFonts w:hint="eastAsia" w:ascii="宋体" w:hAnsi="宋体" w:eastAsia="宋体"/>
                <w:bCs/>
                <w:color w:val="auto"/>
              </w:rPr>
              <w:t>必须提供</w:t>
            </w:r>
            <w:r>
              <w:rPr>
                <w:rFonts w:hint="eastAsia" w:ascii="宋体" w:hAnsi="宋体" w:eastAsia="宋体" w:cs="Arial"/>
                <w:color w:val="auto"/>
                <w:lang w:val="en-US" w:eastAsia="zh-CN"/>
              </w:rPr>
              <w:t>经CNAS 认证的第三方证明材料复印件）。</w:t>
            </w:r>
          </w:p>
          <w:p w14:paraId="18778DF9">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cs="Arial"/>
                <w:color w:val="auto"/>
                <w:lang w:val="en-US" w:eastAsia="zh-CN"/>
              </w:rPr>
              <w:t>9.电梯三个安全部件限速器、安全钳、缓冲器，模拟寿命需≥20 年。（</w:t>
            </w:r>
            <w:r>
              <w:rPr>
                <w:rFonts w:hint="eastAsia" w:ascii="宋体" w:hAnsi="宋体" w:eastAsia="宋体"/>
                <w:bCs/>
                <w:color w:val="auto"/>
                <w:lang w:eastAsia="zh-CN"/>
              </w:rPr>
              <w:t>电梯验收时</w:t>
            </w:r>
            <w:r>
              <w:rPr>
                <w:rFonts w:hint="eastAsia" w:ascii="宋体" w:hAnsi="宋体" w:eastAsia="宋体" w:cs="Arial"/>
                <w:color w:val="auto"/>
                <w:lang w:val="en-US" w:eastAsia="zh-CN"/>
              </w:rPr>
              <w:t>需提供 CNAS 认证的第三方证明材</w:t>
            </w:r>
            <w:r>
              <w:rPr>
                <w:rFonts w:hint="eastAsia" w:ascii="宋体" w:hAnsi="宋体" w:eastAsia="宋体"/>
                <w:bCs/>
                <w:color w:val="auto"/>
                <w:lang w:val="en-US" w:eastAsia="zh-CN"/>
              </w:rPr>
              <w:t>料复印件）。</w:t>
            </w:r>
          </w:p>
          <w:p w14:paraId="70BC82E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Arial"/>
                <w:color w:val="auto"/>
                <w:lang w:val="en-US" w:eastAsia="zh-CN"/>
              </w:rPr>
            </w:pPr>
            <w:r>
              <w:rPr>
                <w:rFonts w:hint="eastAsia" w:ascii="宋体" w:hAnsi="宋体" w:eastAsia="宋体"/>
                <w:bCs/>
                <w:color w:val="auto"/>
                <w:lang w:val="en-US" w:eastAsia="zh-CN"/>
              </w:rPr>
              <w:t>10.电梯需具有门机运行实时监控管理系统以及门机控制系统。(</w:t>
            </w:r>
            <w:r>
              <w:rPr>
                <w:rFonts w:hint="eastAsia" w:ascii="宋体" w:hAnsi="宋体" w:eastAsia="宋体"/>
                <w:bCs/>
                <w:color w:val="auto"/>
                <w:lang w:eastAsia="zh-CN"/>
              </w:rPr>
              <w:t>电梯验收时</w:t>
            </w:r>
            <w:r>
              <w:rPr>
                <w:rFonts w:hint="eastAsia" w:ascii="宋体" w:hAnsi="宋体" w:eastAsia="宋体"/>
                <w:bCs/>
                <w:color w:val="auto"/>
                <w:lang w:val="en-US" w:eastAsia="zh-CN"/>
              </w:rPr>
              <w:t>需提供</w:t>
            </w:r>
            <w:r>
              <w:rPr>
                <w:rFonts w:hint="eastAsia" w:ascii="宋体" w:hAnsi="宋体" w:eastAsia="宋体" w:cs="Arial"/>
                <w:color w:val="auto"/>
                <w:lang w:val="en-US" w:eastAsia="zh-CN"/>
              </w:rPr>
              <w:t>第三方证明材料复印件）。</w:t>
            </w:r>
          </w:p>
          <w:p w14:paraId="26ABAA5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Arial"/>
                <w:color w:val="auto"/>
                <w:lang w:val="en-US" w:eastAsia="zh-CN"/>
              </w:rPr>
            </w:pPr>
            <w:r>
              <w:rPr>
                <w:rFonts w:hint="eastAsia" w:ascii="宋体" w:hAnsi="宋体" w:eastAsia="宋体" w:cs="Arial"/>
                <w:color w:val="auto"/>
                <w:lang w:val="en-US" w:eastAsia="zh-CN"/>
              </w:rPr>
              <w:t>11.轿厢板材及厅轿门板材采用耐腐蚀的发纹不锈钢材料，需经过盐雾测试，测试标准为依据GB/T10125-2021，中性盐雾试验240小时后，保护等级</w:t>
            </w:r>
            <w:r>
              <w:rPr>
                <w:rFonts w:hint="default" w:ascii="Arial" w:hAnsi="Arial" w:eastAsia="宋体" w:cs="Arial"/>
                <w:color w:val="auto"/>
                <w:lang w:val="en-US" w:eastAsia="zh-CN"/>
              </w:rPr>
              <w:t>≥</w:t>
            </w:r>
            <w:r>
              <w:rPr>
                <w:rFonts w:hint="eastAsia" w:ascii="宋体" w:hAnsi="宋体" w:eastAsia="宋体" w:cs="Arial"/>
                <w:color w:val="auto"/>
                <w:lang w:val="en-US" w:eastAsia="zh-CN"/>
              </w:rPr>
              <w:t>9级。（</w:t>
            </w:r>
            <w:r>
              <w:rPr>
                <w:rFonts w:hint="eastAsia" w:ascii="宋体" w:hAnsi="宋体" w:eastAsia="宋体"/>
                <w:bCs/>
                <w:color w:val="auto"/>
                <w:lang w:eastAsia="zh-CN"/>
              </w:rPr>
              <w:t>电梯验收时</w:t>
            </w:r>
            <w:r>
              <w:rPr>
                <w:rFonts w:hint="eastAsia" w:ascii="宋体" w:hAnsi="宋体" w:eastAsia="宋体" w:cs="Arial"/>
                <w:color w:val="auto"/>
                <w:lang w:val="en-US" w:eastAsia="zh-CN"/>
              </w:rPr>
              <w:t>必须提供经CNAS 认证的第三方证明材料复印件）。</w:t>
            </w:r>
          </w:p>
          <w:p w14:paraId="31F24A25">
            <w:pPr>
              <w:pStyle w:val="2"/>
              <w:rPr>
                <w:rFonts w:hint="eastAsia"/>
                <w:color w:val="auto"/>
              </w:rPr>
            </w:pPr>
          </w:p>
          <w:p w14:paraId="55F4BA6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采购单位有权对以上主要部件聘请专家及第三方专业机构进行核查，核查费用由采购人支付，若出现弄虚作假情况，一经查实，采购单位将予以退货或换货，核查费用由成交人支付，并将追究成交人法律责任并要求供应商赔偿相关损失。</w:t>
            </w:r>
          </w:p>
          <w:p w14:paraId="7E99D5F0">
            <w:pPr>
              <w:keepNext w:val="0"/>
              <w:keepLines w:val="0"/>
              <w:pageBreakBefore w:val="0"/>
              <w:widowControl/>
              <w:kinsoku/>
              <w:wordWrap/>
              <w:overflowPunct/>
              <w:topLinePunct w:val="0"/>
              <w:bidi w:val="0"/>
              <w:snapToGrid/>
              <w:spacing w:line="400" w:lineRule="exact"/>
              <w:textAlignment w:val="auto"/>
              <w:rPr>
                <w:rFonts w:hint="eastAsia" w:ascii="宋体" w:hAnsi="宋体" w:eastAsia="宋体"/>
                <w:color w:val="auto"/>
                <w:kern w:val="2"/>
                <w:shd w:val="clear" w:color="auto" w:fill="auto"/>
              </w:rPr>
            </w:pPr>
          </w:p>
          <w:p w14:paraId="23BD72D5">
            <w:pPr>
              <w:keepNext w:val="0"/>
              <w:keepLines w:val="0"/>
              <w:pageBreakBefore w:val="0"/>
              <w:widowControl/>
              <w:kinsoku/>
              <w:wordWrap/>
              <w:overflowPunct/>
              <w:topLinePunct w:val="0"/>
              <w:bidi w:val="0"/>
              <w:snapToGrid/>
              <w:spacing w:line="400" w:lineRule="exact"/>
              <w:textAlignment w:val="auto"/>
              <w:rPr>
                <w:rFonts w:ascii="宋体" w:hAnsi="宋体" w:eastAsia="宋体"/>
                <w:color w:val="auto"/>
                <w:kern w:val="2"/>
                <w:shd w:val="clear" w:color="auto" w:fill="auto"/>
              </w:rPr>
            </w:pPr>
            <w:r>
              <w:rPr>
                <w:rFonts w:hint="eastAsia" w:ascii="宋体" w:hAnsi="宋体" w:eastAsia="宋体"/>
                <w:color w:val="auto"/>
                <w:kern w:val="2"/>
                <w:shd w:val="clear" w:color="auto" w:fill="auto"/>
              </w:rPr>
              <w:t>四、基本功能要求</w:t>
            </w:r>
          </w:p>
          <w:p w14:paraId="3C3C09C5">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全集选控制\满载直驶\自动返回基站\错误指令取消\楼层间距自学习\锁梯开关\开关门按钮\厅外、轿内开门时间分别控制\自动校正运行\就近平层功能\关门等待取消\本层厅外重开门\无称重力矩补偿\末站换向预指示\司机服务\独立服务\防捣乱保护\自动泊梯\厅外呼梯切除开关\静态定位功能\轿顶检修\静音模式\语音安抚\斜线撒电流\检修零速停车\自动再平层\端站保护\故障自诊断\驱动设备过热保护\钢丝绳滑自检功能\关门力矩保护\速度异常检测功能\接触器异常检测功能\光幕门保护\超载报警\轿厢开、关门延时保护\抱闸异常检测功能\紧急消防返基站\厅门自学习\安全救助功能\五方对讲\轿厢警铃\机房紧急电动运行\轿厢内应急照明\轿内照明风扇自动控制\显示节能\轿厢到站钟\厅外及轿厢方向指示\轿内、厅外显示\轿内消防状态提醒显示\按钮微亮\通讯自动监测保护\层站召唤智能登记\开门保持时间智能调节\控制系统温度监测\智能舒适运行\按钮粘连自动识别\消防员功能</w:t>
            </w:r>
          </w:p>
          <w:p w14:paraId="28846B86">
            <w:pPr>
              <w:pStyle w:val="2"/>
              <w:keepNext w:val="0"/>
              <w:keepLines w:val="0"/>
              <w:pageBreakBefore w:val="0"/>
              <w:widowControl/>
              <w:kinsoku/>
              <w:wordWrap/>
              <w:overflowPunct/>
              <w:topLinePunct w:val="0"/>
              <w:bidi w:val="0"/>
              <w:snapToGrid/>
              <w:spacing w:line="400" w:lineRule="exact"/>
              <w:textAlignment w:val="auto"/>
              <w:rPr>
                <w:color w:val="auto"/>
              </w:rPr>
            </w:pPr>
          </w:p>
          <w:p w14:paraId="5529FEF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Times New Roman"/>
                <w:bCs/>
                <w:color w:val="auto"/>
                <w:lang w:val="en-US" w:eastAsia="zh-CN"/>
              </w:rPr>
            </w:pPr>
            <w:r>
              <w:rPr>
                <w:rFonts w:hint="eastAsia" w:ascii="宋体" w:hAnsi="宋体" w:eastAsia="宋体" w:cs="Times New Roman"/>
                <w:bCs/>
                <w:color w:val="auto"/>
                <w:lang w:val="en-US" w:eastAsia="zh-CN"/>
              </w:rPr>
              <w:t>五、装饰材质要求</w:t>
            </w:r>
          </w:p>
          <w:p w14:paraId="62154C5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Times New Roman"/>
                <w:bCs/>
                <w:color w:val="auto"/>
                <w:lang w:val="en-US" w:eastAsia="zh-CN"/>
              </w:rPr>
            </w:pPr>
            <w:r>
              <w:rPr>
                <w:rFonts w:hint="eastAsia" w:ascii="宋体" w:hAnsi="宋体" w:eastAsia="宋体" w:cs="Times New Roman"/>
                <w:bCs/>
                <w:color w:val="auto"/>
                <w:lang w:val="en-US" w:eastAsia="zh-CN"/>
              </w:rPr>
              <w:t>1、轿厢装饰要求：发纹不锈钢；</w:t>
            </w:r>
          </w:p>
          <w:p w14:paraId="6369D70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Times New Roman"/>
                <w:bCs/>
                <w:color w:val="auto"/>
                <w:lang w:val="en-US" w:eastAsia="zh-CN"/>
              </w:rPr>
            </w:pPr>
            <w:r>
              <w:rPr>
                <w:rFonts w:hint="eastAsia" w:ascii="宋体" w:hAnsi="宋体" w:eastAsia="宋体" w:cs="Times New Roman"/>
                <w:bCs/>
                <w:color w:val="auto"/>
                <w:lang w:val="en-US" w:eastAsia="zh-CN"/>
              </w:rPr>
              <w:t>2、轿厢门：发纹不锈钢；</w:t>
            </w:r>
          </w:p>
          <w:p w14:paraId="6B2E7549">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 xml:space="preserve">3、层门：发纹不锈钢； </w:t>
            </w:r>
          </w:p>
          <w:p w14:paraId="5B120A66">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4、门框：发纹不锈钢；</w:t>
            </w:r>
          </w:p>
          <w:p w14:paraId="217033F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5、轿门地坎：</w:t>
            </w:r>
            <w:r>
              <w:rPr>
                <w:rFonts w:hint="eastAsia" w:ascii="宋体" w:hAnsi="宋体" w:cs="宋体"/>
                <w:color w:val="auto"/>
                <w:spacing w:val="0"/>
                <w:w w:val="100"/>
                <w:kern w:val="0"/>
                <w:szCs w:val="21"/>
              </w:rPr>
              <w:t>硬质铝合金</w:t>
            </w:r>
            <w:r>
              <w:rPr>
                <w:rFonts w:hint="eastAsia" w:ascii="宋体" w:hAnsi="宋体" w:eastAsia="宋体"/>
                <w:bCs/>
                <w:color w:val="auto"/>
                <w:lang w:val="en-US" w:eastAsia="zh-CN"/>
              </w:rPr>
              <w:t>；</w:t>
            </w:r>
          </w:p>
          <w:p w14:paraId="5766D23E">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6、轿厢地面：PVC地板；</w:t>
            </w:r>
          </w:p>
          <w:p w14:paraId="1302B26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7、轿厢显示器：</w:t>
            </w:r>
            <w:r>
              <w:rPr>
                <w:rFonts w:hint="eastAsia" w:ascii="宋体" w:hAnsi="宋体" w:cs="宋体"/>
                <w:color w:val="auto"/>
                <w:spacing w:val="0"/>
                <w:w w:val="100"/>
                <w:kern w:val="0"/>
                <w:szCs w:val="21"/>
                <w:lang w:val="en-US" w:eastAsia="zh-CN"/>
              </w:rPr>
              <w:t>一体式操纵箱，发纹不锈钢盲文按钮。</w:t>
            </w:r>
          </w:p>
          <w:p w14:paraId="5E774970">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8、厅门召唤箱：</w:t>
            </w:r>
            <w:r>
              <w:rPr>
                <w:rFonts w:hint="eastAsia" w:ascii="宋体" w:hAnsi="宋体" w:cs="宋体"/>
                <w:color w:val="auto"/>
                <w:spacing w:val="0"/>
                <w:w w:val="100"/>
                <w:szCs w:val="21"/>
                <w:shd w:val="clear" w:color="auto" w:fill="FFFFFF"/>
              </w:rPr>
              <w:t>无底盒外召，段码显示，发纹不锈钢</w:t>
            </w:r>
            <w:r>
              <w:rPr>
                <w:rFonts w:hint="eastAsia" w:ascii="宋体" w:hAnsi="宋体" w:eastAsia="宋体" w:cs="宋体"/>
                <w:color w:val="auto"/>
                <w:spacing w:val="0"/>
                <w:w w:val="100"/>
                <w:kern w:val="0"/>
                <w:szCs w:val="21"/>
                <w:lang w:val="en-US" w:eastAsia="zh-CN"/>
              </w:rPr>
              <w:t>盲文按钮。</w:t>
            </w:r>
          </w:p>
          <w:p w14:paraId="6D3F53D4">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color w:val="auto"/>
                <w:kern w:val="2"/>
                <w:shd w:val="clear" w:color="auto" w:fill="auto"/>
                <w:lang w:val="en-US" w:eastAsia="zh-CN"/>
              </w:rPr>
            </w:pPr>
            <w:r>
              <w:rPr>
                <w:rFonts w:hint="eastAsia" w:ascii="宋体" w:hAnsi="宋体" w:eastAsia="宋体"/>
                <w:bCs/>
                <w:color w:val="auto"/>
                <w:lang w:val="en-US" w:eastAsia="zh-CN"/>
              </w:rPr>
              <w:t>9、吊顶：</w:t>
            </w:r>
            <w:r>
              <w:rPr>
                <w:rFonts w:hint="eastAsia" w:ascii="宋体" w:hAnsi="宋体" w:cs="宋体"/>
                <w:color w:val="auto"/>
                <w:spacing w:val="0"/>
                <w:w w:val="100"/>
                <w:kern w:val="0"/>
                <w:szCs w:val="21"/>
                <w:lang w:val="en-US" w:eastAsia="zh-CN"/>
              </w:rPr>
              <w:t>发纹不锈钢+LED+亚克力</w:t>
            </w:r>
            <w:r>
              <w:rPr>
                <w:rFonts w:hint="eastAsia" w:ascii="宋体" w:hAnsi="宋体" w:cs="宋体"/>
                <w:color w:val="auto"/>
                <w:spacing w:val="0"/>
                <w:w w:val="100"/>
                <w:kern w:val="0"/>
                <w:szCs w:val="21"/>
              </w:rPr>
              <w:t>。</w:t>
            </w:r>
          </w:p>
        </w:tc>
      </w:tr>
      <w:tr w14:paraId="2FED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14:paraId="04B8776A">
            <w:pPr>
              <w:keepNext w:val="0"/>
              <w:keepLines w:val="0"/>
              <w:pageBreakBefore w:val="0"/>
              <w:widowControl/>
              <w:kinsoku/>
              <w:wordWrap/>
              <w:overflowPunct/>
              <w:topLinePunct w:val="0"/>
              <w:bidi w:val="0"/>
              <w:snapToGrid/>
              <w:spacing w:after="160" w:line="400" w:lineRule="exact"/>
              <w:jc w:val="center"/>
              <w:textAlignment w:val="auto"/>
              <w:rPr>
                <w:rFonts w:hint="eastAsia" w:ascii="宋体" w:hAnsi="宋体" w:eastAsia="宋体"/>
                <w:color w:val="auto"/>
                <w:lang w:val="en-US" w:eastAsia="zh-CN"/>
              </w:rPr>
            </w:pPr>
            <w:r>
              <w:rPr>
                <w:rFonts w:hint="eastAsia" w:ascii="宋体" w:hAnsi="宋体" w:eastAsia="宋体"/>
                <w:color w:val="auto"/>
                <w:lang w:val="en-US" w:eastAsia="zh-CN"/>
              </w:rPr>
              <w:t>2</w:t>
            </w:r>
          </w:p>
        </w:tc>
        <w:tc>
          <w:tcPr>
            <w:tcW w:w="1223" w:type="dxa"/>
            <w:tcBorders>
              <w:top w:val="single" w:color="auto" w:sz="4" w:space="0"/>
              <w:left w:val="single" w:color="auto" w:sz="4" w:space="0"/>
              <w:bottom w:val="single" w:color="auto" w:sz="4" w:space="0"/>
              <w:right w:val="single" w:color="auto" w:sz="4" w:space="0"/>
            </w:tcBorders>
            <w:vAlign w:val="center"/>
          </w:tcPr>
          <w:p w14:paraId="2E42B831">
            <w:pPr>
              <w:keepNext w:val="0"/>
              <w:keepLines w:val="0"/>
              <w:pageBreakBefore w:val="0"/>
              <w:widowControl/>
              <w:kinsoku/>
              <w:wordWrap/>
              <w:overflowPunct/>
              <w:topLinePunct w:val="0"/>
              <w:bidi w:val="0"/>
              <w:snapToGrid/>
              <w:spacing w:after="160" w:line="400" w:lineRule="exact"/>
              <w:jc w:val="center"/>
              <w:textAlignment w:val="auto"/>
              <w:rPr>
                <w:rFonts w:hint="default" w:ascii="宋体" w:hAnsi="宋体" w:eastAsia="宋体"/>
                <w:color w:val="auto"/>
                <w:lang w:val="en-US" w:eastAsia="zh-CN"/>
              </w:rPr>
            </w:pPr>
            <w:r>
              <w:rPr>
                <w:rFonts w:hint="eastAsia" w:ascii="宋体" w:hAnsi="宋体" w:eastAsia="宋体"/>
                <w:color w:val="auto"/>
                <w:lang w:val="en-US" w:eastAsia="zh-CN"/>
              </w:rPr>
              <w:t>杭州西奥</w:t>
            </w:r>
            <w:r>
              <w:rPr>
                <w:rFonts w:ascii="宋体" w:hAnsi="宋体" w:cs="微软雅黑"/>
                <w:b w:val="0"/>
                <w:bCs/>
                <w:color w:val="auto"/>
                <w:sz w:val="21"/>
                <w:szCs w:val="21"/>
                <w:shd w:val="clear" w:color="auto" w:fill="FFFFFF"/>
              </w:rPr>
              <w:t>XO-</w:t>
            </w:r>
            <w:r>
              <w:rPr>
                <w:rFonts w:hint="eastAsia" w:ascii="宋体" w:hAnsi="宋体" w:eastAsia="宋体" w:cs="微软雅黑"/>
                <w:b w:val="0"/>
                <w:bCs/>
                <w:color w:val="auto"/>
                <w:sz w:val="21"/>
                <w:szCs w:val="21"/>
                <w:shd w:val="clear" w:color="auto" w:fill="FFFFFF"/>
                <w:lang w:val="en-US" w:eastAsia="zh-CN"/>
              </w:rPr>
              <w:t>CONIII</w:t>
            </w:r>
          </w:p>
        </w:tc>
        <w:tc>
          <w:tcPr>
            <w:tcW w:w="700" w:type="dxa"/>
            <w:tcBorders>
              <w:top w:val="single" w:color="auto" w:sz="4" w:space="0"/>
              <w:left w:val="single" w:color="auto" w:sz="4" w:space="0"/>
              <w:bottom w:val="single" w:color="auto" w:sz="4" w:space="0"/>
              <w:right w:val="single" w:color="auto" w:sz="4" w:space="0"/>
            </w:tcBorders>
            <w:vAlign w:val="center"/>
          </w:tcPr>
          <w:p w14:paraId="7D0DD395">
            <w:pPr>
              <w:keepNext w:val="0"/>
              <w:keepLines w:val="0"/>
              <w:pageBreakBefore w:val="0"/>
              <w:widowControl/>
              <w:kinsoku/>
              <w:wordWrap/>
              <w:overflowPunct/>
              <w:topLinePunct w:val="0"/>
              <w:bidi w:val="0"/>
              <w:snapToGrid/>
              <w:spacing w:after="160" w:line="400" w:lineRule="exact"/>
              <w:jc w:val="center"/>
              <w:textAlignment w:val="auto"/>
              <w:rPr>
                <w:rFonts w:hint="eastAsia" w:ascii="宋体" w:hAnsi="宋体" w:eastAsia="宋体"/>
                <w:color w:val="auto"/>
              </w:rPr>
            </w:pPr>
            <w:r>
              <w:rPr>
                <w:rFonts w:hint="eastAsia" w:ascii="宋体" w:hAnsi="宋体" w:eastAsia="宋体"/>
                <w:color w:val="auto"/>
              </w:rPr>
              <w:t>1</w:t>
            </w:r>
          </w:p>
        </w:tc>
        <w:tc>
          <w:tcPr>
            <w:tcW w:w="630" w:type="dxa"/>
            <w:tcBorders>
              <w:top w:val="single" w:color="auto" w:sz="4" w:space="0"/>
              <w:left w:val="single" w:color="auto" w:sz="4" w:space="0"/>
              <w:bottom w:val="single" w:color="auto" w:sz="4" w:space="0"/>
              <w:right w:val="single" w:color="auto" w:sz="4" w:space="0"/>
            </w:tcBorders>
            <w:vAlign w:val="center"/>
          </w:tcPr>
          <w:p w14:paraId="7E11CFE9">
            <w:pPr>
              <w:keepNext w:val="0"/>
              <w:keepLines w:val="0"/>
              <w:pageBreakBefore w:val="0"/>
              <w:widowControl/>
              <w:kinsoku/>
              <w:wordWrap/>
              <w:overflowPunct/>
              <w:topLinePunct w:val="0"/>
              <w:bidi w:val="0"/>
              <w:snapToGrid/>
              <w:spacing w:after="160" w:line="400" w:lineRule="exact"/>
              <w:jc w:val="center"/>
              <w:textAlignment w:val="auto"/>
              <w:rPr>
                <w:rFonts w:ascii="宋体" w:hAnsi="宋体" w:eastAsia="宋体"/>
                <w:color w:val="auto"/>
              </w:rPr>
            </w:pPr>
            <w:r>
              <w:rPr>
                <w:rFonts w:ascii="宋体" w:hAnsi="宋体" w:eastAsia="宋体"/>
                <w:color w:val="auto"/>
              </w:rPr>
              <w:t>台</w:t>
            </w:r>
          </w:p>
        </w:tc>
        <w:tc>
          <w:tcPr>
            <w:tcW w:w="7020" w:type="dxa"/>
            <w:tcBorders>
              <w:top w:val="single" w:color="auto" w:sz="4" w:space="0"/>
              <w:left w:val="single" w:color="auto" w:sz="4" w:space="0"/>
              <w:bottom w:val="single" w:color="auto" w:sz="4" w:space="0"/>
              <w:right w:val="single" w:color="auto" w:sz="4" w:space="0"/>
            </w:tcBorders>
            <w:vAlign w:val="center"/>
          </w:tcPr>
          <w:p w14:paraId="23FA154E">
            <w:pPr>
              <w:pStyle w:val="17"/>
              <w:keepNext w:val="0"/>
              <w:keepLines w:val="0"/>
              <w:pageBreakBefore w:val="0"/>
              <w:widowControl/>
              <w:numPr>
                <w:ilvl w:val="0"/>
                <w:numId w:val="0"/>
              </w:numPr>
              <w:kinsoku/>
              <w:wordWrap/>
              <w:overflowPunct/>
              <w:topLinePunct w:val="0"/>
              <w:bidi w:val="0"/>
              <w:snapToGrid/>
              <w:spacing w:line="400" w:lineRule="exact"/>
              <w:ind w:leftChars="0"/>
              <w:textAlignment w:val="auto"/>
              <w:rPr>
                <w:rFonts w:ascii="宋体" w:hAnsi="宋体" w:eastAsia="宋体"/>
                <w:color w:val="auto"/>
                <w:kern w:val="2"/>
                <w:shd w:val="clear" w:color="auto" w:fill="auto"/>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一、</w:t>
            </w:r>
            <w:r>
              <w:rPr>
                <w:rFonts w:hint="eastAsia" w:ascii="宋体" w:hAnsi="宋体" w:eastAsia="宋体"/>
                <w:color w:val="auto"/>
                <w:kern w:val="2"/>
                <w:shd w:val="clear" w:color="auto" w:fill="auto"/>
              </w:rPr>
              <w:t>电梯技术参数：</w:t>
            </w:r>
          </w:p>
          <w:p w14:paraId="1BB8488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电梯数量：1台（DT2）有机房乘客电梯</w:t>
            </w:r>
          </w:p>
          <w:p w14:paraId="6FB88EC8">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1、额定载重量：1600公斤；</w:t>
            </w:r>
          </w:p>
          <w:p w14:paraId="0F956465">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2、层/站/门：8层8站8门</w:t>
            </w:r>
          </w:p>
          <w:p w14:paraId="3C5766D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3、额定速度：1.75米/秒；</w:t>
            </w:r>
          </w:p>
          <w:p w14:paraId="1C63E219">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4、井道净空尺寸宽×深：2500mm×3100mm；</w:t>
            </w:r>
          </w:p>
          <w:p w14:paraId="2926A5E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5、轿厢净尺寸宽×深×高：1400mm×2400mm×2300mm；</w:t>
            </w:r>
          </w:p>
          <w:p w14:paraId="295A10F8">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 xml:space="preserve">6、顶层净高：4300； </w:t>
            </w:r>
          </w:p>
          <w:p w14:paraId="15CF1FEE">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 xml:space="preserve">7、底坑净深：2000； </w:t>
            </w:r>
          </w:p>
          <w:p w14:paraId="4C8332E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8、中分开门净尺寸宽×高：1100mm×2100mm；</w:t>
            </w:r>
          </w:p>
          <w:p w14:paraId="009CF9C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9、提升高度：27.1米；</w:t>
            </w:r>
          </w:p>
          <w:p w14:paraId="333B2EDB">
            <w:pPr>
              <w:keepNext w:val="0"/>
              <w:keepLines w:val="0"/>
              <w:pageBreakBefore w:val="0"/>
              <w:widowControl/>
              <w:kinsoku/>
              <w:wordWrap/>
              <w:overflowPunct/>
              <w:topLinePunct w:val="0"/>
              <w:bidi w:val="0"/>
              <w:snapToGrid/>
              <w:spacing w:line="400" w:lineRule="exact"/>
              <w:textAlignment w:val="auto"/>
              <w:rPr>
                <w:rFonts w:hint="eastAsia" w:ascii="宋体" w:hAnsi="宋体" w:eastAsia="宋体" w:cs="宋体"/>
                <w:color w:val="auto"/>
                <w:sz w:val="21"/>
                <w:szCs w:val="21"/>
              </w:rPr>
            </w:pPr>
          </w:p>
          <w:p w14:paraId="75A339ED">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★二、技术要求：</w:t>
            </w:r>
          </w:p>
          <w:p w14:paraId="5383781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1、通讯方式：串行通讯技术。</w:t>
            </w:r>
          </w:p>
          <w:p w14:paraId="3817FAA3">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 xml:space="preserve">2、控制方式：单控 </w:t>
            </w:r>
          </w:p>
          <w:p w14:paraId="282366B3">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3、供电方式：电压：380V±7%  频率：50Hz 三相；照明电源：电压：220V频率：50Hz 单相。</w:t>
            </w:r>
          </w:p>
          <w:p w14:paraId="09C0E3D6">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微软雅黑"/>
                <w:color w:val="auto"/>
                <w:szCs w:val="21"/>
                <w:shd w:val="clear" w:color="auto" w:fill="FFFFFF"/>
                <w:lang w:val="en-US" w:eastAsia="zh-CN"/>
              </w:rPr>
            </w:pPr>
            <w:r>
              <w:rPr>
                <w:rFonts w:hint="eastAsia" w:ascii="宋体" w:hAnsi="宋体" w:eastAsia="宋体" w:cs="微软雅黑"/>
                <w:color w:val="auto"/>
                <w:szCs w:val="21"/>
                <w:shd w:val="clear" w:color="auto" w:fill="FFFFFF"/>
                <w:lang w:val="en-US" w:eastAsia="zh-CN"/>
              </w:rPr>
              <w:t>4、特殊功能：无障碍功能(后壁扶手、残疾人操纵箱、语音报站、后壁镜面、盲文按钮)</w:t>
            </w:r>
          </w:p>
          <w:p w14:paraId="29C43BF3">
            <w:pPr>
              <w:pStyle w:val="2"/>
              <w:keepNext w:val="0"/>
              <w:keepLines w:val="0"/>
              <w:pageBreakBefore w:val="0"/>
              <w:widowControl/>
              <w:kinsoku/>
              <w:wordWrap/>
              <w:overflowPunct/>
              <w:topLinePunct w:val="0"/>
              <w:bidi w:val="0"/>
              <w:snapToGrid/>
              <w:spacing w:line="400" w:lineRule="exact"/>
              <w:textAlignment w:val="auto"/>
              <w:rPr>
                <w:rFonts w:hint="default"/>
                <w:color w:val="auto"/>
                <w:lang w:val="en-US" w:eastAsia="zh-CN"/>
              </w:rPr>
            </w:pPr>
          </w:p>
          <w:p w14:paraId="3946B483">
            <w:pPr>
              <w:keepNext w:val="0"/>
              <w:keepLines w:val="0"/>
              <w:pageBreakBefore w:val="0"/>
              <w:widowControl/>
              <w:kinsoku/>
              <w:wordWrap/>
              <w:overflowPunct/>
              <w:topLinePunct w:val="0"/>
              <w:bidi w:val="0"/>
              <w:snapToGrid/>
              <w:spacing w:line="400" w:lineRule="exact"/>
              <w:textAlignment w:val="auto"/>
              <w:rPr>
                <w:rFonts w:ascii="宋体" w:hAnsi="宋体" w:eastAsia="宋体"/>
                <w:color w:val="auto"/>
                <w:kern w:val="2"/>
                <w:shd w:val="clear" w:color="auto" w:fill="auto"/>
              </w:rPr>
            </w:pPr>
            <w:r>
              <w:rPr>
                <w:rFonts w:hint="eastAsia" w:ascii="宋体" w:hAnsi="宋体" w:eastAsia="宋体" w:cs="宋体"/>
                <w:color w:val="auto"/>
                <w:sz w:val="21"/>
                <w:szCs w:val="21"/>
              </w:rPr>
              <w:t>★</w:t>
            </w:r>
            <w:r>
              <w:rPr>
                <w:rFonts w:hint="eastAsia" w:ascii="宋体" w:hAnsi="宋体" w:eastAsia="宋体"/>
                <w:color w:val="auto"/>
                <w:kern w:val="2"/>
                <w:shd w:val="clear" w:color="auto" w:fill="auto"/>
              </w:rPr>
              <w:t>三、主要部件及要求</w:t>
            </w:r>
          </w:p>
          <w:p w14:paraId="0C2EEE43">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bCs/>
                <w:color w:val="auto"/>
                <w:lang w:val="en-US" w:eastAsia="zh-CN"/>
              </w:rPr>
            </w:pPr>
            <w:r>
              <w:rPr>
                <w:rFonts w:ascii="宋体" w:hAnsi="宋体" w:eastAsia="宋体" w:cs="Arial"/>
                <w:color w:val="auto"/>
              </w:rPr>
              <w:t>1.</w:t>
            </w:r>
            <w:r>
              <w:rPr>
                <w:rFonts w:hint="eastAsia" w:ascii="宋体" w:hAnsi="宋体" w:eastAsia="宋体"/>
                <w:bCs/>
                <w:color w:val="auto"/>
              </w:rPr>
              <w:t>控制系统：双32位微机控制，采用闭环矢量技术，电梯运行更平稳可靠；</w:t>
            </w:r>
            <w:r>
              <w:rPr>
                <w:rFonts w:hint="eastAsia" w:ascii="宋体" w:hAnsi="宋体" w:cs="微软雅黑"/>
                <w:color w:val="auto"/>
                <w:szCs w:val="21"/>
                <w:shd w:val="clear" w:color="auto" w:fill="FFFFFF"/>
              </w:rPr>
              <w:t>采用无铅电路板，灵活处理系统兼顾优异的环保性能</w:t>
            </w:r>
            <w:r>
              <w:rPr>
                <w:rFonts w:hint="eastAsia" w:ascii="宋体" w:hAnsi="宋体" w:eastAsia="宋体" w:cs="微软雅黑"/>
                <w:color w:val="auto"/>
                <w:szCs w:val="21"/>
                <w:shd w:val="clear" w:color="auto" w:fill="FFFFFF"/>
                <w:lang w:val="en-US" w:eastAsia="zh-CN"/>
              </w:rPr>
              <w:t>;</w:t>
            </w:r>
            <w:r>
              <w:rPr>
                <w:rFonts w:hint="eastAsia" w:ascii="宋体" w:hAnsi="宋体" w:cs="微软雅黑"/>
                <w:color w:val="auto"/>
                <w:szCs w:val="21"/>
                <w:shd w:val="clear" w:color="auto" w:fill="FFFFFF"/>
              </w:rPr>
              <w:t>宽电压设计，±20%电压波动范围认证</w:t>
            </w:r>
            <w:r>
              <w:rPr>
                <w:rFonts w:hint="eastAsia" w:ascii="宋体" w:hAnsi="宋体" w:eastAsia="宋体"/>
                <w:bCs/>
                <w:color w:val="auto"/>
              </w:rPr>
              <w:t>（</w:t>
            </w:r>
            <w:r>
              <w:rPr>
                <w:rFonts w:hint="eastAsia" w:ascii="宋体" w:hAnsi="宋体" w:eastAsia="宋体"/>
                <w:bCs/>
                <w:color w:val="auto"/>
                <w:lang w:eastAsia="zh-CN"/>
              </w:rPr>
              <w:t>电梯验收时</w:t>
            </w:r>
            <w:r>
              <w:rPr>
                <w:rFonts w:hint="eastAsia" w:ascii="宋体" w:hAnsi="宋体" w:eastAsia="宋体"/>
                <w:bCs/>
                <w:color w:val="auto"/>
              </w:rPr>
              <w:t>必须提供</w:t>
            </w:r>
            <w:r>
              <w:rPr>
                <w:rFonts w:hint="eastAsia" w:ascii="宋体" w:hAnsi="宋体" w:eastAsia="宋体" w:cs="Arial"/>
                <w:color w:val="auto"/>
                <w:lang w:val="en-US" w:eastAsia="zh-CN"/>
              </w:rPr>
              <w:t>经CNAS 认证的第三方证明材料复印件</w:t>
            </w:r>
            <w:r>
              <w:rPr>
                <w:rFonts w:hint="eastAsia" w:ascii="宋体" w:hAnsi="宋体" w:eastAsia="宋体"/>
                <w:bCs/>
                <w:color w:val="auto"/>
              </w:rPr>
              <w:t>）</w:t>
            </w:r>
            <w:r>
              <w:rPr>
                <w:rFonts w:hint="eastAsia" w:ascii="宋体" w:hAnsi="宋体" w:eastAsia="宋体" w:cs="微软雅黑"/>
                <w:color w:val="auto"/>
                <w:szCs w:val="21"/>
                <w:shd w:val="clear" w:color="auto" w:fill="FFFFFF"/>
                <w:lang w:eastAsia="zh-CN"/>
              </w:rPr>
              <w:t>。</w:t>
            </w:r>
            <w:r>
              <w:rPr>
                <w:rFonts w:hint="eastAsia" w:ascii="宋体" w:hAnsi="宋体" w:eastAsia="宋体" w:cs="微软雅黑"/>
                <w:color w:val="auto"/>
                <w:szCs w:val="21"/>
                <w:shd w:val="clear" w:color="auto" w:fill="FFFFFF"/>
                <w:lang w:val="en-US" w:eastAsia="zh-CN"/>
              </w:rPr>
              <w:t>控制柜(含控制装置及调速装置)为原厂原品牌制造。</w:t>
            </w:r>
          </w:p>
          <w:p w14:paraId="66AE714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bCs/>
                <w:color w:val="auto"/>
                <w:lang w:val="en-US" w:eastAsia="zh-CN"/>
              </w:rPr>
            </w:pPr>
            <w:r>
              <w:rPr>
                <w:rFonts w:hint="eastAsia" w:ascii="宋体" w:hAnsi="宋体" w:eastAsia="宋体" w:cs="Arial"/>
                <w:color w:val="auto"/>
              </w:rPr>
              <w:t>2.</w:t>
            </w:r>
            <w:r>
              <w:rPr>
                <w:rFonts w:hint="eastAsia" w:ascii="宋体" w:hAnsi="宋体" w:eastAsia="宋体"/>
                <w:bCs/>
                <w:color w:val="auto"/>
              </w:rPr>
              <w:t>曳引系统：永磁同步无齿轮曳引机，主机无需励磁，启动电流极小，传动效率极高，外转子设计使转子与制动轮合二为一，超高安全性。</w:t>
            </w:r>
            <w:r>
              <w:rPr>
                <w:rFonts w:hint="eastAsia" w:ascii="宋体" w:hAnsi="宋体" w:cs="微软雅黑"/>
                <w:color w:val="auto"/>
                <w:szCs w:val="21"/>
                <w:shd w:val="clear" w:color="auto" w:fill="FFFFFF"/>
              </w:rPr>
              <w:t>超静音制动器，进口吸音原件和减震材料，使主机噪音更低、更安静</w:t>
            </w:r>
            <w:r>
              <w:rPr>
                <w:rFonts w:hint="eastAsia" w:ascii="宋体" w:hAnsi="宋体" w:eastAsia="宋体" w:cs="微软雅黑"/>
                <w:color w:val="auto"/>
                <w:szCs w:val="21"/>
                <w:shd w:val="clear" w:color="auto" w:fill="FFFFFF"/>
                <w:lang w:eastAsia="zh-CN"/>
              </w:rPr>
              <w:t>；标配检修零速停车，进一步提高抱闸寿命。</w:t>
            </w:r>
            <w:r>
              <w:rPr>
                <w:rFonts w:hint="eastAsia" w:ascii="宋体" w:hAnsi="宋体" w:eastAsia="宋体" w:cs="微软雅黑"/>
                <w:color w:val="auto"/>
                <w:szCs w:val="21"/>
                <w:shd w:val="clear" w:color="auto" w:fill="FFFFFF"/>
                <w:lang w:val="en-US" w:eastAsia="zh-CN"/>
              </w:rPr>
              <w:t>曳引机为原厂原品牌制造。</w:t>
            </w:r>
          </w:p>
          <w:p w14:paraId="76F5CA1E">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bCs/>
                <w:color w:val="auto"/>
                <w:lang w:val="en-US" w:eastAsia="zh-CN"/>
              </w:rPr>
            </w:pPr>
            <w:r>
              <w:rPr>
                <w:rFonts w:hint="eastAsia" w:ascii="宋体" w:hAnsi="宋体" w:eastAsia="宋体" w:cs="Arial"/>
                <w:color w:val="auto"/>
                <w:lang w:val="en-US" w:eastAsia="zh-CN"/>
              </w:rPr>
              <w:t>3</w:t>
            </w:r>
            <w:r>
              <w:rPr>
                <w:rFonts w:hint="eastAsia" w:ascii="宋体" w:hAnsi="宋体" w:eastAsia="宋体" w:cs="Arial"/>
                <w:color w:val="auto"/>
              </w:rPr>
              <w:t>.</w:t>
            </w:r>
            <w:r>
              <w:rPr>
                <w:rFonts w:hint="eastAsia" w:ascii="宋体" w:hAnsi="宋体" w:eastAsia="宋体"/>
                <w:bCs/>
                <w:color w:val="auto"/>
              </w:rPr>
              <w:t>门机系统：</w:t>
            </w:r>
            <w:r>
              <w:rPr>
                <w:rFonts w:hint="eastAsia" w:ascii="宋体" w:hAnsi="宋体" w:cs="微软雅黑"/>
                <w:color w:val="auto"/>
                <w:szCs w:val="21"/>
                <w:shd w:val="clear" w:color="auto" w:fill="FFFFFF"/>
              </w:rPr>
              <w:t>采用VVVF变压变频技术驱动门机系统</w:t>
            </w:r>
            <w:r>
              <w:rPr>
                <w:rFonts w:hint="eastAsia" w:ascii="宋体" w:hAnsi="宋体" w:eastAsia="宋体" w:cs="微软雅黑"/>
                <w:color w:val="auto"/>
                <w:szCs w:val="21"/>
                <w:shd w:val="clear" w:color="auto" w:fill="FFFFFF"/>
                <w:lang w:eastAsia="zh-CN"/>
              </w:rPr>
              <w:t>；无连杆同步齿形带传动，降低故障率；采用宽电压防烧毁技术，门电机防水防尘等级标配IP54，大大降低了门电机进水隐患。</w:t>
            </w:r>
            <w:r>
              <w:rPr>
                <w:rFonts w:hint="eastAsia" w:ascii="宋体" w:hAnsi="宋体" w:eastAsia="宋体" w:cs="微软雅黑"/>
                <w:color w:val="auto"/>
                <w:szCs w:val="21"/>
                <w:shd w:val="clear" w:color="auto" w:fill="FFFFFF"/>
                <w:lang w:val="en-US" w:eastAsia="zh-CN"/>
              </w:rPr>
              <w:t>门机为原厂原品牌制造。</w:t>
            </w:r>
          </w:p>
          <w:p w14:paraId="6172642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eastAsia="zh-CN"/>
              </w:rPr>
            </w:pPr>
            <w:r>
              <w:rPr>
                <w:rFonts w:hint="eastAsia" w:ascii="宋体" w:hAnsi="宋体" w:eastAsia="宋体" w:cs="Arial"/>
                <w:color w:val="auto"/>
                <w:lang w:val="en-US" w:eastAsia="zh-CN"/>
              </w:rPr>
              <w:t>4</w:t>
            </w:r>
            <w:r>
              <w:rPr>
                <w:rFonts w:hint="eastAsia" w:ascii="宋体" w:hAnsi="宋体" w:eastAsia="宋体" w:cs="Arial"/>
                <w:color w:val="auto"/>
              </w:rPr>
              <w:t>.</w:t>
            </w:r>
            <w:r>
              <w:rPr>
                <w:rFonts w:hint="eastAsia" w:ascii="宋体" w:hAnsi="宋体" w:eastAsia="宋体"/>
                <w:bCs/>
                <w:color w:val="auto"/>
              </w:rPr>
              <w:t>光幕为原厂原品牌，且最大光束数为 194 束，防护等级 IP65，响应时间≦65ms</w:t>
            </w:r>
            <w:r>
              <w:rPr>
                <w:rFonts w:hint="eastAsia" w:ascii="宋体" w:hAnsi="宋体" w:eastAsia="宋体"/>
                <w:bCs/>
                <w:color w:val="auto"/>
                <w:lang w:eastAsia="zh-CN"/>
              </w:rPr>
              <w:t>。</w:t>
            </w:r>
            <w:r>
              <w:rPr>
                <w:rFonts w:hint="eastAsia" w:ascii="宋体" w:hAnsi="宋体" w:eastAsia="宋体"/>
                <w:bCs/>
                <w:color w:val="auto"/>
              </w:rPr>
              <w:t>（</w:t>
            </w:r>
            <w:r>
              <w:rPr>
                <w:rFonts w:hint="eastAsia" w:ascii="宋体" w:hAnsi="宋体" w:eastAsia="宋体"/>
                <w:bCs/>
                <w:color w:val="auto"/>
                <w:lang w:eastAsia="zh-CN"/>
              </w:rPr>
              <w:t>电梯验收时</w:t>
            </w:r>
            <w:r>
              <w:rPr>
                <w:rFonts w:hint="eastAsia" w:ascii="宋体" w:hAnsi="宋体" w:eastAsia="宋体"/>
                <w:bCs/>
                <w:color w:val="auto"/>
              </w:rPr>
              <w:t>必须提供</w:t>
            </w:r>
            <w:r>
              <w:rPr>
                <w:rFonts w:hint="eastAsia" w:ascii="宋体" w:hAnsi="宋体" w:eastAsia="宋体" w:cs="Arial"/>
                <w:color w:val="auto"/>
                <w:lang w:val="en-US" w:eastAsia="zh-CN"/>
              </w:rPr>
              <w:t>经CNAS 认证的第三方证明材料复印件</w:t>
            </w:r>
            <w:r>
              <w:rPr>
                <w:rFonts w:hint="eastAsia" w:ascii="宋体" w:hAnsi="宋体" w:eastAsia="宋体"/>
                <w:bCs/>
                <w:color w:val="auto"/>
              </w:rPr>
              <w:t>）</w:t>
            </w:r>
            <w:r>
              <w:rPr>
                <w:rFonts w:hint="eastAsia" w:ascii="宋体" w:hAnsi="宋体" w:eastAsia="宋体"/>
                <w:bCs/>
                <w:color w:val="auto"/>
                <w:lang w:eastAsia="zh-CN"/>
              </w:rPr>
              <w:t>。</w:t>
            </w:r>
          </w:p>
          <w:p w14:paraId="3A6A5F5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ascii="宋体" w:hAnsi="宋体" w:eastAsia="宋体"/>
                <w:bCs/>
                <w:color w:val="auto"/>
              </w:rPr>
            </w:pPr>
            <w:r>
              <w:rPr>
                <w:rFonts w:hint="eastAsia" w:ascii="宋体" w:hAnsi="宋体" w:eastAsia="宋体" w:cs="Arial"/>
                <w:color w:val="auto"/>
                <w:lang w:val="en-US" w:eastAsia="zh-CN"/>
              </w:rPr>
              <w:t>5</w:t>
            </w:r>
            <w:r>
              <w:rPr>
                <w:rFonts w:hint="eastAsia" w:ascii="宋体" w:hAnsi="宋体" w:eastAsia="宋体" w:cs="Arial"/>
                <w:color w:val="auto"/>
              </w:rPr>
              <w:t>.</w:t>
            </w:r>
            <w:r>
              <w:rPr>
                <w:rFonts w:hint="eastAsia" w:ascii="宋体" w:hAnsi="宋体" w:eastAsia="宋体"/>
                <w:bCs/>
                <w:color w:val="auto"/>
              </w:rPr>
              <w:t>轿厢：轿体要求制作精良，连接紧固，抗变形能力强，符合相关安全标准，装置渐进式安全钳；轿厢装设到站钟设备；轿厢内饰精致典雅，面板采用发纹不锈钢材质，照明和换气设备良好耐用，给人以舒适的感觉。</w:t>
            </w:r>
          </w:p>
          <w:p w14:paraId="66759BD7">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bCs/>
                <w:color w:val="auto"/>
                <w:lang w:val="en-US" w:eastAsia="zh-CN"/>
              </w:rPr>
            </w:pPr>
            <w:r>
              <w:rPr>
                <w:rFonts w:hint="eastAsia" w:ascii="宋体" w:hAnsi="宋体" w:eastAsia="宋体" w:cs="Arial"/>
                <w:color w:val="auto"/>
                <w:lang w:val="en-US" w:eastAsia="zh-CN"/>
              </w:rPr>
              <w:t>6</w:t>
            </w:r>
            <w:r>
              <w:rPr>
                <w:rFonts w:hint="eastAsia" w:ascii="宋体" w:hAnsi="宋体" w:eastAsia="宋体" w:cs="Arial"/>
                <w:color w:val="auto"/>
              </w:rPr>
              <w:t>.</w:t>
            </w:r>
            <w:r>
              <w:rPr>
                <w:rFonts w:hint="eastAsia" w:ascii="宋体" w:hAnsi="宋体" w:eastAsia="宋体" w:cs="Arial"/>
                <w:color w:val="auto"/>
                <w:lang w:val="en-US" w:eastAsia="zh-CN"/>
              </w:rPr>
              <w:t>能效等级：在经过国际权威机构能耗测试后，其各项指标均达到较高水准，被认定为节能（ISO25745）A+++级产品，且乘运质量等级达到Good级。</w:t>
            </w:r>
            <w:r>
              <w:rPr>
                <w:rFonts w:hint="eastAsia" w:ascii="宋体" w:hAnsi="宋体" w:eastAsia="宋体"/>
                <w:bCs/>
                <w:color w:val="auto"/>
              </w:rPr>
              <w:t>（</w:t>
            </w:r>
            <w:r>
              <w:rPr>
                <w:rFonts w:hint="eastAsia" w:ascii="宋体" w:hAnsi="宋体" w:eastAsia="宋体"/>
                <w:bCs/>
                <w:color w:val="auto"/>
                <w:lang w:eastAsia="zh-CN"/>
              </w:rPr>
              <w:t>电梯验收时</w:t>
            </w:r>
            <w:r>
              <w:rPr>
                <w:rFonts w:hint="eastAsia" w:ascii="宋体" w:hAnsi="宋体" w:eastAsia="宋体"/>
                <w:bCs/>
                <w:color w:val="auto"/>
              </w:rPr>
              <w:t>必须提供</w:t>
            </w:r>
            <w:r>
              <w:rPr>
                <w:rFonts w:hint="eastAsia" w:ascii="宋体" w:hAnsi="宋体" w:eastAsia="宋体" w:cs="Arial"/>
                <w:color w:val="auto"/>
                <w:lang w:val="en-US" w:eastAsia="zh-CN"/>
              </w:rPr>
              <w:t>第三方证明材料复印件）。</w:t>
            </w:r>
          </w:p>
          <w:p w14:paraId="7A12E07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7.曳引机、控制柜（含控制装置和调速装置）、限速器、安全钳、缓冲器、轿厢意外移动保护装置、轿厢上行超速保护装置、安全电路，门锁均为原厂原品牌设计制造。</w:t>
            </w:r>
            <w:r>
              <w:rPr>
                <w:rFonts w:hint="eastAsia" w:ascii="宋体" w:hAnsi="宋体" w:eastAsia="宋体"/>
                <w:bCs/>
                <w:color w:val="auto"/>
              </w:rPr>
              <w:t>（</w:t>
            </w:r>
            <w:r>
              <w:rPr>
                <w:rFonts w:hint="eastAsia" w:ascii="宋体" w:hAnsi="宋体" w:eastAsia="宋体"/>
                <w:bCs/>
                <w:color w:val="auto"/>
                <w:lang w:eastAsia="zh-CN"/>
              </w:rPr>
              <w:t>电梯验收时</w:t>
            </w:r>
            <w:r>
              <w:rPr>
                <w:rFonts w:hint="eastAsia" w:ascii="宋体" w:hAnsi="宋体" w:eastAsia="宋体"/>
                <w:bCs/>
                <w:color w:val="auto"/>
              </w:rPr>
              <w:t>必须提供</w:t>
            </w:r>
            <w:r>
              <w:rPr>
                <w:rFonts w:hint="eastAsia" w:ascii="宋体" w:hAnsi="宋体" w:eastAsia="宋体" w:cs="Arial"/>
                <w:color w:val="auto"/>
                <w:lang w:val="en-US" w:eastAsia="zh-CN"/>
              </w:rPr>
              <w:t>经CNAS 认证的第三方证明材料复印件）。</w:t>
            </w:r>
          </w:p>
          <w:p w14:paraId="5FB3406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Arial"/>
                <w:color w:val="auto"/>
                <w:lang w:val="en-US" w:eastAsia="zh-CN"/>
              </w:rPr>
            </w:pPr>
            <w:r>
              <w:rPr>
                <w:rFonts w:hint="eastAsia" w:ascii="宋体" w:hAnsi="宋体" w:eastAsia="宋体"/>
                <w:bCs/>
                <w:color w:val="auto"/>
                <w:lang w:val="en-US" w:eastAsia="zh-CN"/>
              </w:rPr>
              <w:t>8.所投电梯按钮经过2000万次或以上寿命测试，试验后按钮通断功能正常、结构无明显损坏，测试应包括“上行、下行、楼层”按钮。</w:t>
            </w:r>
            <w:r>
              <w:rPr>
                <w:rFonts w:hint="eastAsia" w:ascii="宋体" w:hAnsi="宋体" w:eastAsia="宋体"/>
                <w:bCs/>
                <w:color w:val="auto"/>
              </w:rPr>
              <w:t>（</w:t>
            </w:r>
            <w:r>
              <w:rPr>
                <w:rFonts w:hint="eastAsia" w:ascii="宋体" w:hAnsi="宋体" w:eastAsia="宋体"/>
                <w:bCs/>
                <w:color w:val="auto"/>
                <w:lang w:eastAsia="zh-CN"/>
              </w:rPr>
              <w:t>电梯验收时</w:t>
            </w:r>
            <w:r>
              <w:rPr>
                <w:rFonts w:hint="eastAsia" w:ascii="宋体" w:hAnsi="宋体" w:eastAsia="宋体"/>
                <w:bCs/>
                <w:color w:val="auto"/>
              </w:rPr>
              <w:t>必须提供</w:t>
            </w:r>
            <w:r>
              <w:rPr>
                <w:rFonts w:hint="eastAsia" w:ascii="宋体" w:hAnsi="宋体" w:eastAsia="宋体" w:cs="Arial"/>
                <w:color w:val="auto"/>
                <w:lang w:val="en-US" w:eastAsia="zh-CN"/>
              </w:rPr>
              <w:t>经CNAS 认证的第三方证明材料复印件）。</w:t>
            </w:r>
          </w:p>
          <w:p w14:paraId="773E3946">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cs="Arial"/>
                <w:color w:val="auto"/>
                <w:lang w:val="en-US" w:eastAsia="zh-CN"/>
              </w:rPr>
              <w:t>9.电梯三个安全部件限速器、安全钳、缓冲器，模拟寿命需≥20 年。（</w:t>
            </w:r>
            <w:r>
              <w:rPr>
                <w:rFonts w:hint="eastAsia" w:ascii="宋体" w:hAnsi="宋体" w:eastAsia="宋体"/>
                <w:bCs/>
                <w:color w:val="auto"/>
                <w:lang w:eastAsia="zh-CN"/>
              </w:rPr>
              <w:t>电梯验收时</w:t>
            </w:r>
            <w:r>
              <w:rPr>
                <w:rFonts w:hint="eastAsia" w:ascii="宋体" w:hAnsi="宋体" w:eastAsia="宋体" w:cs="Arial"/>
                <w:color w:val="auto"/>
                <w:lang w:val="en-US" w:eastAsia="zh-CN"/>
              </w:rPr>
              <w:t>需提供 CNAS 认证的第三方证明材</w:t>
            </w:r>
            <w:r>
              <w:rPr>
                <w:rFonts w:hint="eastAsia" w:ascii="宋体" w:hAnsi="宋体" w:eastAsia="宋体"/>
                <w:bCs/>
                <w:color w:val="auto"/>
                <w:lang w:val="en-US" w:eastAsia="zh-CN"/>
              </w:rPr>
              <w:t>料复印件）。</w:t>
            </w:r>
          </w:p>
          <w:p w14:paraId="77364298">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bCs/>
                <w:color w:val="auto"/>
                <w:lang w:val="en-US" w:eastAsia="zh-CN"/>
              </w:rPr>
            </w:pPr>
            <w:r>
              <w:rPr>
                <w:rFonts w:hint="eastAsia" w:ascii="宋体" w:hAnsi="宋体" w:eastAsia="宋体"/>
                <w:bCs/>
                <w:color w:val="auto"/>
                <w:lang w:val="en-US" w:eastAsia="zh-CN"/>
              </w:rPr>
              <w:t>10.电梯需具有门机运行实时监控管理系统以及门机控制系统。(</w:t>
            </w:r>
            <w:r>
              <w:rPr>
                <w:rFonts w:hint="eastAsia" w:ascii="宋体" w:hAnsi="宋体" w:eastAsia="宋体"/>
                <w:bCs/>
                <w:color w:val="auto"/>
                <w:lang w:eastAsia="zh-CN"/>
              </w:rPr>
              <w:t>电梯验收时</w:t>
            </w:r>
            <w:r>
              <w:rPr>
                <w:rFonts w:hint="eastAsia" w:ascii="宋体" w:hAnsi="宋体" w:eastAsia="宋体"/>
                <w:bCs/>
                <w:color w:val="auto"/>
                <w:lang w:val="en-US" w:eastAsia="zh-CN"/>
              </w:rPr>
              <w:t>需提供第三方证明材料复印件）。</w:t>
            </w:r>
          </w:p>
          <w:p w14:paraId="61EF4A60">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Arial"/>
                <w:color w:val="auto"/>
                <w:lang w:val="en-US" w:eastAsia="zh-CN"/>
              </w:rPr>
            </w:pPr>
            <w:r>
              <w:rPr>
                <w:rFonts w:hint="eastAsia" w:ascii="宋体" w:hAnsi="宋体" w:eastAsia="宋体" w:cs="Arial"/>
                <w:color w:val="auto"/>
                <w:lang w:val="en-US" w:eastAsia="zh-CN"/>
              </w:rPr>
              <w:t>11.轿厢板材及厅轿门板材采用耐腐蚀的发纹不锈钢材料，需经过盐雾测试，测试标准为依据GB/T10125-2021，中性盐雾试验240小时后，保护等级</w:t>
            </w:r>
            <w:r>
              <w:rPr>
                <w:rFonts w:hint="default" w:ascii="Arial" w:hAnsi="Arial" w:eastAsia="宋体" w:cs="Arial"/>
                <w:color w:val="auto"/>
                <w:lang w:val="en-US" w:eastAsia="zh-CN"/>
              </w:rPr>
              <w:t>≥</w:t>
            </w:r>
            <w:r>
              <w:rPr>
                <w:rFonts w:hint="eastAsia" w:ascii="宋体" w:hAnsi="宋体" w:eastAsia="宋体" w:cs="Arial"/>
                <w:color w:val="auto"/>
                <w:lang w:val="en-US" w:eastAsia="zh-CN"/>
              </w:rPr>
              <w:t>9级。（</w:t>
            </w:r>
            <w:r>
              <w:rPr>
                <w:rFonts w:hint="eastAsia" w:ascii="宋体" w:hAnsi="宋体" w:eastAsia="宋体"/>
                <w:bCs/>
                <w:color w:val="auto"/>
                <w:lang w:eastAsia="zh-CN"/>
              </w:rPr>
              <w:t>电梯验收时</w:t>
            </w:r>
            <w:r>
              <w:rPr>
                <w:rFonts w:hint="eastAsia" w:ascii="宋体" w:hAnsi="宋体" w:eastAsia="宋体" w:cs="Arial"/>
                <w:color w:val="auto"/>
                <w:lang w:val="en-US" w:eastAsia="zh-CN"/>
              </w:rPr>
              <w:t>必须提供经CNAS 认证的第三方证明材料复印件）。</w:t>
            </w:r>
          </w:p>
          <w:p w14:paraId="10B823F1">
            <w:pPr>
              <w:keepNext w:val="0"/>
              <w:keepLines w:val="0"/>
              <w:pageBreakBefore w:val="0"/>
              <w:widowControl/>
              <w:numPr>
                <w:ilvl w:val="0"/>
                <w:numId w:val="0"/>
              </w:numPr>
              <w:kinsoku/>
              <w:wordWrap/>
              <w:overflowPunct/>
              <w:topLinePunct w:val="0"/>
              <w:bidi w:val="0"/>
              <w:snapToGrid/>
              <w:spacing w:line="400" w:lineRule="exact"/>
              <w:textAlignment w:val="auto"/>
              <w:rPr>
                <w:rFonts w:hint="eastAsia" w:ascii="宋体" w:hAnsi="宋体" w:eastAsia="宋体"/>
                <w:color w:val="auto"/>
                <w:kern w:val="2"/>
                <w:shd w:val="clear" w:color="auto" w:fill="auto"/>
              </w:rPr>
            </w:pPr>
          </w:p>
          <w:p w14:paraId="22F9DB4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采购单位有权对以上主要部件聘请专家及第三方专业机构进行核查，核查费用由采购人支付，若出现弄虚作假情况，一经查实，采购单位将予以退货或换货，核查费用由成交人支付，并将追究成交人法律责任并要求供应商赔偿相关损失。</w:t>
            </w:r>
          </w:p>
          <w:p w14:paraId="47B607EA">
            <w:pPr>
              <w:keepNext w:val="0"/>
              <w:keepLines w:val="0"/>
              <w:pageBreakBefore w:val="0"/>
              <w:widowControl/>
              <w:kinsoku/>
              <w:wordWrap/>
              <w:overflowPunct/>
              <w:topLinePunct w:val="0"/>
              <w:bidi w:val="0"/>
              <w:snapToGrid/>
              <w:spacing w:line="400" w:lineRule="exact"/>
              <w:textAlignment w:val="auto"/>
              <w:rPr>
                <w:color w:val="auto"/>
              </w:rPr>
            </w:pPr>
          </w:p>
          <w:p w14:paraId="5A4A5EBE">
            <w:pPr>
              <w:keepNext w:val="0"/>
              <w:keepLines w:val="0"/>
              <w:pageBreakBefore w:val="0"/>
              <w:widowControl/>
              <w:kinsoku/>
              <w:wordWrap/>
              <w:overflowPunct/>
              <w:topLinePunct w:val="0"/>
              <w:bidi w:val="0"/>
              <w:snapToGrid/>
              <w:spacing w:line="400" w:lineRule="exact"/>
              <w:textAlignment w:val="auto"/>
              <w:rPr>
                <w:rFonts w:ascii="宋体" w:hAnsi="宋体" w:eastAsia="宋体"/>
                <w:color w:val="auto"/>
                <w:kern w:val="2"/>
                <w:shd w:val="clear" w:color="auto" w:fill="auto"/>
              </w:rPr>
            </w:pPr>
            <w:r>
              <w:rPr>
                <w:rFonts w:hint="eastAsia" w:ascii="宋体" w:hAnsi="宋体" w:eastAsia="宋体"/>
                <w:color w:val="auto"/>
                <w:kern w:val="2"/>
                <w:shd w:val="clear" w:color="auto" w:fill="auto"/>
              </w:rPr>
              <w:t>四、基本功能要求</w:t>
            </w:r>
          </w:p>
          <w:p w14:paraId="410FDE1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全集选控制\满载直驶\自动返回基站\错误指令取消\楼层间距自学习\锁梯开关\开关门按钮\厅外、轿内开门时间分别控制\自动校正运行\就近平层功能\关门等待取消\本层厅外重开门\无称重力矩补偿\末站换向预指示\司机服务\独立服务\防捣乱保护\自动泊梯\厅外呼梯切除开关\静态定位功能\轿顶检修\静音模式\语音安抚\斜线撒电流\检修零速停车\自动再平层\端站保护\故障自诊断\驱动设备过热保护\钢丝绳滑自检功能\关门力矩保护\速度异常检测功能\接触器异常检测功能\光幕门保护\超载报警\轿厢开、关门延时保护\抱闸异常检测功能\紧急消防返基站\厅门自学习\安全救助功能\五方对讲\轿厢警铃\机房紧急电动运行\轿厢内应急照明\轿内照明风扇自动控制\显示节能\轿厢到站钟\厅外及轿厢方向指示\轿内、厅外显示\轿内消防状态提醒显示\按钮微亮\通讯自动监测保护\层站召唤智能登记\开门保持时间智能调节\控制系统温度监测\智能舒适运行\按钮粘连自动识别\消防员功能</w:t>
            </w:r>
          </w:p>
          <w:p w14:paraId="3D9EE5E2">
            <w:pPr>
              <w:pStyle w:val="2"/>
              <w:keepNext w:val="0"/>
              <w:keepLines w:val="0"/>
              <w:pageBreakBefore w:val="0"/>
              <w:widowControl/>
              <w:kinsoku/>
              <w:wordWrap/>
              <w:overflowPunct/>
              <w:topLinePunct w:val="0"/>
              <w:bidi w:val="0"/>
              <w:snapToGrid/>
              <w:spacing w:line="400" w:lineRule="exact"/>
              <w:textAlignment w:val="auto"/>
              <w:rPr>
                <w:color w:val="auto"/>
              </w:rPr>
            </w:pPr>
          </w:p>
          <w:p w14:paraId="549CA16D">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Times New Roman"/>
                <w:bCs/>
                <w:color w:val="auto"/>
                <w:lang w:val="en-US" w:eastAsia="zh-CN"/>
              </w:rPr>
            </w:pPr>
            <w:r>
              <w:rPr>
                <w:rFonts w:hint="eastAsia" w:ascii="宋体" w:hAnsi="宋体" w:eastAsia="宋体" w:cs="Times New Roman"/>
                <w:bCs/>
                <w:color w:val="auto"/>
                <w:lang w:val="en-US" w:eastAsia="zh-CN"/>
              </w:rPr>
              <w:t>五、装饰材质要求</w:t>
            </w:r>
          </w:p>
          <w:p w14:paraId="58179BCE">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Times New Roman"/>
                <w:bCs/>
                <w:color w:val="auto"/>
                <w:lang w:val="en-US" w:eastAsia="zh-CN"/>
              </w:rPr>
            </w:pPr>
            <w:r>
              <w:rPr>
                <w:rFonts w:hint="eastAsia" w:ascii="宋体" w:hAnsi="宋体" w:eastAsia="宋体" w:cs="Times New Roman"/>
                <w:bCs/>
                <w:color w:val="auto"/>
                <w:lang w:val="en-US" w:eastAsia="zh-CN"/>
              </w:rPr>
              <w:t>1、轿厢装饰要求：发纹不锈钢；</w:t>
            </w:r>
          </w:p>
          <w:p w14:paraId="0B602388">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Times New Roman"/>
                <w:bCs/>
                <w:color w:val="auto"/>
                <w:lang w:val="en-US" w:eastAsia="zh-CN"/>
              </w:rPr>
            </w:pPr>
            <w:r>
              <w:rPr>
                <w:rFonts w:hint="eastAsia" w:ascii="宋体" w:hAnsi="宋体" w:eastAsia="宋体" w:cs="Times New Roman"/>
                <w:bCs/>
                <w:color w:val="auto"/>
                <w:lang w:val="en-US" w:eastAsia="zh-CN"/>
              </w:rPr>
              <w:t>2、轿厢门：发纹不锈钢；</w:t>
            </w:r>
          </w:p>
          <w:p w14:paraId="797D021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 xml:space="preserve">3、层门：发纹不锈钢； </w:t>
            </w:r>
          </w:p>
          <w:p w14:paraId="49482608">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4、门框：发纹不锈钢；</w:t>
            </w:r>
          </w:p>
          <w:p w14:paraId="3589B3B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5、轿门地坎：</w:t>
            </w:r>
            <w:r>
              <w:rPr>
                <w:rFonts w:hint="eastAsia" w:ascii="宋体" w:hAnsi="宋体" w:cs="宋体"/>
                <w:color w:val="auto"/>
                <w:spacing w:val="0"/>
                <w:w w:val="100"/>
                <w:kern w:val="0"/>
                <w:szCs w:val="21"/>
              </w:rPr>
              <w:t>硬质铝合金</w:t>
            </w:r>
            <w:r>
              <w:rPr>
                <w:rFonts w:hint="eastAsia" w:ascii="宋体" w:hAnsi="宋体" w:eastAsia="宋体"/>
                <w:bCs/>
                <w:color w:val="auto"/>
                <w:lang w:val="en-US" w:eastAsia="zh-CN"/>
              </w:rPr>
              <w:t>；</w:t>
            </w:r>
          </w:p>
          <w:p w14:paraId="680CEC59">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6、轿厢地面：PVC地板；</w:t>
            </w:r>
          </w:p>
          <w:p w14:paraId="4BF387F3">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7、轿厢显示器：</w:t>
            </w:r>
            <w:r>
              <w:rPr>
                <w:rFonts w:hint="eastAsia" w:ascii="宋体" w:hAnsi="宋体" w:cs="宋体"/>
                <w:color w:val="auto"/>
                <w:spacing w:val="0"/>
                <w:w w:val="100"/>
                <w:kern w:val="0"/>
                <w:szCs w:val="21"/>
                <w:lang w:val="en-US" w:eastAsia="zh-CN"/>
              </w:rPr>
              <w:t>一体式操纵箱，发纹不锈钢盲文按钮。</w:t>
            </w:r>
          </w:p>
          <w:p w14:paraId="622B64B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bCs/>
                <w:color w:val="auto"/>
                <w:lang w:val="en-US" w:eastAsia="zh-CN"/>
              </w:rPr>
            </w:pPr>
            <w:r>
              <w:rPr>
                <w:rFonts w:hint="eastAsia" w:ascii="宋体" w:hAnsi="宋体" w:eastAsia="宋体"/>
                <w:bCs/>
                <w:color w:val="auto"/>
                <w:lang w:val="en-US" w:eastAsia="zh-CN"/>
              </w:rPr>
              <w:t>8、厅门召唤箱：</w:t>
            </w:r>
            <w:r>
              <w:rPr>
                <w:rFonts w:hint="eastAsia" w:ascii="宋体" w:hAnsi="宋体" w:cs="宋体"/>
                <w:color w:val="auto"/>
                <w:spacing w:val="0"/>
                <w:w w:val="100"/>
                <w:szCs w:val="21"/>
                <w:shd w:val="clear" w:color="auto" w:fill="FFFFFF"/>
              </w:rPr>
              <w:t>无底盒外召，段码显示，发纹不锈钢</w:t>
            </w:r>
            <w:r>
              <w:rPr>
                <w:rFonts w:hint="eastAsia" w:ascii="宋体" w:hAnsi="宋体" w:eastAsia="宋体" w:cs="宋体"/>
                <w:color w:val="auto"/>
                <w:spacing w:val="0"/>
                <w:w w:val="100"/>
                <w:kern w:val="0"/>
                <w:szCs w:val="21"/>
                <w:lang w:val="en-US" w:eastAsia="zh-CN"/>
              </w:rPr>
              <w:t>盲文按钮。</w:t>
            </w:r>
          </w:p>
          <w:p w14:paraId="30D4DCBB">
            <w:pPr>
              <w:keepNext w:val="0"/>
              <w:keepLines w:val="0"/>
              <w:pageBreakBefore w:val="0"/>
              <w:widowControl/>
              <w:kinsoku/>
              <w:wordWrap/>
              <w:overflowPunct/>
              <w:topLinePunct w:val="0"/>
              <w:bidi w:val="0"/>
              <w:snapToGrid/>
              <w:spacing w:line="400" w:lineRule="exact"/>
              <w:textAlignment w:val="auto"/>
              <w:rPr>
                <w:rFonts w:hint="eastAsia" w:ascii="宋体" w:hAnsi="宋体" w:eastAsia="宋体"/>
                <w:color w:val="auto"/>
                <w:kern w:val="2"/>
                <w:shd w:val="clear" w:color="auto" w:fill="auto"/>
                <w:lang w:val="en-US" w:eastAsia="zh-CN"/>
              </w:rPr>
            </w:pPr>
            <w:r>
              <w:rPr>
                <w:rFonts w:hint="eastAsia" w:ascii="宋体" w:hAnsi="宋体" w:eastAsia="宋体"/>
                <w:bCs/>
                <w:color w:val="auto"/>
                <w:lang w:val="en-US" w:eastAsia="zh-CN"/>
              </w:rPr>
              <w:t>9、吊顶：</w:t>
            </w:r>
            <w:r>
              <w:rPr>
                <w:rFonts w:hint="eastAsia" w:ascii="宋体" w:hAnsi="宋体" w:cs="宋体"/>
                <w:color w:val="auto"/>
                <w:spacing w:val="0"/>
                <w:w w:val="100"/>
                <w:kern w:val="0"/>
                <w:szCs w:val="21"/>
                <w:lang w:val="en-US" w:eastAsia="zh-CN"/>
              </w:rPr>
              <w:t>发纹不锈钢+LED+亚克力</w:t>
            </w:r>
            <w:r>
              <w:rPr>
                <w:rFonts w:hint="eastAsia" w:ascii="宋体" w:hAnsi="宋体" w:cs="宋体"/>
                <w:color w:val="auto"/>
                <w:spacing w:val="0"/>
                <w:w w:val="100"/>
                <w:kern w:val="0"/>
                <w:szCs w:val="21"/>
              </w:rPr>
              <w:t>。</w:t>
            </w:r>
          </w:p>
        </w:tc>
      </w:tr>
      <w:tr w14:paraId="587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0" w:type="dxa"/>
            <w:gridSpan w:val="5"/>
            <w:tcBorders>
              <w:top w:val="single" w:color="auto" w:sz="4" w:space="0"/>
              <w:left w:val="single" w:color="auto" w:sz="4" w:space="0"/>
              <w:bottom w:val="single" w:color="auto" w:sz="4" w:space="0"/>
              <w:right w:val="single" w:color="auto" w:sz="4" w:space="0"/>
            </w:tcBorders>
          </w:tcPr>
          <w:p w14:paraId="64E30B5D">
            <w:pPr>
              <w:spacing w:line="520" w:lineRule="exact"/>
              <w:jc w:val="left"/>
              <w:rPr>
                <w:color w:val="auto"/>
              </w:rPr>
            </w:pPr>
            <w:r>
              <w:rPr>
                <w:rFonts w:hint="eastAsia"/>
                <w:color w:val="auto"/>
              </w:rPr>
              <w:t>安装及售后要求</w:t>
            </w:r>
          </w:p>
          <w:p w14:paraId="58D18C85">
            <w:pPr>
              <w:spacing w:line="520" w:lineRule="exact"/>
              <w:jc w:val="left"/>
              <w:rPr>
                <w:color w:val="auto"/>
              </w:rPr>
            </w:pPr>
            <w:r>
              <w:rPr>
                <w:rFonts w:hint="eastAsia"/>
                <w:color w:val="auto"/>
                <w:lang w:val="zh-CN"/>
              </w:rPr>
              <w:t>一、</w:t>
            </w:r>
            <w:r>
              <w:rPr>
                <w:rFonts w:hint="eastAsia"/>
                <w:color w:val="auto"/>
              </w:rPr>
              <w:t>★安装要求：</w:t>
            </w:r>
          </w:p>
          <w:p w14:paraId="1BD54A55">
            <w:pPr>
              <w:numPr>
                <w:ilvl w:val="0"/>
                <w:numId w:val="1"/>
              </w:numPr>
              <w:snapToGrid w:val="0"/>
              <w:spacing w:line="520" w:lineRule="exact"/>
              <w:rPr>
                <w:color w:val="auto"/>
              </w:rPr>
            </w:pPr>
            <w:r>
              <w:rPr>
                <w:rFonts w:hint="eastAsia"/>
                <w:color w:val="auto"/>
              </w:rPr>
              <w:t>竞标产品须是整套全新的满足本项目需求的技术指标的电梯设备。</w:t>
            </w:r>
          </w:p>
          <w:p w14:paraId="599AE6C2">
            <w:pPr>
              <w:numPr>
                <w:ilvl w:val="0"/>
                <w:numId w:val="1"/>
              </w:numPr>
              <w:snapToGrid w:val="0"/>
              <w:spacing w:line="520" w:lineRule="exact"/>
              <w:rPr>
                <w:color w:val="auto"/>
              </w:rPr>
            </w:pPr>
            <w:r>
              <w:rPr>
                <w:rFonts w:hint="eastAsia"/>
                <w:color w:val="auto"/>
              </w:rPr>
              <w:t>免费安装、调试直至设备验收合格。</w:t>
            </w:r>
          </w:p>
          <w:p w14:paraId="2B0474DA">
            <w:pPr>
              <w:numPr>
                <w:ilvl w:val="0"/>
                <w:numId w:val="1"/>
              </w:numPr>
              <w:snapToGrid w:val="0"/>
              <w:spacing w:line="520" w:lineRule="exact"/>
              <w:rPr>
                <w:color w:val="auto"/>
              </w:rPr>
            </w:pPr>
            <w:r>
              <w:rPr>
                <w:rFonts w:hint="eastAsia"/>
                <w:color w:val="auto"/>
              </w:rPr>
              <w:t>工程安装施工要求：</w:t>
            </w:r>
          </w:p>
          <w:p w14:paraId="574EE76D">
            <w:pPr>
              <w:numPr>
                <w:ilvl w:val="0"/>
                <w:numId w:val="2"/>
              </w:numPr>
              <w:snapToGrid w:val="0"/>
              <w:spacing w:line="520" w:lineRule="exact"/>
              <w:rPr>
                <w:color w:val="auto"/>
              </w:rPr>
            </w:pPr>
            <w:r>
              <w:rPr>
                <w:rFonts w:hint="eastAsia"/>
                <w:color w:val="auto"/>
              </w:rPr>
              <w:t>供应商负责全套机组的安装调试。</w:t>
            </w:r>
          </w:p>
          <w:p w14:paraId="7D437270">
            <w:pPr>
              <w:numPr>
                <w:ilvl w:val="0"/>
                <w:numId w:val="2"/>
              </w:numPr>
              <w:snapToGrid w:val="0"/>
              <w:spacing w:line="520" w:lineRule="exact"/>
              <w:rPr>
                <w:color w:val="auto"/>
              </w:rPr>
            </w:pPr>
            <w:r>
              <w:rPr>
                <w:rFonts w:hint="eastAsia"/>
                <w:color w:val="auto"/>
              </w:rPr>
              <w:t>供应商要负责对井道土建勘察，并出具电梯土建图。</w:t>
            </w:r>
          </w:p>
          <w:p w14:paraId="0D692E08">
            <w:pPr>
              <w:numPr>
                <w:ilvl w:val="0"/>
                <w:numId w:val="2"/>
              </w:numPr>
              <w:snapToGrid w:val="0"/>
              <w:spacing w:line="520" w:lineRule="exact"/>
              <w:rPr>
                <w:color w:val="auto"/>
              </w:rPr>
            </w:pPr>
            <w:r>
              <w:rPr>
                <w:rFonts w:hint="eastAsia"/>
                <w:color w:val="auto"/>
              </w:rPr>
              <w:t>设备安装调试必须严格执行国家有关技术标准，供应商自负施工人身、设备安全责任。</w:t>
            </w:r>
          </w:p>
          <w:p w14:paraId="0F90CF2B">
            <w:pPr>
              <w:numPr>
                <w:ilvl w:val="0"/>
                <w:numId w:val="2"/>
              </w:numPr>
              <w:snapToGrid w:val="0"/>
              <w:spacing w:line="520" w:lineRule="exact"/>
              <w:rPr>
                <w:color w:val="auto"/>
              </w:rPr>
            </w:pPr>
            <w:r>
              <w:rPr>
                <w:rFonts w:hint="eastAsia"/>
                <w:color w:val="auto"/>
              </w:rPr>
              <w:t>安装调试过程中，供应商应派专业技术人员对施工进行同步指导，并负责全套机组的调试运行，达到验收要求。</w:t>
            </w:r>
          </w:p>
          <w:p w14:paraId="31BE24E0">
            <w:pPr>
              <w:numPr>
                <w:ilvl w:val="0"/>
                <w:numId w:val="2"/>
              </w:numPr>
              <w:snapToGrid w:val="0"/>
              <w:spacing w:line="520" w:lineRule="exact"/>
              <w:rPr>
                <w:color w:val="auto"/>
              </w:rPr>
            </w:pPr>
            <w:r>
              <w:rPr>
                <w:rFonts w:hint="eastAsia"/>
                <w:color w:val="auto"/>
              </w:rPr>
              <w:t>供应商负责办理有关电梯设备安装的开工报装和竣工报验手续。</w:t>
            </w:r>
          </w:p>
          <w:p w14:paraId="4B94F92F">
            <w:pPr>
              <w:numPr>
                <w:ilvl w:val="0"/>
                <w:numId w:val="2"/>
              </w:numPr>
              <w:snapToGrid w:val="0"/>
              <w:spacing w:line="520" w:lineRule="exact"/>
              <w:rPr>
                <w:color w:val="auto"/>
              </w:rPr>
            </w:pPr>
            <w:r>
              <w:rPr>
                <w:rFonts w:hint="eastAsia"/>
                <w:color w:val="auto"/>
              </w:rPr>
              <w:t>设备验收费用由成交供应商负责。</w:t>
            </w:r>
          </w:p>
          <w:p w14:paraId="2B0ECA58">
            <w:pPr>
              <w:numPr>
                <w:ilvl w:val="0"/>
                <w:numId w:val="2"/>
              </w:numPr>
              <w:snapToGrid w:val="0"/>
              <w:spacing w:line="520" w:lineRule="exact"/>
              <w:rPr>
                <w:color w:val="auto"/>
              </w:rPr>
            </w:pPr>
            <w:r>
              <w:rPr>
                <w:rFonts w:hint="eastAsia"/>
                <w:color w:val="auto"/>
              </w:rPr>
              <w:t>安装验收应按以下标准与规定执行：《电梯安装验收规范》（GB10060）；《电气装置安装工程电梯电气装置施工与验收规范》（GB50182）；《电梯工程施工质量验收规范》（GB50310）；电力、消防、安监部门的有关规定等。</w:t>
            </w:r>
          </w:p>
          <w:p w14:paraId="1B2EF487">
            <w:pPr>
              <w:numPr>
                <w:ilvl w:val="0"/>
                <w:numId w:val="1"/>
              </w:numPr>
              <w:snapToGrid w:val="0"/>
              <w:spacing w:line="520" w:lineRule="exact"/>
              <w:rPr>
                <w:color w:val="auto"/>
              </w:rPr>
            </w:pPr>
            <w:r>
              <w:rPr>
                <w:rFonts w:hint="eastAsia"/>
                <w:color w:val="auto"/>
              </w:rPr>
              <w:t>零部件、配件及安装材料必须是未经使用的全新的并符合国家有关质量安全标准的合格产品。</w:t>
            </w:r>
          </w:p>
          <w:p w14:paraId="5C5E405E">
            <w:pPr>
              <w:snapToGrid w:val="0"/>
              <w:spacing w:line="520" w:lineRule="exact"/>
              <w:rPr>
                <w:color w:val="auto"/>
              </w:rPr>
            </w:pPr>
            <w:r>
              <w:rPr>
                <w:rFonts w:hint="eastAsia"/>
                <w:color w:val="auto"/>
                <w:lang w:val="zh-CN"/>
              </w:rPr>
              <w:t>二、</w:t>
            </w:r>
            <w:r>
              <w:rPr>
                <w:color w:val="auto"/>
                <w:lang w:val="zh-CN"/>
              </w:rPr>
              <w:t>▲</w:t>
            </w:r>
            <w:r>
              <w:rPr>
                <w:rFonts w:hint="eastAsia"/>
                <w:color w:val="auto"/>
              </w:rPr>
              <w:t>售后服务及其他要求：</w:t>
            </w:r>
          </w:p>
          <w:p w14:paraId="1EDD3E01">
            <w:pPr>
              <w:numPr>
                <w:ilvl w:val="0"/>
                <w:numId w:val="3"/>
              </w:numPr>
              <w:snapToGrid w:val="0"/>
              <w:spacing w:line="520" w:lineRule="exact"/>
              <w:jc w:val="left"/>
              <w:rPr>
                <w:color w:val="auto"/>
              </w:rPr>
            </w:pPr>
            <w:r>
              <w:rPr>
                <w:rFonts w:hint="eastAsia"/>
                <w:color w:val="auto"/>
              </w:rPr>
              <w:t>质保期：自安装、调试完毕并经桂林市特检院验收合格之日起 1</w:t>
            </w:r>
            <w:r>
              <w:rPr>
                <w:color w:val="auto"/>
              </w:rPr>
              <w:t xml:space="preserve"> </w:t>
            </w:r>
            <w:r>
              <w:rPr>
                <w:rFonts w:hint="eastAsia"/>
                <w:color w:val="auto"/>
              </w:rPr>
              <w:t>年免费保修。</w:t>
            </w:r>
          </w:p>
          <w:p w14:paraId="4AFE843C">
            <w:pPr>
              <w:numPr>
                <w:ilvl w:val="0"/>
                <w:numId w:val="3"/>
              </w:numPr>
              <w:snapToGrid w:val="0"/>
              <w:spacing w:line="520" w:lineRule="exact"/>
              <w:jc w:val="left"/>
              <w:rPr>
                <w:color w:val="auto"/>
              </w:rPr>
            </w:pPr>
            <w:r>
              <w:rPr>
                <w:rFonts w:hint="eastAsia"/>
                <w:color w:val="auto"/>
              </w:rPr>
              <w:t>1年质保期内，按国家规定的电梯保养标准，每15天免费定期上门保养一次（检查、清洁、</w:t>
            </w:r>
          </w:p>
          <w:p w14:paraId="561EF757">
            <w:pPr>
              <w:tabs>
                <w:tab w:val="left" w:pos="780"/>
              </w:tabs>
              <w:snapToGrid w:val="0"/>
              <w:spacing w:line="520" w:lineRule="exact"/>
              <w:ind w:left="420"/>
              <w:jc w:val="left"/>
              <w:rPr>
                <w:color w:val="auto"/>
              </w:rPr>
            </w:pPr>
            <w:r>
              <w:rPr>
                <w:rFonts w:hint="eastAsia"/>
                <w:color w:val="auto"/>
              </w:rPr>
              <w:t>除尘、加油、调整），保养结束后需双方签字确认存档，售后服务保养单用中华人民共和国国家质量监督检验检疫总局颁布（2017年1月16日）的《曳引与强制驱动电梯维护保养项目（内容）和要求》的文本。</w:t>
            </w:r>
          </w:p>
          <w:p w14:paraId="6FE54868">
            <w:pPr>
              <w:snapToGrid w:val="0"/>
              <w:spacing w:line="520" w:lineRule="exact"/>
              <w:ind w:left="420"/>
              <w:rPr>
                <w:color w:val="auto"/>
              </w:rPr>
            </w:pPr>
            <w:r>
              <w:rPr>
                <w:rFonts w:hint="eastAsia"/>
                <w:color w:val="auto"/>
              </w:rPr>
              <w:t>3、如采购方在设备使用过程发生质量问题，在接到通知后成交供应商的维修技术人员必须在30分钟内响应，半小时内到达现场处理，一般故障处理时限不超过24小时，重大故障处理时限不超过48小时修复。</w:t>
            </w:r>
          </w:p>
          <w:p w14:paraId="247C51E5">
            <w:pPr>
              <w:snapToGrid w:val="0"/>
              <w:spacing w:line="520" w:lineRule="exact"/>
              <w:ind w:left="420"/>
              <w:rPr>
                <w:color w:val="auto"/>
              </w:rPr>
            </w:pPr>
            <w:r>
              <w:rPr>
                <w:rFonts w:hint="eastAsia"/>
                <w:color w:val="auto"/>
              </w:rPr>
              <w:t>4、免费对采购方的1-2名操作人员进行操作及保养培训，在安装调试过程也应让操作人员共同参与，并进行现场培训。</w:t>
            </w:r>
          </w:p>
          <w:p w14:paraId="78A2FBB5">
            <w:pPr>
              <w:snapToGrid w:val="0"/>
              <w:spacing w:line="520" w:lineRule="exact"/>
              <w:ind w:left="420"/>
              <w:rPr>
                <w:color w:val="auto"/>
              </w:rPr>
            </w:pPr>
            <w:r>
              <w:rPr>
                <w:rFonts w:hint="eastAsia"/>
                <w:color w:val="auto"/>
              </w:rPr>
              <w:t>5、供应商应在响应文件中正确反映电梯的技术水平和科技含量，并对控制方式加以详细说明</w:t>
            </w:r>
          </w:p>
          <w:p w14:paraId="157E34C3">
            <w:pPr>
              <w:snapToGrid w:val="0"/>
              <w:spacing w:line="520" w:lineRule="exact"/>
              <w:ind w:left="420"/>
              <w:rPr>
                <w:color w:val="auto"/>
              </w:rPr>
            </w:pPr>
            <w:r>
              <w:rPr>
                <w:rFonts w:hint="eastAsia"/>
                <w:color w:val="auto"/>
              </w:rPr>
              <w:t>6、成交供应商应常年备有主机易损配件，能及时处理、替换损坏的部件，并提供零配件优惠清单</w:t>
            </w:r>
          </w:p>
          <w:p w14:paraId="45A9262E">
            <w:pPr>
              <w:tabs>
                <w:tab w:val="left" w:pos="720"/>
                <w:tab w:val="left" w:pos="900"/>
              </w:tabs>
              <w:snapToGrid w:val="0"/>
              <w:spacing w:line="520" w:lineRule="exact"/>
              <w:ind w:left="420"/>
              <w:rPr>
                <w:color w:val="auto"/>
              </w:rPr>
            </w:pPr>
            <w:r>
              <w:rPr>
                <w:rFonts w:hint="eastAsia"/>
                <w:color w:val="auto"/>
              </w:rPr>
              <w:t xml:space="preserve">7、交付使用期：签订合同之日起 </w:t>
            </w:r>
            <w:r>
              <w:rPr>
                <w:rFonts w:hint="eastAsia"/>
                <w:color w:val="auto"/>
                <w:lang w:val="en-US" w:eastAsia="zh-CN"/>
              </w:rPr>
              <w:t>9</w:t>
            </w:r>
            <w:r>
              <w:rPr>
                <w:rFonts w:hint="eastAsia"/>
                <w:color w:val="auto"/>
              </w:rPr>
              <w:t>0 个日历天安装调试完毕。</w:t>
            </w:r>
          </w:p>
          <w:p w14:paraId="6A98FE9F">
            <w:pPr>
              <w:tabs>
                <w:tab w:val="left" w:pos="900"/>
              </w:tabs>
              <w:snapToGrid w:val="0"/>
              <w:spacing w:line="520" w:lineRule="exact"/>
              <w:ind w:left="420"/>
              <w:rPr>
                <w:color w:val="auto"/>
              </w:rPr>
            </w:pPr>
            <w:r>
              <w:rPr>
                <w:rFonts w:hint="eastAsia"/>
                <w:color w:val="auto"/>
              </w:rPr>
              <w:t>8、交付地点：采购人指定地点 。</w:t>
            </w:r>
          </w:p>
          <w:p w14:paraId="632848ED">
            <w:pPr>
              <w:tabs>
                <w:tab w:val="left" w:pos="900"/>
              </w:tabs>
              <w:snapToGrid w:val="0"/>
              <w:spacing w:line="520" w:lineRule="exact"/>
              <w:ind w:left="420"/>
              <w:rPr>
                <w:color w:val="auto"/>
              </w:rPr>
            </w:pPr>
            <w:r>
              <w:rPr>
                <w:rFonts w:hint="eastAsia"/>
                <w:color w:val="auto"/>
              </w:rPr>
              <w:t>9、供应商应根据项目要求，在响应文件中做出详细的施工安装方案（包括人员配备、机械设备、进度计划、安装调试方案、验收措施等详细内容），以作为评标依据。</w:t>
            </w:r>
          </w:p>
          <w:p w14:paraId="4D9B2755">
            <w:pPr>
              <w:tabs>
                <w:tab w:val="left" w:pos="900"/>
              </w:tabs>
              <w:snapToGrid w:val="0"/>
              <w:spacing w:line="520" w:lineRule="exact"/>
              <w:ind w:firstLine="420" w:firstLineChars="200"/>
              <w:rPr>
                <w:color w:val="auto"/>
              </w:rPr>
            </w:pPr>
            <w:r>
              <w:rPr>
                <w:rFonts w:hint="eastAsia"/>
                <w:color w:val="auto"/>
              </w:rPr>
              <w:t>10、付款方式：中标人与采购方具体协商。</w:t>
            </w:r>
          </w:p>
          <w:p w14:paraId="705EE8DC">
            <w:pPr>
              <w:spacing w:line="520" w:lineRule="exact"/>
              <w:ind w:firstLine="420" w:firstLineChars="200"/>
              <w:rPr>
                <w:rFonts w:hint="eastAsia"/>
                <w:color w:val="auto"/>
              </w:rPr>
            </w:pPr>
            <w:r>
              <w:rPr>
                <w:rFonts w:hint="eastAsia"/>
                <w:color w:val="auto"/>
              </w:rPr>
              <w:t>11、有针对本工程且能够结合现场情况的施工方案，施工周期短、方案先进、描述详细、技术成熟。有实施日程表和充足的人员安排，安装人员经验强，具体实施步骤和要求描述全面，职责分工明确，进度安排合理，安全措施周密，可行性强，优于竞标文件要求。</w:t>
            </w:r>
          </w:p>
          <w:p w14:paraId="210B61E5">
            <w:pPr>
              <w:pStyle w:val="2"/>
              <w:rPr>
                <w:rFonts w:hint="eastAsia" w:eastAsia="宋体"/>
                <w:color w:val="auto"/>
                <w:lang w:val="en-US" w:eastAsia="zh-CN"/>
              </w:rPr>
            </w:pPr>
            <w:r>
              <w:rPr>
                <w:rFonts w:hint="eastAsia" w:ascii="宋体" w:hAnsi="宋体" w:eastAsia="宋体" w:cs="宋体"/>
                <w:color w:val="auto"/>
                <w:sz w:val="22"/>
                <w:szCs w:val="22"/>
                <w:lang w:val="en-US" w:eastAsia="zh-CN"/>
              </w:rPr>
              <w:t xml:space="preserve">   </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投标人</w:t>
            </w:r>
            <w:r>
              <w:rPr>
                <w:rFonts w:hint="eastAsia" w:eastAsia="宋体" w:cs="Times New Roman"/>
                <w:color w:val="auto"/>
                <w:sz w:val="21"/>
                <w:szCs w:val="21"/>
                <w:lang w:eastAsia="zh-CN"/>
              </w:rPr>
              <w:t>投标时</w:t>
            </w:r>
            <w:r>
              <w:rPr>
                <w:rFonts w:hint="default" w:ascii="Times New Roman" w:hAnsi="Times New Roman" w:eastAsia="宋体" w:cs="Times New Roman"/>
                <w:color w:val="auto"/>
                <w:sz w:val="21"/>
                <w:szCs w:val="21"/>
              </w:rPr>
              <w:t>需提供竞标品牌</w:t>
            </w:r>
            <w:r>
              <w:rPr>
                <w:rFonts w:hint="eastAsia" w:eastAsia="宋体" w:cs="Times New Roman"/>
                <w:color w:val="auto"/>
                <w:sz w:val="21"/>
                <w:szCs w:val="21"/>
                <w:lang w:eastAsia="zh-CN"/>
              </w:rPr>
              <w:t>生厂产家</w:t>
            </w:r>
            <w:r>
              <w:rPr>
                <w:rFonts w:hint="default" w:ascii="Times New Roman" w:hAnsi="Times New Roman" w:eastAsia="宋体" w:cs="Times New Roman"/>
                <w:color w:val="auto"/>
                <w:sz w:val="21"/>
                <w:szCs w:val="21"/>
              </w:rPr>
              <w:t>的项目授权书</w:t>
            </w:r>
            <w:r>
              <w:rPr>
                <w:rFonts w:hint="eastAsia" w:eastAsia="宋体" w:cs="Times New Roman"/>
                <w:color w:val="auto"/>
                <w:sz w:val="21"/>
                <w:szCs w:val="21"/>
                <w:lang w:eastAsia="zh-CN"/>
              </w:rPr>
              <w:t>。</w:t>
            </w:r>
          </w:p>
        </w:tc>
      </w:tr>
    </w:tbl>
    <w:p w14:paraId="5B97ACE2">
      <w:pPr>
        <w:rPr>
          <w:rFonts w:ascii="宋体" w:hAnsi="宋体" w:eastAsiaTheme="minorEastAsia"/>
          <w:sz w:val="22"/>
          <w:szCs w:val="28"/>
          <w:u w:val="singl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24B45"/>
    <w:multiLevelType w:val="multilevel"/>
    <w:tmpl w:val="41D24B45"/>
    <w:lvl w:ilvl="0" w:tentative="0">
      <w:start w:val="1"/>
      <w:numFmt w:val="decimal"/>
      <w:lvlText w:val="%1、"/>
      <w:lvlJc w:val="left"/>
      <w:pPr>
        <w:tabs>
          <w:tab w:val="left" w:pos="780"/>
        </w:tabs>
        <w:ind w:left="780" w:hanging="360"/>
      </w:pPr>
      <w:rPr>
        <w:rFonts w:hint="default"/>
      </w:rPr>
    </w:lvl>
    <w:lvl w:ilvl="1" w:tentative="0">
      <w:start w:val="1"/>
      <w:numFmt w:val="decimalEnclosedCircle"/>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FB32F1D"/>
    <w:multiLevelType w:val="multilevel"/>
    <w:tmpl w:val="5FB32F1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3947101"/>
    <w:multiLevelType w:val="multilevel"/>
    <w:tmpl w:val="63947101"/>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ZGU1YjU4NzZiZWQwNDRmNDRlNTQxZDM4NWRiN2IifQ=="/>
  </w:docVars>
  <w:rsids>
    <w:rsidRoot w:val="009C7D4E"/>
    <w:rsid w:val="0001381C"/>
    <w:rsid w:val="0005503E"/>
    <w:rsid w:val="00097837"/>
    <w:rsid w:val="000B6CA8"/>
    <w:rsid w:val="000C7B27"/>
    <w:rsid w:val="000D0330"/>
    <w:rsid w:val="000D6C59"/>
    <w:rsid w:val="0013093C"/>
    <w:rsid w:val="00134B02"/>
    <w:rsid w:val="0013561F"/>
    <w:rsid w:val="00162CF5"/>
    <w:rsid w:val="0019476C"/>
    <w:rsid w:val="001C4468"/>
    <w:rsid w:val="001F3CBA"/>
    <w:rsid w:val="002225E6"/>
    <w:rsid w:val="0022579E"/>
    <w:rsid w:val="00233BD4"/>
    <w:rsid w:val="00272E01"/>
    <w:rsid w:val="00274F47"/>
    <w:rsid w:val="00283550"/>
    <w:rsid w:val="002A1FC3"/>
    <w:rsid w:val="002A75B5"/>
    <w:rsid w:val="002C57E6"/>
    <w:rsid w:val="002D0CF5"/>
    <w:rsid w:val="00317594"/>
    <w:rsid w:val="00323DC0"/>
    <w:rsid w:val="00342202"/>
    <w:rsid w:val="0034781F"/>
    <w:rsid w:val="003660FA"/>
    <w:rsid w:val="003C3C42"/>
    <w:rsid w:val="003F5445"/>
    <w:rsid w:val="004060B8"/>
    <w:rsid w:val="00427EC0"/>
    <w:rsid w:val="004455B8"/>
    <w:rsid w:val="004A1328"/>
    <w:rsid w:val="004C1CED"/>
    <w:rsid w:val="0050621C"/>
    <w:rsid w:val="00563144"/>
    <w:rsid w:val="005B213C"/>
    <w:rsid w:val="005F50A5"/>
    <w:rsid w:val="00603DFA"/>
    <w:rsid w:val="00613F5B"/>
    <w:rsid w:val="006144FC"/>
    <w:rsid w:val="0062128E"/>
    <w:rsid w:val="00623E3B"/>
    <w:rsid w:val="00624AE8"/>
    <w:rsid w:val="00662CB0"/>
    <w:rsid w:val="00662EDF"/>
    <w:rsid w:val="006649C2"/>
    <w:rsid w:val="006A25D5"/>
    <w:rsid w:val="007070E5"/>
    <w:rsid w:val="00750BB2"/>
    <w:rsid w:val="00757117"/>
    <w:rsid w:val="00763B21"/>
    <w:rsid w:val="007645E3"/>
    <w:rsid w:val="00797B9B"/>
    <w:rsid w:val="007A1E65"/>
    <w:rsid w:val="007F7A1F"/>
    <w:rsid w:val="00831F4E"/>
    <w:rsid w:val="00872A9E"/>
    <w:rsid w:val="00887198"/>
    <w:rsid w:val="008B4F61"/>
    <w:rsid w:val="008C0027"/>
    <w:rsid w:val="008C5280"/>
    <w:rsid w:val="008D36F7"/>
    <w:rsid w:val="0091044C"/>
    <w:rsid w:val="00915093"/>
    <w:rsid w:val="009343C6"/>
    <w:rsid w:val="00942AC7"/>
    <w:rsid w:val="009706EE"/>
    <w:rsid w:val="0097698E"/>
    <w:rsid w:val="009C0AE5"/>
    <w:rsid w:val="009C7D4E"/>
    <w:rsid w:val="009D6FEF"/>
    <w:rsid w:val="009E3EC9"/>
    <w:rsid w:val="00A24B2A"/>
    <w:rsid w:val="00A30A63"/>
    <w:rsid w:val="00A3755E"/>
    <w:rsid w:val="00A40585"/>
    <w:rsid w:val="00A43F6C"/>
    <w:rsid w:val="00A448F0"/>
    <w:rsid w:val="00A545A7"/>
    <w:rsid w:val="00A67D40"/>
    <w:rsid w:val="00A80034"/>
    <w:rsid w:val="00A86F00"/>
    <w:rsid w:val="00A9791A"/>
    <w:rsid w:val="00AC0F3F"/>
    <w:rsid w:val="00AD6342"/>
    <w:rsid w:val="00AD7E24"/>
    <w:rsid w:val="00AE1B16"/>
    <w:rsid w:val="00B3201E"/>
    <w:rsid w:val="00B4121F"/>
    <w:rsid w:val="00B54BD4"/>
    <w:rsid w:val="00B7050D"/>
    <w:rsid w:val="00BA3718"/>
    <w:rsid w:val="00BB56D4"/>
    <w:rsid w:val="00BC132C"/>
    <w:rsid w:val="00BC159B"/>
    <w:rsid w:val="00BD6E08"/>
    <w:rsid w:val="00BE690B"/>
    <w:rsid w:val="00C20033"/>
    <w:rsid w:val="00C55229"/>
    <w:rsid w:val="00C6002A"/>
    <w:rsid w:val="00CB7C53"/>
    <w:rsid w:val="00CC5ECE"/>
    <w:rsid w:val="00CD423F"/>
    <w:rsid w:val="00CD586A"/>
    <w:rsid w:val="00D03BED"/>
    <w:rsid w:val="00D044E6"/>
    <w:rsid w:val="00D61FED"/>
    <w:rsid w:val="00D96C72"/>
    <w:rsid w:val="00DC2641"/>
    <w:rsid w:val="00DD73E6"/>
    <w:rsid w:val="00DE1AAE"/>
    <w:rsid w:val="00DF02BE"/>
    <w:rsid w:val="00DF5B1C"/>
    <w:rsid w:val="00E50EB6"/>
    <w:rsid w:val="00E54DF3"/>
    <w:rsid w:val="00E775D5"/>
    <w:rsid w:val="00E90012"/>
    <w:rsid w:val="00ED310F"/>
    <w:rsid w:val="00EE6ED6"/>
    <w:rsid w:val="00F01467"/>
    <w:rsid w:val="00F03B81"/>
    <w:rsid w:val="00F0703E"/>
    <w:rsid w:val="00F44BD3"/>
    <w:rsid w:val="00F4561C"/>
    <w:rsid w:val="00F65578"/>
    <w:rsid w:val="00F80C67"/>
    <w:rsid w:val="00F968F0"/>
    <w:rsid w:val="00F9738D"/>
    <w:rsid w:val="00FC24E7"/>
    <w:rsid w:val="00FD26A5"/>
    <w:rsid w:val="00FF5571"/>
    <w:rsid w:val="01E62509"/>
    <w:rsid w:val="05C375FE"/>
    <w:rsid w:val="05DE6BD2"/>
    <w:rsid w:val="0637546A"/>
    <w:rsid w:val="0ED168E7"/>
    <w:rsid w:val="0FB029A1"/>
    <w:rsid w:val="10222D9C"/>
    <w:rsid w:val="15C40F54"/>
    <w:rsid w:val="15F92380"/>
    <w:rsid w:val="1765281B"/>
    <w:rsid w:val="1A7D38B5"/>
    <w:rsid w:val="1B650AE3"/>
    <w:rsid w:val="1FB1E36A"/>
    <w:rsid w:val="2351194D"/>
    <w:rsid w:val="25001A40"/>
    <w:rsid w:val="2AA75FC7"/>
    <w:rsid w:val="2BD756E6"/>
    <w:rsid w:val="2CD623BC"/>
    <w:rsid w:val="2FC4643B"/>
    <w:rsid w:val="30B63EAE"/>
    <w:rsid w:val="33C341A1"/>
    <w:rsid w:val="34E268A9"/>
    <w:rsid w:val="36BC622A"/>
    <w:rsid w:val="3EC712FD"/>
    <w:rsid w:val="3F5544CD"/>
    <w:rsid w:val="402E5098"/>
    <w:rsid w:val="44CE492E"/>
    <w:rsid w:val="476D0CC2"/>
    <w:rsid w:val="47A04ACD"/>
    <w:rsid w:val="4C247A19"/>
    <w:rsid w:val="4E8F03AA"/>
    <w:rsid w:val="4ED15936"/>
    <w:rsid w:val="543A28F5"/>
    <w:rsid w:val="55E0798F"/>
    <w:rsid w:val="55FE15B9"/>
    <w:rsid w:val="5A334018"/>
    <w:rsid w:val="5D123920"/>
    <w:rsid w:val="611B6B1B"/>
    <w:rsid w:val="6247406C"/>
    <w:rsid w:val="672E0052"/>
    <w:rsid w:val="6D7F16C3"/>
    <w:rsid w:val="6F9D16A5"/>
    <w:rsid w:val="70EF990F"/>
    <w:rsid w:val="76A24F2F"/>
    <w:rsid w:val="7AFFAE49"/>
    <w:rsid w:val="7B3F471B"/>
    <w:rsid w:val="7D1C54F4"/>
    <w:rsid w:val="7DED39AE"/>
    <w:rsid w:val="7E8E0035"/>
    <w:rsid w:val="7F75099C"/>
    <w:rsid w:val="9D35BB3E"/>
    <w:rsid w:val="B4EF877C"/>
    <w:rsid w:val="CDB1419B"/>
    <w:rsid w:val="D97F0EA3"/>
    <w:rsid w:val="DDDFCF63"/>
    <w:rsid w:val="DE7FA881"/>
    <w:rsid w:val="EDFFF2C3"/>
    <w:rsid w:val="FDFF0F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Times New Roman" w:cs="Times New Roman"/>
      <w:sz w:val="21"/>
      <w:szCs w:val="21"/>
      <w:shd w:val="clear" w:color="010000" w:fill="auto"/>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3">
    <w:name w:val="index 8"/>
    <w:basedOn w:val="1"/>
    <w:next w:val="1"/>
    <w:qFormat/>
    <w:uiPriority w:val="0"/>
    <w:pPr>
      <w:ind w:left="2940"/>
    </w:pPr>
  </w:style>
  <w:style w:type="paragraph" w:styleId="4">
    <w:name w:val="annotation text"/>
    <w:basedOn w:val="1"/>
    <w:link w:val="18"/>
    <w:qFormat/>
    <w:uiPriority w:val="0"/>
    <w:pPr>
      <w:jc w:val="left"/>
    </w:pPr>
  </w:style>
  <w:style w:type="paragraph" w:styleId="5">
    <w:name w:val="Plain Text"/>
    <w:basedOn w:val="1"/>
    <w:next w:val="3"/>
    <w:qFormat/>
    <w:uiPriority w:val="0"/>
    <w:rPr>
      <w:rFonts w:ascii="宋体" w:hAnsi="Courier New"/>
      <w:szCs w:val="20"/>
    </w:rPr>
  </w:style>
  <w:style w:type="paragraph" w:styleId="6">
    <w:name w:val="Balloon Text"/>
    <w:basedOn w:val="1"/>
    <w:link w:val="16"/>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qFormat/>
    <w:uiPriority w:val="0"/>
    <w:rPr>
      <w:rFonts w:ascii="Times New Roman" w:hAnsi="Times New Roman" w:eastAsia="宋体" w:cs="Times New Roman"/>
      <w:sz w:val="21"/>
      <w:szCs w:val="21"/>
    </w:rPr>
  </w:style>
  <w:style w:type="paragraph" w:customStyle="1" w:styleId="12">
    <w:name w:val="纯文本1"/>
    <w:basedOn w:val="1"/>
    <w:qFormat/>
    <w:uiPriority w:val="0"/>
    <w:rPr>
      <w:rFonts w:ascii="宋体" w:hAnsi="宋体" w:eastAsia="宋体"/>
      <w:sz w:val="20"/>
      <w:szCs w:val="20"/>
    </w:rPr>
  </w:style>
  <w:style w:type="paragraph" w:customStyle="1" w:styleId="13">
    <w:name w:val="xl26"/>
    <w:basedOn w:val="1"/>
    <w:qFormat/>
    <w:uiPriority w:val="0"/>
    <w:pPr>
      <w:jc w:val="center"/>
    </w:pPr>
    <w:rPr>
      <w:rFonts w:eastAsia="宋体"/>
      <w:sz w:val="20"/>
      <w:szCs w:val="20"/>
      <w:shd w:val="clear" w:color="000000" w:fill="auto"/>
    </w:rPr>
  </w:style>
  <w:style w:type="character" w:customStyle="1" w:styleId="14">
    <w:name w:val="页眉 字符"/>
    <w:basedOn w:val="10"/>
    <w:link w:val="8"/>
    <w:qFormat/>
    <w:uiPriority w:val="0"/>
    <w:rPr>
      <w:rFonts w:eastAsia="Times New Roman"/>
      <w:sz w:val="18"/>
      <w:szCs w:val="18"/>
    </w:rPr>
  </w:style>
  <w:style w:type="character" w:customStyle="1" w:styleId="15">
    <w:name w:val="页脚 字符"/>
    <w:basedOn w:val="10"/>
    <w:link w:val="7"/>
    <w:qFormat/>
    <w:uiPriority w:val="0"/>
    <w:rPr>
      <w:rFonts w:eastAsia="Times New Roman"/>
      <w:sz w:val="18"/>
      <w:szCs w:val="18"/>
    </w:rPr>
  </w:style>
  <w:style w:type="character" w:customStyle="1" w:styleId="16">
    <w:name w:val="批注框文本 字符"/>
    <w:basedOn w:val="10"/>
    <w:link w:val="6"/>
    <w:qFormat/>
    <w:uiPriority w:val="0"/>
    <w:rPr>
      <w:rFonts w:eastAsia="Times New Roman"/>
      <w:sz w:val="18"/>
      <w:szCs w:val="18"/>
    </w:rPr>
  </w:style>
  <w:style w:type="paragraph" w:styleId="17">
    <w:name w:val="List Paragraph"/>
    <w:basedOn w:val="1"/>
    <w:qFormat/>
    <w:uiPriority w:val="99"/>
    <w:pPr>
      <w:ind w:firstLine="420" w:firstLineChars="200"/>
    </w:pPr>
  </w:style>
  <w:style w:type="character" w:customStyle="1" w:styleId="18">
    <w:name w:val="批注文字 字符"/>
    <w:basedOn w:val="10"/>
    <w:link w:val="4"/>
    <w:qFormat/>
    <w:uiPriority w:val="0"/>
    <w:rPr>
      <w:rFonts w:eastAsia="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4857</Words>
  <Characters>5207</Characters>
  <Lines>19</Lines>
  <Paragraphs>5</Paragraphs>
  <TotalTime>12</TotalTime>
  <ScaleCrop>false</ScaleCrop>
  <LinksUpToDate>false</LinksUpToDate>
  <CharactersWithSpaces>5252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王坤</cp:lastModifiedBy>
  <dcterms:modified xsi:type="dcterms:W3CDTF">2024-10-16T01:28:24Z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MSIP_Label_7e20d8c0-0771-451f-966c-6b0de5568634_Enabled">
    <vt:lpwstr>True</vt:lpwstr>
  </property>
  <property fmtid="{D5CDD505-2E9C-101B-9397-08002B2CF9AE}" pid="4" name="MSIP_Label_7e20d8c0-0771-451f-966c-6b0de5568634_SiteId">
    <vt:lpwstr>aa06dce7-99d7-403b-8a08-0c5f50471e64</vt:lpwstr>
  </property>
  <property fmtid="{D5CDD505-2E9C-101B-9397-08002B2CF9AE}" pid="5" name="MSIP_Label_7e20d8c0-0771-451f-966c-6b0de5568634_Owner">
    <vt:lpwstr>jing.sheng.tang@schindler.com</vt:lpwstr>
  </property>
  <property fmtid="{D5CDD505-2E9C-101B-9397-08002B2CF9AE}" pid="6" name="MSIP_Label_7e20d8c0-0771-451f-966c-6b0de5568634_SetDate">
    <vt:lpwstr>2020-06-10T16:05:57.6136943Z</vt:lpwstr>
  </property>
  <property fmtid="{D5CDD505-2E9C-101B-9397-08002B2CF9AE}" pid="7" name="MSIP_Label_7e20d8c0-0771-451f-966c-6b0de5568634_Name">
    <vt:lpwstr>Internal Use Only</vt:lpwstr>
  </property>
  <property fmtid="{D5CDD505-2E9C-101B-9397-08002B2CF9AE}" pid="8" name="MSIP_Label_7e20d8c0-0771-451f-966c-6b0de5568634_Application">
    <vt:lpwstr>Microsoft Azure Information Protection</vt:lpwstr>
  </property>
  <property fmtid="{D5CDD505-2E9C-101B-9397-08002B2CF9AE}" pid="9" name="MSIP_Label_7e20d8c0-0771-451f-966c-6b0de5568634_ActionId">
    <vt:lpwstr>540e0a81-0bdb-4b6a-bc22-3ce2f135f393</vt:lpwstr>
  </property>
  <property fmtid="{D5CDD505-2E9C-101B-9397-08002B2CF9AE}" pid="10" name="MSIP_Label_7e20d8c0-0771-451f-966c-6b0de5568634_Extended_MSFT_Method">
    <vt:lpwstr>Automatic</vt:lpwstr>
  </property>
  <property fmtid="{D5CDD505-2E9C-101B-9397-08002B2CF9AE}" pid="11" name="MSIP_Label_1dc4716b-92d5-4aa9-93a8-2ed8b74a3ef4_Enabled">
    <vt:lpwstr>True</vt:lpwstr>
  </property>
  <property fmtid="{D5CDD505-2E9C-101B-9397-08002B2CF9AE}" pid="12" name="MSIP_Label_1dc4716b-92d5-4aa9-93a8-2ed8b74a3ef4_SiteId">
    <vt:lpwstr>aa06dce7-99d7-403b-8a08-0c5f50471e64</vt:lpwstr>
  </property>
  <property fmtid="{D5CDD505-2E9C-101B-9397-08002B2CF9AE}" pid="13" name="MSIP_Label_1dc4716b-92d5-4aa9-93a8-2ed8b74a3ef4_Owner">
    <vt:lpwstr>jing.sheng.tang@schindler.com</vt:lpwstr>
  </property>
  <property fmtid="{D5CDD505-2E9C-101B-9397-08002B2CF9AE}" pid="14" name="MSIP_Label_1dc4716b-92d5-4aa9-93a8-2ed8b74a3ef4_SetDate">
    <vt:lpwstr>2020-06-10T16:05:57.6136943Z</vt:lpwstr>
  </property>
  <property fmtid="{D5CDD505-2E9C-101B-9397-08002B2CF9AE}" pid="15" name="MSIP_Label_1dc4716b-92d5-4aa9-93a8-2ed8b74a3ef4_Name">
    <vt:lpwstr>Sharing with no encryption</vt:lpwstr>
  </property>
  <property fmtid="{D5CDD505-2E9C-101B-9397-08002B2CF9AE}" pid="16" name="MSIP_Label_1dc4716b-92d5-4aa9-93a8-2ed8b74a3ef4_Application">
    <vt:lpwstr>Microsoft Azure Information Protection</vt:lpwstr>
  </property>
  <property fmtid="{D5CDD505-2E9C-101B-9397-08002B2CF9AE}" pid="17" name="MSIP_Label_1dc4716b-92d5-4aa9-93a8-2ed8b74a3ef4_ActionId">
    <vt:lpwstr>540e0a81-0bdb-4b6a-bc22-3ce2f135f393</vt:lpwstr>
  </property>
  <property fmtid="{D5CDD505-2E9C-101B-9397-08002B2CF9AE}" pid="18" name="MSIP_Label_1dc4716b-92d5-4aa9-93a8-2ed8b74a3ef4_Parent">
    <vt:lpwstr>7e20d8c0-0771-451f-966c-6b0de5568634</vt:lpwstr>
  </property>
  <property fmtid="{D5CDD505-2E9C-101B-9397-08002B2CF9AE}" pid="19" name="MSIP_Label_1dc4716b-92d5-4aa9-93a8-2ed8b74a3ef4_Extended_MSFT_Method">
    <vt:lpwstr>Automatic</vt:lpwstr>
  </property>
  <property fmtid="{D5CDD505-2E9C-101B-9397-08002B2CF9AE}" pid="20" name="Sensitivity">
    <vt:lpwstr>Internal Use Only Sharing with no encryption</vt:lpwstr>
  </property>
  <property fmtid="{D5CDD505-2E9C-101B-9397-08002B2CF9AE}" pid="21" name="ICV">
    <vt:lpwstr>C1CD28932AE84EDD8FF13AB46561CEE6_13</vt:lpwstr>
  </property>
</Properties>
</file>