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A12E88">
      <w:pPr>
        <w:spacing w:line="360" w:lineRule="auto"/>
        <w:ind w:firstLine="883" w:firstLineChars="200"/>
        <w:rPr>
          <w:rFonts w:ascii="仿宋_GB2312" w:eastAsia="仿宋_GB2312"/>
          <w:b/>
          <w:sz w:val="44"/>
          <w:szCs w:val="44"/>
        </w:rPr>
      </w:pPr>
      <w:bookmarkStart w:id="0" w:name="_Toc7233"/>
      <w:bookmarkStart w:id="1" w:name="_Toc22353"/>
      <w:bookmarkStart w:id="2" w:name="_Toc24601"/>
      <w:r>
        <w:rPr>
          <w:rFonts w:hint="eastAsia" w:ascii="仿宋_GB2312" w:eastAsia="仿宋_GB2312"/>
          <w:b/>
          <w:sz w:val="44"/>
          <w:szCs w:val="44"/>
        </w:rPr>
        <w:t>青狮潭灌区办公物业管理服务采购</w:t>
      </w:r>
    </w:p>
    <w:bookmarkEnd w:id="0"/>
    <w:bookmarkEnd w:id="1"/>
    <w:bookmarkEnd w:id="2"/>
    <w:p w14:paraId="49F0ACB7"/>
    <w:p w14:paraId="7DE1788C">
      <w:pPr>
        <w:spacing w:line="360" w:lineRule="auto"/>
      </w:pPr>
    </w:p>
    <w:p w14:paraId="6EE8977C">
      <w:pPr>
        <w:spacing w:line="360" w:lineRule="auto"/>
        <w:ind w:firstLine="643" w:firstLineChars="200"/>
        <w:rPr>
          <w:rFonts w:ascii="仿宋_GB2312" w:eastAsia="仿宋_GB2312"/>
          <w:b/>
          <w:sz w:val="32"/>
          <w:szCs w:val="32"/>
        </w:rPr>
      </w:pPr>
      <w:r>
        <w:rPr>
          <w:rFonts w:hint="eastAsia" w:ascii="仿宋_GB2312" w:eastAsia="仿宋_GB2312"/>
          <w:b/>
          <w:sz w:val="32"/>
          <w:szCs w:val="32"/>
        </w:rPr>
        <w:t>一、项目基本情况</w:t>
      </w:r>
    </w:p>
    <w:p w14:paraId="2CD1081D">
      <w:pPr>
        <w:spacing w:line="360" w:lineRule="auto"/>
        <w:ind w:firstLine="640" w:firstLineChars="200"/>
        <w:rPr>
          <w:rFonts w:ascii="仿宋_GB2312" w:eastAsia="仿宋_GB2312"/>
          <w:b/>
          <w:sz w:val="32"/>
          <w:szCs w:val="32"/>
        </w:rPr>
      </w:pPr>
      <w:r>
        <w:rPr>
          <w:rFonts w:hint="eastAsia" w:ascii="仿宋_GB2312" w:hAnsi="宋体" w:eastAsia="仿宋_GB2312" w:cs="宋体"/>
          <w:sz w:val="32"/>
          <w:szCs w:val="32"/>
        </w:rPr>
        <w:t>（一）</w:t>
      </w:r>
      <w:r>
        <w:rPr>
          <w:rFonts w:hint="eastAsia" w:ascii="仿宋_GB2312" w:eastAsia="仿宋_GB2312"/>
          <w:b/>
          <w:sz w:val="32"/>
          <w:szCs w:val="32"/>
        </w:rPr>
        <w:t>项目名称：青狮潭灌区办公物业管理服务</w:t>
      </w:r>
    </w:p>
    <w:p w14:paraId="1FF588EB">
      <w:pPr>
        <w:spacing w:line="360" w:lineRule="auto"/>
        <w:ind w:firstLine="640" w:firstLineChars="200"/>
        <w:rPr>
          <w:rFonts w:ascii="仿宋_GB2312" w:eastAsia="仿宋_GB2312"/>
          <w:b/>
          <w:sz w:val="32"/>
          <w:szCs w:val="32"/>
        </w:rPr>
      </w:pPr>
      <w:r>
        <w:rPr>
          <w:rFonts w:hint="eastAsia" w:ascii="仿宋_GB2312" w:eastAsia="仿宋_GB2312"/>
          <w:sz w:val="32"/>
          <w:szCs w:val="32"/>
        </w:rPr>
        <w:t>（二）</w:t>
      </w:r>
      <w:r>
        <w:rPr>
          <w:rFonts w:hint="eastAsia" w:ascii="仿宋_GB2312" w:hAnsi="宋体" w:eastAsia="仿宋_GB2312" w:cs="宋体"/>
          <w:sz w:val="32"/>
          <w:szCs w:val="32"/>
        </w:rPr>
        <w:t>项目概况</w:t>
      </w:r>
    </w:p>
    <w:p w14:paraId="0207D739">
      <w:pPr>
        <w:spacing w:line="360" w:lineRule="auto"/>
        <w:ind w:firstLine="640" w:firstLineChars="200"/>
        <w:rPr>
          <w:rFonts w:ascii="仿宋_GB2312" w:eastAsia="仿宋_GB2312"/>
          <w:sz w:val="32"/>
          <w:szCs w:val="32"/>
        </w:rPr>
      </w:pPr>
      <w:r>
        <w:rPr>
          <w:rFonts w:hint="eastAsia" w:ascii="仿宋_GB2312" w:eastAsia="仿宋_GB2312"/>
          <w:sz w:val="32"/>
          <w:szCs w:val="32"/>
        </w:rPr>
        <w:t>桂林市青狮潭水库灌区管理站机关大院物业管理服务项目，位于灵川县银渠路</w:t>
      </w:r>
      <w:r>
        <w:rPr>
          <w:rFonts w:hint="eastAsia" w:ascii="仿宋_GB2312" w:eastAsia="仿宋_GB2312" w:hAnsiTheme="majorEastAsia"/>
          <w:sz w:val="32"/>
          <w:szCs w:val="32"/>
        </w:rPr>
        <w:t>115</w:t>
      </w:r>
      <w:r>
        <w:rPr>
          <w:rFonts w:hint="eastAsia" w:ascii="仿宋_GB2312" w:eastAsia="仿宋_GB2312"/>
          <w:sz w:val="32"/>
          <w:szCs w:val="32"/>
        </w:rPr>
        <w:t>号，住户90户，办公楼2栋，停车位约60个。</w:t>
      </w:r>
    </w:p>
    <w:p w14:paraId="30EB76D6">
      <w:pPr>
        <w:spacing w:line="360" w:lineRule="auto"/>
        <w:ind w:firstLine="640" w:firstLineChars="200"/>
        <w:rPr>
          <w:rFonts w:ascii="仿宋_GB2312" w:eastAsia="仿宋_GB2312"/>
          <w:sz w:val="32"/>
          <w:szCs w:val="32"/>
        </w:rPr>
      </w:pPr>
      <w:r>
        <w:rPr>
          <w:rFonts w:hint="eastAsia" w:ascii="仿宋_GB2312" w:eastAsia="仿宋_GB2312"/>
          <w:sz w:val="32"/>
          <w:szCs w:val="32"/>
        </w:rPr>
        <w:t>（三）</w:t>
      </w:r>
      <w:r>
        <w:rPr>
          <w:rFonts w:hint="eastAsia" w:ascii="仿宋_GB2312" w:hAnsi="宋体" w:eastAsia="仿宋_GB2312" w:cs="宋体"/>
          <w:sz w:val="32"/>
          <w:szCs w:val="32"/>
        </w:rPr>
        <w:t>采购预算价</w:t>
      </w:r>
      <w:r>
        <w:rPr>
          <w:rFonts w:hint="eastAsia" w:ascii="仿宋_GB2312" w:hAnsi="宋体" w:eastAsia="仿宋_GB2312" w:cs="宋体"/>
          <w:color w:val="000000" w:themeColor="text1"/>
          <w:sz w:val="32"/>
          <w:szCs w:val="32"/>
        </w:rPr>
        <w:t>：10.00</w:t>
      </w:r>
      <w:r>
        <w:rPr>
          <w:rFonts w:hint="eastAsia" w:ascii="仿宋_GB2312" w:hAnsi="宋体" w:eastAsia="仿宋_GB2312" w:cs="宋体"/>
          <w:sz w:val="32"/>
          <w:szCs w:val="32"/>
        </w:rPr>
        <w:t>万元。</w:t>
      </w:r>
    </w:p>
    <w:p w14:paraId="1DA55DBA">
      <w:pPr>
        <w:spacing w:line="360" w:lineRule="auto"/>
        <w:rPr>
          <w:rFonts w:ascii="仿宋_GB2312" w:hAnsi="宋体" w:eastAsia="仿宋_GB2312" w:cs="宋体"/>
          <w:b/>
          <w:sz w:val="32"/>
          <w:szCs w:val="32"/>
        </w:rPr>
      </w:pPr>
      <w:r>
        <w:rPr>
          <w:rFonts w:hint="eastAsia" w:ascii="仿宋_GB2312" w:hAnsi="宋体" w:eastAsia="仿宋_GB2312" w:cs="宋体"/>
          <w:b/>
          <w:sz w:val="32"/>
          <w:szCs w:val="32"/>
        </w:rPr>
        <w:t xml:space="preserve"> </w:t>
      </w:r>
      <w:r>
        <w:rPr>
          <w:rFonts w:ascii="仿宋_GB2312" w:hAnsi="宋体" w:eastAsia="仿宋_GB2312" w:cs="宋体"/>
          <w:b/>
          <w:sz w:val="32"/>
          <w:szCs w:val="32"/>
        </w:rPr>
        <w:t xml:space="preserve">  </w:t>
      </w:r>
      <w:r>
        <w:rPr>
          <w:rFonts w:hint="eastAsia" w:ascii="仿宋_GB2312" w:hAnsi="宋体" w:eastAsia="仿宋_GB2312" w:cs="宋体"/>
          <w:b/>
          <w:sz w:val="32"/>
          <w:szCs w:val="32"/>
        </w:rPr>
        <w:t>二、物业管理服务委托事项</w:t>
      </w:r>
      <w:bookmarkStart w:id="3" w:name="_GoBack"/>
      <w:bookmarkEnd w:id="3"/>
    </w:p>
    <w:p w14:paraId="3F50A6F3">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（一）安全防范的服务质量标准及要求</w:t>
      </w:r>
    </w:p>
    <w:p w14:paraId="26921816">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1、做好小区内的安全生产、安全保卫、处置治安、突发事件和消防保障、消防安全检查工作。</w:t>
      </w:r>
    </w:p>
    <w:p w14:paraId="47B2866A">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秩序维护管理严密、严格、正规，措施得力，人员尽责，监管到位，防范严密，无重大疏漏；人员要求具备良好的综合素质，责任心强，自觉执行制度，精神面貌佳，反应敏捷；能认真遵守各项规章制度，熟练掌握工作流程。</w:t>
      </w:r>
    </w:p>
    <w:p w14:paraId="32BE18D1">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3、在本物业区域内实行保安24小时值班、巡逻和监控，做好小区内安全防范、门岗执勤、安全监控、防范巡逻；做好防火、防盗等工作；发现小区内存在的安全隐患要及时报告并采取有效措施排除。</w:t>
      </w:r>
    </w:p>
    <w:p w14:paraId="1E4DBB8D">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门岗做好外来人员出入小区的盘查，要求来访者填写相应会客单，经电话联系确认后方可入内，禁止无关人员进入小区；对外来车辆执行出入牌管理制度。做到礼貌待客，对随身携带物品进出小区要进行登记。</w:t>
      </w:r>
    </w:p>
    <w:p w14:paraId="40E0814A">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5、负责小区内全天24小时安全保障服务，协助配合公安机关和有关部门处理小区内一切与治安有关的事件，做好维护小区周边治安秩序及其他安全事务，对管理不善发生物品失窃事件负相应的过失责任。</w:t>
      </w:r>
    </w:p>
    <w:p w14:paraId="13934C13">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6、安防监控室要求24小时值班，及时发现不安全因素，消除隐患。</w:t>
      </w:r>
    </w:p>
    <w:p w14:paraId="1E79511A">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7、不得让闲杂人员进入小区，对可疑人员和物品进行盘问和检查，驱赶散放广告等闲杂人员，制止小区内的打架、滋事事件。</w:t>
      </w:r>
    </w:p>
    <w:p w14:paraId="54B8850A">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8、遇到突发事件要及时报告和处理，必要时报公安机关处理。</w:t>
      </w:r>
    </w:p>
    <w:p w14:paraId="2AB17FBB">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9、当班人员要严守本职岗位，不得擅离职守，要做好记录。门卫岗对搬出的大件物品要主动询问清楚，认真记录，禁止运载携带易燃危险品的人员、车辆进小区，定期汇报消防安全情况。</w:t>
      </w:r>
    </w:p>
    <w:p w14:paraId="0C3EE742">
      <w:pPr>
        <w:spacing w:line="360" w:lineRule="auto"/>
        <w:rPr>
          <w:rFonts w:ascii="仿宋_GB2312" w:hAnsi="宋体" w:eastAsia="仿宋_GB2312" w:cs="宋体"/>
          <w:sz w:val="32"/>
          <w:szCs w:val="32"/>
        </w:rPr>
      </w:pPr>
      <w:r>
        <w:rPr>
          <w:rFonts w:hint="eastAsia" w:ascii="仿宋_GB2312" w:hAnsi="宋体" w:eastAsia="仿宋_GB2312" w:cs="宋体"/>
          <w:sz w:val="32"/>
          <w:szCs w:val="32"/>
        </w:rPr>
        <w:t>10、根据疫情防控需要，要做好来访人员出入扫码、测体温工作</w:t>
      </w:r>
    </w:p>
    <w:p w14:paraId="65BC0D5D">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（二）公共环境卫生服务质量标准及要求</w:t>
      </w:r>
    </w:p>
    <w:p w14:paraId="37BBC39B">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1、负责大院公共环境清洁，并巡视保洁，地面无纸屑、烟头、杂物等废弃物，保证小区公共环境卫生整洁。</w:t>
      </w:r>
    </w:p>
    <w:p w14:paraId="49F4E442">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2、小区道路、停车场、绿地等公共区域设专人保洁，每星期清扫1次,定期清除小区内杂草。</w:t>
      </w:r>
    </w:p>
    <w:p w14:paraId="3DDE10A9">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3、进行保洁巡查，小区内无乱悬挂、乱贴乱画、乱堆放，无明显暴露垃圾、卫生死角等现象，保证小区内干净整洁。</w:t>
      </w:r>
    </w:p>
    <w:p w14:paraId="6EB447F4">
      <w:pPr>
        <w:spacing w:line="360" w:lineRule="auto"/>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★三、人员配置要求</w:t>
      </w:r>
    </w:p>
    <w:p w14:paraId="047A86B9">
      <w:pPr>
        <w:autoSpaceDE w:val="0"/>
        <w:autoSpaceDN w:val="0"/>
        <w:adjustRightInd w:val="0"/>
        <w:ind w:firstLine="643" w:firstLineChars="200"/>
        <w:jc w:val="left"/>
        <w:rPr>
          <w:rFonts w:ascii="仿宋_GB2312" w:hAnsi="宋体" w:eastAsia="仿宋_GB2312" w:cs="宋体"/>
          <w:b/>
          <w:bCs/>
          <w:color w:val="000000" w:themeColor="text1"/>
          <w:sz w:val="32"/>
          <w:szCs w:val="32"/>
        </w:rPr>
      </w:pPr>
      <w:r>
        <w:rPr>
          <w:rFonts w:hint="eastAsia" w:ascii="仿宋_GB2312" w:hAnsi="宋体" w:eastAsia="仿宋_GB2312" w:cs="宋体"/>
          <w:b/>
          <w:bCs/>
          <w:color w:val="000000" w:themeColor="text1"/>
          <w:sz w:val="32"/>
          <w:szCs w:val="32"/>
        </w:rPr>
        <w:t>项目实施人员不得少于3人，并列明项目实施人员名单（必须符合缴纳社保的人员），按实施人员名单提供投标人为其缴纳的2025年1-</w:t>
      </w:r>
      <w:r>
        <w:rPr>
          <w:rFonts w:hint="eastAsia" w:ascii="仿宋_GB2312" w:hAnsi="宋体" w:eastAsia="仿宋_GB2312" w:cs="宋体"/>
          <w:b/>
          <w:bCs/>
          <w:color w:val="000000" w:themeColor="text1"/>
          <w:sz w:val="32"/>
          <w:szCs w:val="32"/>
          <w:lang w:val="en-US" w:eastAsia="zh-CN"/>
        </w:rPr>
        <w:t>4</w:t>
      </w:r>
      <w:r>
        <w:rPr>
          <w:rFonts w:hint="eastAsia" w:ascii="仿宋_GB2312" w:hAnsi="宋体" w:eastAsia="仿宋_GB2312" w:cs="宋体"/>
          <w:b/>
          <w:bCs/>
          <w:color w:val="000000" w:themeColor="text1"/>
          <w:sz w:val="32"/>
          <w:szCs w:val="32"/>
        </w:rPr>
        <w:t>月任意一个月社保证明。【由县级以上（含县级）社会养老保险经办机构出具的供应商为项目实施人员交纳社保证明复印件，未提供社保复印件视为投标无效】。</w:t>
      </w:r>
    </w:p>
    <w:p w14:paraId="1A329F24">
      <w:pPr>
        <w:spacing w:line="360" w:lineRule="auto"/>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四、安全赔偿责任</w:t>
      </w:r>
    </w:p>
    <w:p w14:paraId="0F5C25FB">
      <w:pPr>
        <w:spacing w:line="360" w:lineRule="auto"/>
        <w:ind w:firstLine="640" w:firstLineChars="200"/>
        <w:rPr>
          <w:rFonts w:ascii="宋体" w:hAnsi="宋体" w:cs="宋体"/>
          <w:szCs w:val="21"/>
        </w:rPr>
      </w:pPr>
      <w:r>
        <w:rPr>
          <w:rFonts w:hint="eastAsia" w:ascii="仿宋_GB2312" w:hAnsi="宋体" w:eastAsia="仿宋_GB2312" w:cs="宋体"/>
          <w:sz w:val="32"/>
          <w:szCs w:val="32"/>
        </w:rPr>
        <w:t>因管理不到位，人员失职等原因发生安全责任事故（如财产被盗、损坏、人员伤亡等）的，中标人须承担相应责任，造成采购人损失的，中标人须承担相应的经济赔偿。</w:t>
      </w:r>
    </w:p>
    <w:p w14:paraId="082C9E35">
      <w:pPr>
        <w:spacing w:line="360" w:lineRule="auto"/>
        <w:ind w:firstLine="643" w:firstLineChars="200"/>
        <w:rPr>
          <w:rFonts w:ascii="仿宋_GB2312" w:eastAsia="仿宋_GB2312"/>
          <w:b/>
          <w:sz w:val="32"/>
          <w:szCs w:val="32"/>
        </w:rPr>
      </w:pPr>
      <w:r>
        <w:rPr>
          <w:rFonts w:hint="eastAsia" w:ascii="仿宋_GB2312" w:eastAsia="仿宋_GB2312"/>
          <w:b/>
          <w:sz w:val="32"/>
          <w:szCs w:val="32"/>
        </w:rPr>
        <w:t>五、服务期限及地点</w:t>
      </w:r>
    </w:p>
    <w:p w14:paraId="3262A8C4">
      <w:pPr>
        <w:spacing w:line="360" w:lineRule="auto"/>
        <w:ind w:firstLine="640" w:firstLineChars="200"/>
        <w:rPr>
          <w:rFonts w:ascii="仿宋_GB2312" w:eastAsia="仿宋_GB2312"/>
          <w:sz w:val="32"/>
          <w:szCs w:val="32"/>
        </w:rPr>
      </w:pPr>
      <w:r>
        <w:rPr>
          <w:rFonts w:hint="eastAsia" w:ascii="仿宋_GB2312" w:eastAsia="仿宋_GB2312"/>
          <w:sz w:val="32"/>
          <w:szCs w:val="32"/>
        </w:rPr>
        <w:t>（一）服务期限：壹年,合同签订期：自中标通知书发出之日起15日内。</w:t>
      </w:r>
    </w:p>
    <w:p w14:paraId="3409C70E">
      <w:pPr>
        <w:spacing w:line="360" w:lineRule="auto"/>
        <w:ind w:firstLine="640" w:firstLineChars="200"/>
        <w:rPr>
          <w:rFonts w:ascii="仿宋_GB2312" w:eastAsia="仿宋_GB2312"/>
          <w:sz w:val="32"/>
          <w:szCs w:val="32"/>
        </w:rPr>
      </w:pPr>
      <w:r>
        <w:rPr>
          <w:rFonts w:hint="eastAsia" w:ascii="仿宋_GB2312" w:eastAsia="仿宋_GB2312"/>
          <w:sz w:val="32"/>
          <w:szCs w:val="32"/>
        </w:rPr>
        <w:t>（二）服务地点：灵川县银渠路</w:t>
      </w:r>
      <w:r>
        <w:rPr>
          <w:rFonts w:hint="eastAsia" w:ascii="仿宋_GB2312" w:eastAsia="仿宋_GB2312" w:hAnsiTheme="majorEastAsia"/>
          <w:sz w:val="32"/>
          <w:szCs w:val="32"/>
        </w:rPr>
        <w:t>115</w:t>
      </w:r>
      <w:r>
        <w:rPr>
          <w:rFonts w:hint="eastAsia" w:ascii="仿宋_GB2312" w:eastAsia="仿宋_GB2312"/>
          <w:sz w:val="32"/>
          <w:szCs w:val="32"/>
        </w:rPr>
        <w:t>号桂林市青狮潭水库灌区管理站机关大院。</w:t>
      </w:r>
    </w:p>
    <w:p w14:paraId="6D508C22">
      <w:pPr>
        <w:spacing w:line="360" w:lineRule="auto"/>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六、其他要求</w:t>
      </w:r>
    </w:p>
    <w:p w14:paraId="6CB70B21">
      <w:pPr>
        <w:pStyle w:val="11"/>
        <w:ind w:firstLine="640" w:firstLineChars="200"/>
        <w:rPr>
          <w:rFonts w:ascii="仿宋_GB2312" w:eastAsia="仿宋_GB2312"/>
          <w:color w:val="auto"/>
          <w:kern w:val="2"/>
          <w:sz w:val="32"/>
          <w:szCs w:val="32"/>
        </w:rPr>
      </w:pPr>
      <w:r>
        <w:rPr>
          <w:rFonts w:hint="eastAsia" w:ascii="仿宋_GB2312" w:eastAsia="仿宋_GB2312"/>
          <w:color w:val="auto"/>
          <w:kern w:val="2"/>
          <w:sz w:val="32"/>
          <w:szCs w:val="32"/>
        </w:rPr>
        <w:t>（一）报价必须响应以下部分，包括：</w:t>
      </w:r>
    </w:p>
    <w:p w14:paraId="3B968129">
      <w:pPr>
        <w:pStyle w:val="11"/>
        <w:ind w:firstLine="643" w:firstLineChars="200"/>
        <w:rPr>
          <w:rFonts w:ascii="仿宋_GB2312" w:eastAsia="仿宋"/>
          <w:color w:val="000000" w:themeColor="text1"/>
          <w:kern w:val="2"/>
          <w:sz w:val="32"/>
          <w:szCs w:val="32"/>
        </w:rPr>
      </w:pPr>
      <w:r>
        <w:rPr>
          <w:rFonts w:hint="eastAsia" w:ascii="仿宋_GB2312" w:hAnsi="宋体" w:eastAsia="仿宋_GB2312" w:cs="宋体"/>
          <w:b/>
          <w:sz w:val="32"/>
          <w:szCs w:val="32"/>
        </w:rPr>
        <w:t>★</w:t>
      </w:r>
      <w:r>
        <w:rPr>
          <w:rFonts w:hint="eastAsia" w:ascii="仿宋_GB2312" w:eastAsia="仿宋_GB2312"/>
          <w:b/>
          <w:bCs/>
          <w:color w:val="auto"/>
          <w:kern w:val="2"/>
          <w:sz w:val="32"/>
          <w:szCs w:val="32"/>
        </w:rPr>
        <w:t>1、服务的价格；包含物业服务人员工资、税金、社会保险（五险），以及所有围绕单位保安、保洁、等服务所需一切工具装备费用。</w:t>
      </w:r>
      <w:r>
        <w:rPr>
          <w:rFonts w:hint="eastAsia" w:ascii="仿宋_GB2312" w:eastAsia="仿宋_GB2312"/>
          <w:color w:val="000000" w:themeColor="text1"/>
          <w:kern w:val="2"/>
          <w:sz w:val="32"/>
          <w:szCs w:val="32"/>
        </w:rPr>
        <w:t>【</w:t>
      </w:r>
      <w:r>
        <w:rPr>
          <w:rFonts w:hint="eastAsia" w:ascii="仿宋" w:hAnsi="仿宋" w:eastAsia="仿宋" w:cs="仿宋"/>
          <w:b/>
          <w:bCs/>
          <w:color w:val="000000" w:themeColor="text1"/>
          <w:sz w:val="32"/>
          <w:szCs w:val="32"/>
        </w:rPr>
        <w:t>投标人的报价低于项目地最低工资标准及社会保险标准（五险），可能影响诚信履约的，采购人将其作为报价审核不合格。</w:t>
      </w:r>
      <w:r>
        <w:rPr>
          <w:rFonts w:hint="eastAsia" w:ascii="仿宋_GB2312" w:eastAsia="仿宋_GB2312"/>
          <w:color w:val="000000" w:themeColor="text1"/>
          <w:kern w:val="2"/>
          <w:sz w:val="32"/>
          <w:szCs w:val="32"/>
        </w:rPr>
        <w:t>】</w:t>
      </w:r>
    </w:p>
    <w:p w14:paraId="172A8CD8">
      <w:pPr>
        <w:pStyle w:val="11"/>
        <w:ind w:firstLine="643" w:firstLineChars="200"/>
        <w:rPr>
          <w:rFonts w:ascii="仿宋_GB2312" w:eastAsia="仿宋_GB2312"/>
          <w:color w:val="000000" w:themeColor="text1"/>
          <w:kern w:val="2"/>
          <w:sz w:val="32"/>
          <w:szCs w:val="32"/>
        </w:rPr>
      </w:pPr>
      <w:r>
        <w:rPr>
          <w:rFonts w:hint="eastAsia" w:ascii="仿宋_GB2312" w:hAnsi="宋体" w:eastAsia="仿宋_GB2312" w:cs="宋体"/>
          <w:b/>
          <w:sz w:val="32"/>
          <w:szCs w:val="32"/>
        </w:rPr>
        <w:t>★</w:t>
      </w:r>
      <w:r>
        <w:rPr>
          <w:rFonts w:hint="eastAsia" w:ascii="仿宋_GB2312" w:eastAsia="仿宋_GB2312"/>
          <w:b/>
          <w:bCs/>
          <w:color w:val="auto"/>
          <w:kern w:val="2"/>
          <w:sz w:val="32"/>
          <w:szCs w:val="32"/>
        </w:rPr>
        <w:t>2、</w:t>
      </w:r>
      <w:r>
        <w:rPr>
          <w:rFonts w:hint="eastAsia" w:ascii="仿宋_GB2312" w:eastAsia="仿宋_GB2312"/>
          <w:b/>
          <w:bCs/>
          <w:color w:val="000000" w:themeColor="text1"/>
          <w:kern w:val="2"/>
          <w:sz w:val="32"/>
          <w:szCs w:val="32"/>
        </w:rPr>
        <w:t>必须提供报价表(格式详见附件），报价表必须加盖公章，实际报价必须与报价表一致。（实际报价与报价表不一致的，可认定为恶意投标，视为投标无效，同时采购人可向采购办对投标人发起投诉）。</w:t>
      </w:r>
    </w:p>
    <w:p w14:paraId="1E3EDD0E">
      <w:pPr>
        <w:pStyle w:val="11"/>
        <w:ind w:firstLine="643" w:firstLineChars="200"/>
        <w:rPr>
          <w:rFonts w:ascii="仿宋_GB2312" w:eastAsia="仿宋_GB2312"/>
          <w:b/>
          <w:bCs/>
          <w:color w:val="000000" w:themeColor="text1"/>
          <w:kern w:val="2"/>
          <w:sz w:val="32"/>
          <w:szCs w:val="32"/>
        </w:rPr>
      </w:pPr>
      <w:r>
        <w:rPr>
          <w:rFonts w:hint="eastAsia" w:ascii="仿宋_GB2312" w:hAnsi="宋体" w:eastAsia="仿宋_GB2312" w:cs="宋体"/>
          <w:b/>
          <w:sz w:val="32"/>
          <w:szCs w:val="32"/>
        </w:rPr>
        <w:t>★</w:t>
      </w:r>
      <w:r>
        <w:rPr>
          <w:rFonts w:hint="eastAsia" w:ascii="仿宋_GB2312" w:eastAsia="仿宋_GB2312"/>
          <w:b/>
          <w:bCs/>
          <w:color w:val="000000" w:themeColor="text1"/>
          <w:kern w:val="2"/>
          <w:sz w:val="32"/>
          <w:szCs w:val="32"/>
        </w:rPr>
        <w:t>3、投标人必须提供简介（包含营业执照、法人身份证复印件，单位概况等）。</w:t>
      </w:r>
    </w:p>
    <w:p w14:paraId="2BDE84DF">
      <w:pPr>
        <w:pStyle w:val="11"/>
        <w:ind w:firstLine="640" w:firstLineChars="200"/>
        <w:rPr>
          <w:rFonts w:ascii="仿宋_GB2312" w:eastAsia="仿宋_GB2312"/>
          <w:color w:val="auto"/>
          <w:kern w:val="2"/>
          <w:sz w:val="32"/>
          <w:szCs w:val="32"/>
        </w:rPr>
      </w:pPr>
      <w:r>
        <w:rPr>
          <w:rFonts w:hint="eastAsia" w:ascii="仿宋_GB2312" w:eastAsia="仿宋_GB2312"/>
          <w:color w:val="auto"/>
          <w:kern w:val="2"/>
          <w:sz w:val="32"/>
          <w:szCs w:val="32"/>
        </w:rPr>
        <w:t>4、严格执行国家、自治区、桂林市有关物业管理法律法规规定和物业管理服务合同，对采购项目实施专业化统一管理。</w:t>
      </w:r>
    </w:p>
    <w:p w14:paraId="39A49B58">
      <w:pPr>
        <w:pStyle w:val="11"/>
        <w:ind w:firstLine="640" w:firstLineChars="200"/>
        <w:rPr>
          <w:rFonts w:ascii="仿宋_GB2312" w:eastAsia="仿宋_GB2312"/>
          <w:color w:val="auto"/>
          <w:kern w:val="2"/>
          <w:sz w:val="32"/>
          <w:szCs w:val="32"/>
        </w:rPr>
      </w:pPr>
      <w:r>
        <w:rPr>
          <w:rFonts w:hint="eastAsia" w:ascii="仿宋_GB2312" w:eastAsia="仿宋_GB2312"/>
          <w:color w:val="auto"/>
          <w:kern w:val="2"/>
          <w:sz w:val="32"/>
          <w:szCs w:val="32"/>
        </w:rPr>
        <w:t>5、按照《劳动合同法》的规定与员工签订劳动合同并依据国家、广西和桂林有关最低工资标准的规定要求以及缴纳各种社会保险的规定要求向员工支付工资和缴纳社保及其他保险。投标人的报价中必须按该条款要求充分考虑“人员配置要求”中各类人员的工资、社保及其他应缴保险。</w:t>
      </w:r>
    </w:p>
    <w:p w14:paraId="4827A83D">
      <w:pPr>
        <w:pStyle w:val="11"/>
        <w:ind w:firstLine="640" w:firstLineChars="200"/>
        <w:rPr>
          <w:rFonts w:ascii="仿宋_GB2312" w:eastAsia="仿宋_GB2312"/>
          <w:color w:val="auto"/>
          <w:kern w:val="2"/>
          <w:sz w:val="32"/>
          <w:szCs w:val="32"/>
        </w:rPr>
      </w:pPr>
      <w:r>
        <w:rPr>
          <w:rFonts w:hint="eastAsia" w:ascii="仿宋_GB2312" w:eastAsia="仿宋_GB2312"/>
          <w:color w:val="auto"/>
          <w:kern w:val="2"/>
          <w:sz w:val="32"/>
          <w:szCs w:val="32"/>
        </w:rPr>
        <w:t>6、在合同签订之起7个工作日内办理好物业交接手续。</w:t>
      </w:r>
    </w:p>
    <w:p w14:paraId="5D5F4A19">
      <w:pPr>
        <w:pStyle w:val="11"/>
        <w:ind w:firstLine="640" w:firstLineChars="200"/>
        <w:rPr>
          <w:rFonts w:ascii="仿宋_GB2312" w:eastAsia="仿宋_GB2312"/>
          <w:color w:val="auto"/>
          <w:kern w:val="2"/>
          <w:sz w:val="32"/>
          <w:szCs w:val="32"/>
        </w:rPr>
      </w:pPr>
      <w:r>
        <w:rPr>
          <w:rFonts w:hint="eastAsia" w:ascii="仿宋_GB2312" w:eastAsia="仿宋_GB2312"/>
          <w:color w:val="auto"/>
          <w:kern w:val="2"/>
          <w:sz w:val="32"/>
          <w:szCs w:val="32"/>
        </w:rPr>
        <w:t>7、投标文件中增设规划设施设备以外其他设施设备的，视为投标人自愿承担费用，中标后须在承诺期限内予以实施。</w:t>
      </w:r>
    </w:p>
    <w:p w14:paraId="7AD1F033">
      <w:pPr>
        <w:pStyle w:val="11"/>
        <w:ind w:firstLine="640" w:firstLineChars="200"/>
        <w:rPr>
          <w:rFonts w:ascii="仿宋_GB2312" w:eastAsia="仿宋_GB2312"/>
          <w:color w:val="auto"/>
          <w:kern w:val="2"/>
          <w:sz w:val="32"/>
          <w:szCs w:val="32"/>
        </w:rPr>
      </w:pPr>
      <w:r>
        <w:rPr>
          <w:rFonts w:hint="eastAsia" w:ascii="仿宋_GB2312" w:eastAsia="仿宋_GB2312"/>
          <w:color w:val="auto"/>
          <w:kern w:val="2"/>
          <w:sz w:val="32"/>
          <w:szCs w:val="32"/>
        </w:rPr>
        <w:t>8、不得转包给第三者。</w:t>
      </w:r>
    </w:p>
    <w:p w14:paraId="5DB99599">
      <w:pPr>
        <w:pStyle w:val="11"/>
        <w:ind w:firstLine="640" w:firstLineChars="200"/>
        <w:rPr>
          <w:rFonts w:ascii="仿宋_GB2312" w:eastAsia="仿宋_GB2312"/>
          <w:color w:val="auto"/>
          <w:kern w:val="2"/>
          <w:sz w:val="32"/>
          <w:szCs w:val="32"/>
        </w:rPr>
      </w:pPr>
      <w:r>
        <w:rPr>
          <w:rFonts w:hint="eastAsia" w:ascii="仿宋_GB2312" w:eastAsia="仿宋_GB2312"/>
          <w:color w:val="auto"/>
          <w:kern w:val="2"/>
          <w:sz w:val="32"/>
          <w:szCs w:val="32"/>
        </w:rPr>
        <w:t>9、本项目无预付款，中标单位提交服务经采购人验收合格后，按季度支付合同款。</w:t>
      </w:r>
    </w:p>
    <w:p w14:paraId="14A21FDE">
      <w:pPr>
        <w:spacing w:line="360" w:lineRule="auto"/>
        <w:ind w:firstLine="640" w:firstLineChars="200"/>
        <w:rPr>
          <w:rFonts w:ascii="仿宋_GB2312" w:eastAsia="仿宋_GB2312"/>
          <w:sz w:val="32"/>
          <w:szCs w:val="32"/>
        </w:rPr>
      </w:pPr>
      <w:r>
        <w:rPr>
          <w:rFonts w:hint="eastAsia" w:ascii="仿宋_GB2312" w:eastAsia="仿宋_GB2312"/>
          <w:sz w:val="32"/>
          <w:szCs w:val="32"/>
        </w:rPr>
        <w:t>（二）处理问题响应时间</w:t>
      </w:r>
    </w:p>
    <w:p w14:paraId="1E64EF40">
      <w:pPr>
        <w:spacing w:line="360" w:lineRule="auto"/>
        <w:ind w:firstLine="640" w:firstLineChars="200"/>
        <w:rPr>
          <w:rFonts w:ascii="仿宋_GB2312" w:eastAsia="仿宋_GB2312"/>
          <w:sz w:val="32"/>
          <w:szCs w:val="32"/>
        </w:rPr>
      </w:pPr>
      <w:r>
        <w:rPr>
          <w:rFonts w:hint="eastAsia" w:ascii="仿宋_GB2312" w:eastAsia="仿宋_GB2312"/>
          <w:sz w:val="32"/>
          <w:szCs w:val="32"/>
        </w:rPr>
        <w:t>接到采购人处理问题通知后30分钟内到达采购人指定现场。</w:t>
      </w:r>
    </w:p>
    <w:p w14:paraId="4DFBB9AD">
      <w:pPr>
        <w:spacing w:line="360" w:lineRule="auto"/>
        <w:rPr>
          <w:rFonts w:ascii="仿宋_GB2312" w:hAnsi="宋体" w:eastAsia="仿宋_GB2312" w:cs="宋体"/>
          <w:b/>
          <w:bCs/>
          <w:color w:val="000000" w:themeColor="text1"/>
          <w:sz w:val="32"/>
          <w:szCs w:val="32"/>
        </w:rPr>
      </w:pPr>
      <w:r>
        <w:rPr>
          <w:rFonts w:hint="eastAsia" w:ascii="仿宋_GB2312" w:eastAsia="仿宋_GB2312"/>
          <w:b/>
          <w:bCs/>
          <w:color w:val="000000" w:themeColor="text1"/>
          <w:sz w:val="32"/>
          <w:szCs w:val="32"/>
        </w:rPr>
        <w:t>注：以上</w:t>
      </w:r>
      <w:r>
        <w:rPr>
          <w:rFonts w:hint="eastAsia" w:ascii="仿宋_GB2312" w:hAnsi="宋体" w:eastAsia="仿宋_GB2312" w:cs="宋体"/>
          <w:b/>
          <w:sz w:val="32"/>
          <w:szCs w:val="32"/>
        </w:rPr>
        <w:t>★</w:t>
      </w:r>
      <w:r>
        <w:rPr>
          <w:rFonts w:hint="eastAsia" w:ascii="仿宋_GB2312" w:eastAsia="仿宋_GB2312"/>
          <w:b/>
          <w:bCs/>
          <w:color w:val="000000" w:themeColor="text1"/>
          <w:sz w:val="32"/>
          <w:szCs w:val="32"/>
        </w:rPr>
        <w:t>条款均为实质性响应要求，其中一项不响应视为投标无效。</w:t>
      </w:r>
    </w:p>
    <w:p w14:paraId="6641FA19">
      <w:pPr>
        <w:pStyle w:val="4"/>
        <w:ind w:left="0" w:firstLine="0"/>
      </w:pPr>
    </w:p>
    <w:p w14:paraId="5A8831C4">
      <w:pPr>
        <w:pStyle w:val="4"/>
        <w:ind w:left="0" w:firstLine="0"/>
      </w:pPr>
    </w:p>
    <w:p w14:paraId="1142553E">
      <w:pPr>
        <w:pStyle w:val="4"/>
        <w:ind w:left="0" w:firstLine="0"/>
      </w:pPr>
    </w:p>
    <w:p w14:paraId="0847A12B">
      <w:pPr>
        <w:pStyle w:val="4"/>
        <w:ind w:left="0" w:firstLine="0"/>
      </w:pPr>
    </w:p>
    <w:p w14:paraId="0C0B169C">
      <w:pPr>
        <w:pStyle w:val="4"/>
        <w:ind w:left="0" w:firstLine="0"/>
      </w:pPr>
    </w:p>
    <w:p w14:paraId="25832181">
      <w:pPr>
        <w:pStyle w:val="4"/>
        <w:ind w:left="0" w:firstLine="0"/>
      </w:pPr>
    </w:p>
    <w:p w14:paraId="437C1521">
      <w:pPr>
        <w:pStyle w:val="4"/>
        <w:ind w:left="0" w:firstLine="0"/>
      </w:pPr>
    </w:p>
    <w:p w14:paraId="72A755C3">
      <w:pPr>
        <w:pStyle w:val="4"/>
        <w:ind w:left="0" w:firstLine="0"/>
      </w:pPr>
    </w:p>
    <w:p w14:paraId="1C95ADE4">
      <w:pPr>
        <w:pStyle w:val="4"/>
        <w:ind w:left="0" w:firstLine="0"/>
      </w:pPr>
    </w:p>
    <w:p w14:paraId="70D41AAF">
      <w:pPr>
        <w:pStyle w:val="4"/>
        <w:ind w:left="0" w:firstLine="0"/>
      </w:pPr>
    </w:p>
    <w:p w14:paraId="545532D3">
      <w:pPr>
        <w:pStyle w:val="4"/>
        <w:ind w:left="0" w:firstLine="0"/>
      </w:pPr>
    </w:p>
    <w:p w14:paraId="7E788087">
      <w:pPr>
        <w:pStyle w:val="4"/>
        <w:ind w:left="0" w:firstLine="0"/>
      </w:pPr>
    </w:p>
    <w:p w14:paraId="74148136">
      <w:pPr>
        <w:pStyle w:val="4"/>
        <w:ind w:left="0" w:firstLine="0"/>
      </w:pPr>
    </w:p>
    <w:p w14:paraId="0AA14EAE">
      <w:pPr>
        <w:pStyle w:val="4"/>
        <w:ind w:left="0" w:firstLine="0"/>
      </w:pPr>
    </w:p>
    <w:p w14:paraId="428FFD40">
      <w:pPr>
        <w:pStyle w:val="4"/>
        <w:ind w:left="0" w:firstLine="0"/>
      </w:pPr>
    </w:p>
    <w:p w14:paraId="6B6172D1">
      <w:pPr>
        <w:pStyle w:val="4"/>
        <w:ind w:left="0" w:firstLine="0"/>
      </w:pPr>
    </w:p>
    <w:p w14:paraId="7797FA18">
      <w:pPr>
        <w:pStyle w:val="4"/>
        <w:ind w:left="0" w:firstLine="0"/>
      </w:pPr>
    </w:p>
    <w:p w14:paraId="4504E493">
      <w:pPr>
        <w:pStyle w:val="4"/>
        <w:ind w:left="0" w:firstLine="0"/>
      </w:pPr>
      <w:r>
        <w:rPr>
          <w:rFonts w:hint="eastAsia"/>
        </w:rPr>
        <w:t>附件：</w:t>
      </w:r>
    </w:p>
    <w:p w14:paraId="187E559B">
      <w:pPr>
        <w:pStyle w:val="4"/>
        <w:ind w:left="0" w:firstLine="0"/>
      </w:pPr>
    </w:p>
    <w:p w14:paraId="67E5C7D6">
      <w:pPr>
        <w:pStyle w:val="4"/>
        <w:ind w:left="0" w:firstLine="0"/>
        <w:jc w:val="center"/>
      </w:pPr>
      <w:r>
        <w:rPr>
          <w:rFonts w:hint="eastAsia"/>
          <w:sz w:val="44"/>
          <w:szCs w:val="44"/>
        </w:rPr>
        <w:t>报</w:t>
      </w:r>
      <w:r>
        <w:rPr>
          <w:rFonts w:hint="eastAsia"/>
          <w:sz w:val="44"/>
          <w:szCs w:val="44"/>
          <w:lang w:val="en-US"/>
        </w:rPr>
        <w:t xml:space="preserve"> </w:t>
      </w:r>
      <w:r>
        <w:rPr>
          <w:rFonts w:hint="eastAsia"/>
          <w:sz w:val="44"/>
          <w:szCs w:val="44"/>
        </w:rPr>
        <w:t>价</w:t>
      </w:r>
      <w:r>
        <w:rPr>
          <w:rFonts w:hint="eastAsia"/>
          <w:sz w:val="44"/>
          <w:szCs w:val="44"/>
          <w:lang w:val="en-US"/>
        </w:rPr>
        <w:t xml:space="preserve"> </w:t>
      </w:r>
      <w:r>
        <w:rPr>
          <w:rFonts w:hint="eastAsia"/>
          <w:sz w:val="44"/>
          <w:szCs w:val="44"/>
        </w:rPr>
        <w:t>表</w:t>
      </w:r>
    </w:p>
    <w:tbl>
      <w:tblPr>
        <w:tblStyle w:val="8"/>
        <w:tblW w:w="90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2865"/>
        <w:gridCol w:w="1350"/>
        <w:gridCol w:w="885"/>
        <w:gridCol w:w="900"/>
        <w:gridCol w:w="1477"/>
        <w:gridCol w:w="820"/>
      </w:tblGrid>
      <w:tr w14:paraId="5B69C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51" w:type="dxa"/>
            <w:vAlign w:val="center"/>
          </w:tcPr>
          <w:p w14:paraId="1BB65A40">
            <w:pPr>
              <w:pStyle w:val="4"/>
              <w:ind w:left="0" w:firstLine="0"/>
              <w:jc w:val="center"/>
              <w:rPr>
                <w:sz w:val="24"/>
                <w:szCs w:val="24"/>
                <w:lang w:val="en-US"/>
              </w:rPr>
            </w:pPr>
            <w:r>
              <w:rPr>
                <w:rFonts w:hint="eastAsia"/>
                <w:sz w:val="24"/>
                <w:szCs w:val="24"/>
                <w:lang w:val="en-US"/>
              </w:rPr>
              <w:t>序号</w:t>
            </w:r>
          </w:p>
        </w:tc>
        <w:tc>
          <w:tcPr>
            <w:tcW w:w="2865" w:type="dxa"/>
            <w:vAlign w:val="center"/>
          </w:tcPr>
          <w:p w14:paraId="78B28F7F">
            <w:pPr>
              <w:pStyle w:val="4"/>
              <w:ind w:left="0" w:firstLine="0"/>
              <w:jc w:val="center"/>
              <w:rPr>
                <w:sz w:val="24"/>
                <w:szCs w:val="24"/>
                <w:lang w:val="en-US"/>
              </w:rPr>
            </w:pPr>
            <w:r>
              <w:rPr>
                <w:rFonts w:hint="eastAsia"/>
                <w:sz w:val="24"/>
                <w:szCs w:val="24"/>
                <w:lang w:val="en-US"/>
              </w:rPr>
              <w:t>项目名称</w:t>
            </w:r>
          </w:p>
        </w:tc>
        <w:tc>
          <w:tcPr>
            <w:tcW w:w="1350" w:type="dxa"/>
            <w:vAlign w:val="center"/>
          </w:tcPr>
          <w:p w14:paraId="17BADDDE">
            <w:pPr>
              <w:pStyle w:val="4"/>
              <w:ind w:left="0" w:firstLine="0"/>
              <w:jc w:val="center"/>
              <w:rPr>
                <w:sz w:val="24"/>
                <w:szCs w:val="24"/>
                <w:lang w:val="en-US"/>
              </w:rPr>
            </w:pPr>
            <w:r>
              <w:rPr>
                <w:rFonts w:hint="eastAsia"/>
                <w:sz w:val="24"/>
                <w:szCs w:val="24"/>
                <w:lang w:val="en-US"/>
              </w:rPr>
              <w:t>服务内容</w:t>
            </w:r>
          </w:p>
        </w:tc>
        <w:tc>
          <w:tcPr>
            <w:tcW w:w="885" w:type="dxa"/>
            <w:vAlign w:val="center"/>
          </w:tcPr>
          <w:p w14:paraId="00752AE5">
            <w:pPr>
              <w:pStyle w:val="4"/>
              <w:ind w:left="0" w:firstLine="0"/>
              <w:jc w:val="center"/>
              <w:rPr>
                <w:sz w:val="24"/>
                <w:szCs w:val="24"/>
              </w:rPr>
            </w:pPr>
            <w:r>
              <w:rPr>
                <w:rFonts w:hint="eastAsia"/>
                <w:color w:val="000000"/>
                <w:sz w:val="24"/>
                <w:szCs w:val="24"/>
                <w:lang w:val="en-US"/>
              </w:rPr>
              <w:t>数量</w:t>
            </w:r>
          </w:p>
        </w:tc>
        <w:tc>
          <w:tcPr>
            <w:tcW w:w="900" w:type="dxa"/>
            <w:vAlign w:val="center"/>
          </w:tcPr>
          <w:p w14:paraId="3C151983">
            <w:pPr>
              <w:pStyle w:val="4"/>
              <w:ind w:left="0" w:firstLine="0"/>
              <w:jc w:val="center"/>
              <w:rPr>
                <w:sz w:val="24"/>
                <w:szCs w:val="24"/>
              </w:rPr>
            </w:pPr>
            <w:r>
              <w:rPr>
                <w:rFonts w:hint="eastAsia"/>
                <w:color w:val="000000"/>
                <w:sz w:val="24"/>
                <w:szCs w:val="24"/>
                <w:lang w:val="en-US"/>
              </w:rPr>
              <w:t>单位</w:t>
            </w:r>
          </w:p>
        </w:tc>
        <w:tc>
          <w:tcPr>
            <w:tcW w:w="1477" w:type="dxa"/>
            <w:vAlign w:val="center"/>
          </w:tcPr>
          <w:p w14:paraId="4AE5256F">
            <w:pPr>
              <w:pStyle w:val="4"/>
              <w:ind w:left="0" w:firstLine="0"/>
              <w:jc w:val="center"/>
              <w:rPr>
                <w:sz w:val="24"/>
                <w:szCs w:val="24"/>
              </w:rPr>
            </w:pPr>
            <w:r>
              <w:rPr>
                <w:rFonts w:hint="eastAsia"/>
                <w:color w:val="000000"/>
                <w:sz w:val="24"/>
                <w:szCs w:val="24"/>
                <w:lang w:val="en-US"/>
              </w:rPr>
              <w:t>报价（元）</w:t>
            </w:r>
          </w:p>
        </w:tc>
        <w:tc>
          <w:tcPr>
            <w:tcW w:w="820" w:type="dxa"/>
            <w:vAlign w:val="center"/>
          </w:tcPr>
          <w:p w14:paraId="0C972E1C">
            <w:pPr>
              <w:pStyle w:val="4"/>
              <w:ind w:left="0" w:firstLine="0"/>
              <w:jc w:val="center"/>
              <w:rPr>
                <w:sz w:val="24"/>
                <w:szCs w:val="24"/>
              </w:rPr>
            </w:pPr>
            <w:r>
              <w:rPr>
                <w:rFonts w:hint="eastAsia"/>
                <w:color w:val="000000"/>
                <w:sz w:val="24"/>
                <w:szCs w:val="24"/>
                <w:lang w:val="en-US"/>
              </w:rPr>
              <w:t>备注</w:t>
            </w:r>
          </w:p>
        </w:tc>
      </w:tr>
      <w:tr w14:paraId="2F1B4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67925AC0">
            <w:pPr>
              <w:pStyle w:val="4"/>
              <w:ind w:left="0" w:firstLine="0"/>
              <w:jc w:val="center"/>
              <w:rPr>
                <w:sz w:val="24"/>
                <w:szCs w:val="24"/>
                <w:lang w:val="en-US"/>
              </w:rPr>
            </w:pPr>
          </w:p>
        </w:tc>
        <w:tc>
          <w:tcPr>
            <w:tcW w:w="2865" w:type="dxa"/>
            <w:vAlign w:val="center"/>
          </w:tcPr>
          <w:p w14:paraId="20D931CF">
            <w:pPr>
              <w:pStyle w:val="4"/>
              <w:jc w:val="center"/>
              <w:rPr>
                <w:sz w:val="24"/>
                <w:szCs w:val="24"/>
              </w:rPr>
            </w:pPr>
          </w:p>
        </w:tc>
        <w:tc>
          <w:tcPr>
            <w:tcW w:w="1350" w:type="dxa"/>
            <w:vAlign w:val="center"/>
          </w:tcPr>
          <w:p w14:paraId="4575DA76">
            <w:pPr>
              <w:pStyle w:val="4"/>
              <w:jc w:val="center"/>
              <w:rPr>
                <w:sz w:val="24"/>
                <w:szCs w:val="24"/>
              </w:rPr>
            </w:pPr>
          </w:p>
        </w:tc>
        <w:tc>
          <w:tcPr>
            <w:tcW w:w="885" w:type="dxa"/>
            <w:vAlign w:val="center"/>
          </w:tcPr>
          <w:p w14:paraId="41CD8ED0">
            <w:pPr>
              <w:pStyle w:val="4"/>
              <w:jc w:val="center"/>
              <w:rPr>
                <w:sz w:val="24"/>
                <w:szCs w:val="24"/>
              </w:rPr>
            </w:pPr>
          </w:p>
        </w:tc>
        <w:tc>
          <w:tcPr>
            <w:tcW w:w="900" w:type="dxa"/>
            <w:vAlign w:val="center"/>
          </w:tcPr>
          <w:p w14:paraId="1459A11F">
            <w:pPr>
              <w:pStyle w:val="4"/>
              <w:jc w:val="center"/>
              <w:rPr>
                <w:sz w:val="24"/>
                <w:szCs w:val="24"/>
              </w:rPr>
            </w:pPr>
          </w:p>
        </w:tc>
        <w:tc>
          <w:tcPr>
            <w:tcW w:w="1477" w:type="dxa"/>
            <w:vAlign w:val="center"/>
          </w:tcPr>
          <w:p w14:paraId="2B8C9D56">
            <w:pPr>
              <w:pStyle w:val="4"/>
              <w:jc w:val="center"/>
              <w:rPr>
                <w:sz w:val="24"/>
                <w:szCs w:val="24"/>
              </w:rPr>
            </w:pPr>
          </w:p>
        </w:tc>
        <w:tc>
          <w:tcPr>
            <w:tcW w:w="820" w:type="dxa"/>
            <w:vAlign w:val="center"/>
          </w:tcPr>
          <w:p w14:paraId="6041E9DD">
            <w:pPr>
              <w:pStyle w:val="4"/>
              <w:jc w:val="center"/>
              <w:rPr>
                <w:sz w:val="24"/>
                <w:szCs w:val="24"/>
              </w:rPr>
            </w:pPr>
          </w:p>
        </w:tc>
      </w:tr>
      <w:tr w14:paraId="519D3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2B71B1ED">
            <w:pPr>
              <w:pStyle w:val="4"/>
              <w:ind w:left="0" w:firstLine="0"/>
              <w:jc w:val="center"/>
              <w:rPr>
                <w:sz w:val="24"/>
                <w:szCs w:val="24"/>
                <w:lang w:val="en-US"/>
              </w:rPr>
            </w:pPr>
          </w:p>
        </w:tc>
        <w:tc>
          <w:tcPr>
            <w:tcW w:w="2865" w:type="dxa"/>
            <w:vAlign w:val="center"/>
          </w:tcPr>
          <w:p w14:paraId="5752B0DC">
            <w:pPr>
              <w:pStyle w:val="4"/>
              <w:jc w:val="center"/>
              <w:rPr>
                <w:sz w:val="24"/>
                <w:szCs w:val="24"/>
              </w:rPr>
            </w:pPr>
          </w:p>
        </w:tc>
        <w:tc>
          <w:tcPr>
            <w:tcW w:w="1350" w:type="dxa"/>
            <w:vAlign w:val="center"/>
          </w:tcPr>
          <w:p w14:paraId="6355F234">
            <w:pPr>
              <w:pStyle w:val="4"/>
              <w:jc w:val="center"/>
              <w:rPr>
                <w:sz w:val="24"/>
                <w:szCs w:val="24"/>
              </w:rPr>
            </w:pPr>
          </w:p>
        </w:tc>
        <w:tc>
          <w:tcPr>
            <w:tcW w:w="885" w:type="dxa"/>
            <w:vAlign w:val="center"/>
          </w:tcPr>
          <w:p w14:paraId="47FB21B0">
            <w:pPr>
              <w:pStyle w:val="4"/>
              <w:jc w:val="center"/>
              <w:rPr>
                <w:sz w:val="24"/>
                <w:szCs w:val="24"/>
              </w:rPr>
            </w:pPr>
          </w:p>
        </w:tc>
        <w:tc>
          <w:tcPr>
            <w:tcW w:w="900" w:type="dxa"/>
            <w:vAlign w:val="center"/>
          </w:tcPr>
          <w:p w14:paraId="3A00F831">
            <w:pPr>
              <w:pStyle w:val="4"/>
              <w:jc w:val="center"/>
              <w:rPr>
                <w:sz w:val="24"/>
                <w:szCs w:val="24"/>
              </w:rPr>
            </w:pPr>
          </w:p>
        </w:tc>
        <w:tc>
          <w:tcPr>
            <w:tcW w:w="1477" w:type="dxa"/>
            <w:vAlign w:val="center"/>
          </w:tcPr>
          <w:p w14:paraId="6CD83324">
            <w:pPr>
              <w:pStyle w:val="4"/>
              <w:jc w:val="center"/>
              <w:rPr>
                <w:sz w:val="24"/>
                <w:szCs w:val="24"/>
              </w:rPr>
            </w:pPr>
          </w:p>
        </w:tc>
        <w:tc>
          <w:tcPr>
            <w:tcW w:w="820" w:type="dxa"/>
            <w:vAlign w:val="center"/>
          </w:tcPr>
          <w:p w14:paraId="45D8BEC4">
            <w:pPr>
              <w:pStyle w:val="4"/>
              <w:jc w:val="center"/>
              <w:rPr>
                <w:sz w:val="24"/>
                <w:szCs w:val="24"/>
              </w:rPr>
            </w:pPr>
          </w:p>
        </w:tc>
      </w:tr>
      <w:tr w14:paraId="6F219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1A0AC435">
            <w:pPr>
              <w:pStyle w:val="4"/>
              <w:ind w:left="0" w:firstLine="0"/>
              <w:jc w:val="center"/>
              <w:rPr>
                <w:sz w:val="24"/>
                <w:szCs w:val="24"/>
                <w:lang w:val="en-US"/>
              </w:rPr>
            </w:pPr>
          </w:p>
        </w:tc>
        <w:tc>
          <w:tcPr>
            <w:tcW w:w="2865" w:type="dxa"/>
            <w:vAlign w:val="center"/>
          </w:tcPr>
          <w:p w14:paraId="4C934F84">
            <w:pPr>
              <w:pStyle w:val="4"/>
              <w:jc w:val="center"/>
              <w:rPr>
                <w:sz w:val="24"/>
                <w:szCs w:val="24"/>
              </w:rPr>
            </w:pPr>
          </w:p>
        </w:tc>
        <w:tc>
          <w:tcPr>
            <w:tcW w:w="1350" w:type="dxa"/>
            <w:vAlign w:val="center"/>
          </w:tcPr>
          <w:p w14:paraId="290FE8BC">
            <w:pPr>
              <w:pStyle w:val="4"/>
              <w:jc w:val="center"/>
              <w:rPr>
                <w:sz w:val="24"/>
                <w:szCs w:val="24"/>
              </w:rPr>
            </w:pPr>
          </w:p>
        </w:tc>
        <w:tc>
          <w:tcPr>
            <w:tcW w:w="885" w:type="dxa"/>
            <w:vAlign w:val="center"/>
          </w:tcPr>
          <w:p w14:paraId="1A1E9C87">
            <w:pPr>
              <w:pStyle w:val="4"/>
              <w:jc w:val="center"/>
              <w:rPr>
                <w:sz w:val="24"/>
                <w:szCs w:val="24"/>
              </w:rPr>
            </w:pPr>
          </w:p>
        </w:tc>
        <w:tc>
          <w:tcPr>
            <w:tcW w:w="900" w:type="dxa"/>
            <w:vAlign w:val="center"/>
          </w:tcPr>
          <w:p w14:paraId="275853DE">
            <w:pPr>
              <w:pStyle w:val="4"/>
              <w:jc w:val="center"/>
              <w:rPr>
                <w:sz w:val="24"/>
                <w:szCs w:val="24"/>
              </w:rPr>
            </w:pPr>
          </w:p>
        </w:tc>
        <w:tc>
          <w:tcPr>
            <w:tcW w:w="1477" w:type="dxa"/>
            <w:vAlign w:val="center"/>
          </w:tcPr>
          <w:p w14:paraId="5CB0E48F">
            <w:pPr>
              <w:pStyle w:val="4"/>
              <w:jc w:val="center"/>
              <w:rPr>
                <w:sz w:val="24"/>
                <w:szCs w:val="24"/>
              </w:rPr>
            </w:pPr>
          </w:p>
        </w:tc>
        <w:tc>
          <w:tcPr>
            <w:tcW w:w="820" w:type="dxa"/>
            <w:vAlign w:val="center"/>
          </w:tcPr>
          <w:p w14:paraId="04BE9DDF">
            <w:pPr>
              <w:pStyle w:val="4"/>
              <w:jc w:val="center"/>
              <w:rPr>
                <w:sz w:val="24"/>
                <w:szCs w:val="24"/>
              </w:rPr>
            </w:pPr>
          </w:p>
        </w:tc>
      </w:tr>
      <w:tr w14:paraId="47CBF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50EABCC9">
            <w:pPr>
              <w:pStyle w:val="4"/>
              <w:ind w:left="0" w:firstLine="0"/>
              <w:jc w:val="center"/>
              <w:rPr>
                <w:sz w:val="24"/>
                <w:szCs w:val="24"/>
                <w:lang w:val="en-US"/>
              </w:rPr>
            </w:pPr>
          </w:p>
        </w:tc>
        <w:tc>
          <w:tcPr>
            <w:tcW w:w="2865" w:type="dxa"/>
            <w:vAlign w:val="center"/>
          </w:tcPr>
          <w:p w14:paraId="0893C62A">
            <w:pPr>
              <w:pStyle w:val="4"/>
              <w:jc w:val="center"/>
              <w:rPr>
                <w:sz w:val="24"/>
                <w:szCs w:val="24"/>
              </w:rPr>
            </w:pPr>
          </w:p>
        </w:tc>
        <w:tc>
          <w:tcPr>
            <w:tcW w:w="1350" w:type="dxa"/>
            <w:vAlign w:val="center"/>
          </w:tcPr>
          <w:p w14:paraId="23A0423D">
            <w:pPr>
              <w:pStyle w:val="4"/>
              <w:jc w:val="center"/>
              <w:rPr>
                <w:sz w:val="24"/>
                <w:szCs w:val="24"/>
              </w:rPr>
            </w:pPr>
          </w:p>
        </w:tc>
        <w:tc>
          <w:tcPr>
            <w:tcW w:w="885" w:type="dxa"/>
            <w:vAlign w:val="center"/>
          </w:tcPr>
          <w:p w14:paraId="40307C23">
            <w:pPr>
              <w:pStyle w:val="4"/>
              <w:jc w:val="center"/>
              <w:rPr>
                <w:sz w:val="24"/>
                <w:szCs w:val="24"/>
              </w:rPr>
            </w:pPr>
          </w:p>
        </w:tc>
        <w:tc>
          <w:tcPr>
            <w:tcW w:w="900" w:type="dxa"/>
            <w:vAlign w:val="center"/>
          </w:tcPr>
          <w:p w14:paraId="467EBA67">
            <w:pPr>
              <w:pStyle w:val="4"/>
              <w:jc w:val="center"/>
              <w:rPr>
                <w:sz w:val="24"/>
                <w:szCs w:val="24"/>
              </w:rPr>
            </w:pPr>
          </w:p>
        </w:tc>
        <w:tc>
          <w:tcPr>
            <w:tcW w:w="1477" w:type="dxa"/>
            <w:vAlign w:val="center"/>
          </w:tcPr>
          <w:p w14:paraId="2E061460">
            <w:pPr>
              <w:pStyle w:val="4"/>
              <w:jc w:val="center"/>
              <w:rPr>
                <w:sz w:val="24"/>
                <w:szCs w:val="24"/>
              </w:rPr>
            </w:pPr>
          </w:p>
        </w:tc>
        <w:tc>
          <w:tcPr>
            <w:tcW w:w="820" w:type="dxa"/>
            <w:vAlign w:val="center"/>
          </w:tcPr>
          <w:p w14:paraId="0F8C19C4">
            <w:pPr>
              <w:pStyle w:val="4"/>
              <w:jc w:val="center"/>
              <w:rPr>
                <w:sz w:val="24"/>
                <w:szCs w:val="24"/>
              </w:rPr>
            </w:pPr>
          </w:p>
        </w:tc>
      </w:tr>
      <w:tr w14:paraId="48C05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1" w:type="dxa"/>
            <w:gridSpan w:val="5"/>
            <w:vAlign w:val="center"/>
          </w:tcPr>
          <w:p w14:paraId="2A98BC24">
            <w:pPr>
              <w:pStyle w:val="4"/>
              <w:ind w:left="0" w:firstLine="5280" w:firstLineChars="2200"/>
              <w:jc w:val="both"/>
              <w:rPr>
                <w:sz w:val="24"/>
                <w:szCs w:val="24"/>
              </w:rPr>
            </w:pPr>
            <w:r>
              <w:rPr>
                <w:rFonts w:hint="eastAsia"/>
                <w:color w:val="000000"/>
                <w:sz w:val="24"/>
                <w:szCs w:val="24"/>
                <w:lang w:val="en-US"/>
              </w:rPr>
              <w:t>合计金额</w:t>
            </w:r>
          </w:p>
        </w:tc>
        <w:tc>
          <w:tcPr>
            <w:tcW w:w="1477" w:type="dxa"/>
            <w:vAlign w:val="center"/>
          </w:tcPr>
          <w:p w14:paraId="36535591">
            <w:pPr>
              <w:pStyle w:val="4"/>
              <w:jc w:val="center"/>
              <w:rPr>
                <w:sz w:val="24"/>
                <w:szCs w:val="24"/>
              </w:rPr>
            </w:pPr>
          </w:p>
        </w:tc>
        <w:tc>
          <w:tcPr>
            <w:tcW w:w="820" w:type="dxa"/>
            <w:vAlign w:val="center"/>
          </w:tcPr>
          <w:p w14:paraId="1E22A36F">
            <w:pPr>
              <w:pStyle w:val="4"/>
              <w:jc w:val="center"/>
              <w:rPr>
                <w:sz w:val="24"/>
                <w:szCs w:val="24"/>
              </w:rPr>
            </w:pPr>
          </w:p>
        </w:tc>
      </w:tr>
      <w:tr w14:paraId="7E9E0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048" w:type="dxa"/>
            <w:gridSpan w:val="7"/>
            <w:vAlign w:val="center"/>
          </w:tcPr>
          <w:p w14:paraId="66805C30">
            <w:pPr>
              <w:pStyle w:val="4"/>
              <w:ind w:left="0" w:firstLine="0"/>
              <w:jc w:val="both"/>
              <w:rPr>
                <w:sz w:val="24"/>
                <w:szCs w:val="24"/>
                <w:lang w:val="en-US"/>
              </w:rPr>
            </w:pPr>
            <w:r>
              <w:rPr>
                <w:rFonts w:hint="eastAsia"/>
                <w:sz w:val="24"/>
                <w:szCs w:val="24"/>
                <w:lang w:val="en-US"/>
              </w:rPr>
              <w:t>总报价（大写）：</w:t>
            </w:r>
          </w:p>
        </w:tc>
      </w:tr>
      <w:tr w14:paraId="7D9C2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9048" w:type="dxa"/>
            <w:gridSpan w:val="7"/>
            <w:vAlign w:val="center"/>
          </w:tcPr>
          <w:p w14:paraId="63BB84E6">
            <w:pPr>
              <w:widowControl/>
              <w:jc w:val="left"/>
              <w:rPr>
                <w:sz w:val="24"/>
                <w:szCs w:val="24"/>
              </w:rPr>
            </w:pPr>
            <w:r>
              <w:rPr>
                <w:rFonts w:hint="eastAsia"/>
                <w:sz w:val="24"/>
                <w:szCs w:val="24"/>
              </w:rPr>
              <w:t>说明：报价</w:t>
            </w:r>
            <w:r>
              <w:rPr>
                <w:rFonts w:hint="eastAsia" w:ascii="宋体" w:hAnsi="宋体" w:eastAsia="宋体" w:cs="宋体"/>
                <w:kern w:val="0"/>
                <w:sz w:val="24"/>
                <w:szCs w:val="24"/>
                <w:lang w:bidi="zh-CN"/>
              </w:rPr>
              <w:t>包含物业服务人员工资、税金、社会保险（五险），以及所有围绕单位保安、保洁、等服务所需一切工具装备费用。</w:t>
            </w:r>
          </w:p>
        </w:tc>
      </w:tr>
    </w:tbl>
    <w:p w14:paraId="2167C12D">
      <w:pPr>
        <w:pStyle w:val="4"/>
        <w:ind w:left="0" w:firstLine="0"/>
      </w:pPr>
    </w:p>
    <w:p w14:paraId="435BC332">
      <w:pPr>
        <w:pStyle w:val="4"/>
        <w:ind w:left="0" w:firstLine="0"/>
        <w:rPr>
          <w:lang w:val="en-US"/>
        </w:rPr>
      </w:pPr>
      <w:r>
        <w:rPr>
          <w:rFonts w:hint="eastAsia"/>
          <w:lang w:val="en-US"/>
        </w:rPr>
        <w:t xml:space="preserve"> </w:t>
      </w:r>
    </w:p>
    <w:p w14:paraId="5B721FC3">
      <w:pPr>
        <w:pStyle w:val="4"/>
        <w:ind w:left="0" w:firstLine="0"/>
        <w:rPr>
          <w:lang w:val="en-US"/>
        </w:rPr>
      </w:pPr>
    </w:p>
    <w:p w14:paraId="5008DE01">
      <w:pPr>
        <w:pStyle w:val="4"/>
        <w:ind w:left="0" w:firstLine="4080" w:firstLineChars="1700"/>
        <w:rPr>
          <w:sz w:val="24"/>
          <w:szCs w:val="24"/>
          <w:u w:val="single"/>
          <w:lang w:val="en-US"/>
        </w:rPr>
      </w:pPr>
      <w:r>
        <w:rPr>
          <w:rFonts w:hint="eastAsia"/>
          <w:sz w:val="24"/>
          <w:szCs w:val="24"/>
          <w:lang w:val="en-US"/>
        </w:rPr>
        <w:t>供应商（盖章）：</w:t>
      </w:r>
      <w:r>
        <w:rPr>
          <w:rFonts w:hint="eastAsia"/>
          <w:sz w:val="24"/>
          <w:szCs w:val="24"/>
          <w:u w:val="single"/>
          <w:lang w:val="en-US"/>
        </w:rPr>
        <w:t xml:space="preserve">                           </w:t>
      </w:r>
    </w:p>
    <w:p w14:paraId="4CC3EFE1">
      <w:pPr>
        <w:widowControl/>
        <w:jc w:val="left"/>
        <w:rPr>
          <w:rFonts w:ascii="宋体" w:hAnsi="宋体" w:eastAsia="宋体" w:cs="宋体"/>
          <w:color w:val="000000"/>
          <w:kern w:val="0"/>
          <w:sz w:val="24"/>
          <w:szCs w:val="24"/>
        </w:rPr>
      </w:pPr>
    </w:p>
    <w:p w14:paraId="20066BEE">
      <w:pPr>
        <w:widowControl/>
        <w:ind w:firstLine="4080" w:firstLineChars="1700"/>
        <w:jc w:val="left"/>
        <w:rPr>
          <w:rFonts w:ascii="宋体" w:hAnsi="宋体" w:eastAsia="宋体" w:cs="宋体"/>
          <w:color w:val="000000"/>
          <w:kern w:val="0"/>
          <w:sz w:val="24"/>
          <w:szCs w:val="24"/>
        </w:rPr>
      </w:pPr>
      <w:r>
        <w:rPr>
          <w:rFonts w:hint="eastAsia"/>
          <w:sz w:val="24"/>
          <w:szCs w:val="24"/>
        </w:rPr>
        <w:t xml:space="preserve">日  期：      年     月    日            </w:t>
      </w:r>
      <w:r>
        <w:rPr>
          <w:rFonts w:hint="eastAsia"/>
          <w:sz w:val="24"/>
          <w:szCs w:val="24"/>
          <w:u w:val="single"/>
        </w:rPr>
        <w:t xml:space="preserve">   </w:t>
      </w:r>
    </w:p>
    <w:p w14:paraId="5845BFC7">
      <w:pPr>
        <w:pStyle w:val="4"/>
        <w:ind w:left="0" w:firstLine="0"/>
      </w:pPr>
    </w:p>
    <w:p w14:paraId="7ACE3231">
      <w:pPr>
        <w:pStyle w:val="4"/>
        <w:ind w:left="0" w:firstLine="0"/>
      </w:pPr>
    </w:p>
    <w:p w14:paraId="2A46154B">
      <w:pPr>
        <w:pStyle w:val="4"/>
        <w:ind w:left="0" w:firstLine="0"/>
      </w:pPr>
    </w:p>
    <w:p w14:paraId="19C6789E">
      <w:pPr>
        <w:pStyle w:val="4"/>
        <w:ind w:left="0" w:firstLine="0"/>
      </w:pPr>
    </w:p>
    <w:p w14:paraId="294E269F">
      <w:pPr>
        <w:pStyle w:val="4"/>
        <w:ind w:left="0" w:firstLine="0"/>
      </w:pPr>
    </w:p>
    <w:p w14:paraId="7CD69CC6">
      <w:pPr>
        <w:pStyle w:val="4"/>
        <w:ind w:left="0" w:firstLine="0"/>
      </w:pPr>
    </w:p>
    <w:p w14:paraId="55382F62">
      <w:pPr>
        <w:pStyle w:val="4"/>
        <w:ind w:left="0" w:firstLine="0"/>
        <w:rPr>
          <w:rFonts w:hint="eastAsia"/>
          <w:lang w:eastAsia="zh-CN"/>
        </w:rPr>
      </w:pPr>
    </w:p>
    <w:p w14:paraId="4141040A"/>
    <w:sectPr>
      <w:pgSz w:w="11906" w:h="16838"/>
      <w:pgMar w:top="1440" w:right="1274"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QzZTdiMmRkOGVhMTdmMDU5MTg5MDE0NWM4MWZlYWEifQ=="/>
  </w:docVars>
  <w:rsids>
    <w:rsidRoot w:val="00837506"/>
    <w:rsid w:val="00060483"/>
    <w:rsid w:val="000B165F"/>
    <w:rsid w:val="001306AB"/>
    <w:rsid w:val="001367B6"/>
    <w:rsid w:val="00210EDD"/>
    <w:rsid w:val="00223958"/>
    <w:rsid w:val="00252F64"/>
    <w:rsid w:val="002B338F"/>
    <w:rsid w:val="002E0FE4"/>
    <w:rsid w:val="00370D90"/>
    <w:rsid w:val="003B351A"/>
    <w:rsid w:val="003D04CA"/>
    <w:rsid w:val="003D2CB7"/>
    <w:rsid w:val="003E2A00"/>
    <w:rsid w:val="00400088"/>
    <w:rsid w:val="00407A7F"/>
    <w:rsid w:val="00431D09"/>
    <w:rsid w:val="00456E8A"/>
    <w:rsid w:val="00467631"/>
    <w:rsid w:val="00482D6C"/>
    <w:rsid w:val="00487206"/>
    <w:rsid w:val="004972B3"/>
    <w:rsid w:val="004D6C00"/>
    <w:rsid w:val="005146C3"/>
    <w:rsid w:val="00531FA5"/>
    <w:rsid w:val="00550B27"/>
    <w:rsid w:val="00573C24"/>
    <w:rsid w:val="0057639E"/>
    <w:rsid w:val="005D7C49"/>
    <w:rsid w:val="005F07C3"/>
    <w:rsid w:val="005F3D92"/>
    <w:rsid w:val="00601997"/>
    <w:rsid w:val="006B409C"/>
    <w:rsid w:val="006C59D4"/>
    <w:rsid w:val="00777F95"/>
    <w:rsid w:val="00786DB8"/>
    <w:rsid w:val="00787F13"/>
    <w:rsid w:val="007A4A3B"/>
    <w:rsid w:val="007B5088"/>
    <w:rsid w:val="007C7B6E"/>
    <w:rsid w:val="007E4BD4"/>
    <w:rsid w:val="008034AC"/>
    <w:rsid w:val="00837506"/>
    <w:rsid w:val="008569B1"/>
    <w:rsid w:val="00921FD2"/>
    <w:rsid w:val="00982BC8"/>
    <w:rsid w:val="00993CD7"/>
    <w:rsid w:val="0099732C"/>
    <w:rsid w:val="00A14993"/>
    <w:rsid w:val="00A323D4"/>
    <w:rsid w:val="00A56B2F"/>
    <w:rsid w:val="00A743AA"/>
    <w:rsid w:val="00A92A87"/>
    <w:rsid w:val="00B1314B"/>
    <w:rsid w:val="00B259F2"/>
    <w:rsid w:val="00B4643A"/>
    <w:rsid w:val="00BD72E8"/>
    <w:rsid w:val="00CA1CB6"/>
    <w:rsid w:val="00CC602E"/>
    <w:rsid w:val="00D5005F"/>
    <w:rsid w:val="00E16FD8"/>
    <w:rsid w:val="00E61046"/>
    <w:rsid w:val="00E62973"/>
    <w:rsid w:val="00E950B5"/>
    <w:rsid w:val="00E967EB"/>
    <w:rsid w:val="00EA4E53"/>
    <w:rsid w:val="00FC1BD7"/>
    <w:rsid w:val="00FF5EDF"/>
    <w:rsid w:val="02F96090"/>
    <w:rsid w:val="04CA68E2"/>
    <w:rsid w:val="05242498"/>
    <w:rsid w:val="07E15453"/>
    <w:rsid w:val="08AC3C65"/>
    <w:rsid w:val="08B2187C"/>
    <w:rsid w:val="0A6C6231"/>
    <w:rsid w:val="0BB2614A"/>
    <w:rsid w:val="0C784CAA"/>
    <w:rsid w:val="0DF47B4F"/>
    <w:rsid w:val="0E616864"/>
    <w:rsid w:val="0E8B20EA"/>
    <w:rsid w:val="0F6C470F"/>
    <w:rsid w:val="10595048"/>
    <w:rsid w:val="11374837"/>
    <w:rsid w:val="145D1E0F"/>
    <w:rsid w:val="18054940"/>
    <w:rsid w:val="1A0A5742"/>
    <w:rsid w:val="1AA05DFF"/>
    <w:rsid w:val="1FB170FD"/>
    <w:rsid w:val="21936206"/>
    <w:rsid w:val="21950FB4"/>
    <w:rsid w:val="21A252E2"/>
    <w:rsid w:val="23371132"/>
    <w:rsid w:val="244E2E08"/>
    <w:rsid w:val="24F37FC0"/>
    <w:rsid w:val="27A10161"/>
    <w:rsid w:val="2B080A39"/>
    <w:rsid w:val="2B22254D"/>
    <w:rsid w:val="2BFD7C60"/>
    <w:rsid w:val="2C54649F"/>
    <w:rsid w:val="2D9A251E"/>
    <w:rsid w:val="2E8E6087"/>
    <w:rsid w:val="333522E9"/>
    <w:rsid w:val="333918FB"/>
    <w:rsid w:val="39803A87"/>
    <w:rsid w:val="3AD73C61"/>
    <w:rsid w:val="3B7C5522"/>
    <w:rsid w:val="3B8E5F94"/>
    <w:rsid w:val="3BC82579"/>
    <w:rsid w:val="3C2A51BA"/>
    <w:rsid w:val="3D585FF9"/>
    <w:rsid w:val="3FB01CB4"/>
    <w:rsid w:val="401069A8"/>
    <w:rsid w:val="405B04B1"/>
    <w:rsid w:val="410445A7"/>
    <w:rsid w:val="41FD4D22"/>
    <w:rsid w:val="42D82639"/>
    <w:rsid w:val="45610DC9"/>
    <w:rsid w:val="46BE6485"/>
    <w:rsid w:val="47484C91"/>
    <w:rsid w:val="489B2443"/>
    <w:rsid w:val="48BD628F"/>
    <w:rsid w:val="4A686450"/>
    <w:rsid w:val="4BA970C2"/>
    <w:rsid w:val="4BC15D43"/>
    <w:rsid w:val="4C1B75DE"/>
    <w:rsid w:val="4EB1595F"/>
    <w:rsid w:val="4ECC059E"/>
    <w:rsid w:val="4F085D41"/>
    <w:rsid w:val="53B745F4"/>
    <w:rsid w:val="540B7773"/>
    <w:rsid w:val="58F615BB"/>
    <w:rsid w:val="58FE2582"/>
    <w:rsid w:val="58FE37D8"/>
    <w:rsid w:val="59665A5D"/>
    <w:rsid w:val="5A275891"/>
    <w:rsid w:val="5BD063AD"/>
    <w:rsid w:val="5C460C9F"/>
    <w:rsid w:val="5CDD7513"/>
    <w:rsid w:val="5D207A82"/>
    <w:rsid w:val="5E2667B9"/>
    <w:rsid w:val="607F262C"/>
    <w:rsid w:val="61265125"/>
    <w:rsid w:val="628A0CF3"/>
    <w:rsid w:val="629A2CD7"/>
    <w:rsid w:val="62F83178"/>
    <w:rsid w:val="637A3929"/>
    <w:rsid w:val="63F57E82"/>
    <w:rsid w:val="64061D04"/>
    <w:rsid w:val="64856488"/>
    <w:rsid w:val="64BA4BC4"/>
    <w:rsid w:val="65184F7F"/>
    <w:rsid w:val="68CC1453"/>
    <w:rsid w:val="6A803B0C"/>
    <w:rsid w:val="6A966A50"/>
    <w:rsid w:val="6DFD5726"/>
    <w:rsid w:val="6F004B19"/>
    <w:rsid w:val="6F1A137F"/>
    <w:rsid w:val="72E110A2"/>
    <w:rsid w:val="747C2B3A"/>
    <w:rsid w:val="74E01018"/>
    <w:rsid w:val="784C3202"/>
    <w:rsid w:val="794B6F64"/>
    <w:rsid w:val="7C4E6E7B"/>
    <w:rsid w:val="7D5260F0"/>
    <w:rsid w:val="7D5E654E"/>
    <w:rsid w:val="7DAC6818"/>
    <w:rsid w:val="7EA718CA"/>
    <w:rsid w:val="7F010E3D"/>
    <w:rsid w:val="7F1135E0"/>
    <w:rsid w:val="7F7C0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2">
    <w:name w:val="heading 3"/>
    <w:basedOn w:val="1"/>
    <w:next w:val="1"/>
    <w:autoRedefine/>
    <w:qFormat/>
    <w:uiPriority w:val="0"/>
    <w:pPr>
      <w:keepNext/>
      <w:keepLines/>
      <w:spacing w:before="260" w:after="260" w:line="416" w:lineRule="auto"/>
      <w:outlineLvl w:val="2"/>
    </w:pPr>
    <w:rPr>
      <w:rFonts w:ascii="Calibri" w:hAnsi="Calibri"/>
      <w:b/>
      <w:bCs/>
      <w:kern w:val="0"/>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autoRedefine/>
    <w:qFormat/>
    <w:uiPriority w:val="1"/>
    <w:pPr>
      <w:autoSpaceDE w:val="0"/>
      <w:autoSpaceDN w:val="0"/>
      <w:ind w:left="800" w:firstLine="559"/>
      <w:jc w:val="left"/>
    </w:pPr>
    <w:rPr>
      <w:rFonts w:ascii="宋体" w:hAnsi="宋体" w:eastAsia="宋体" w:cs="宋体"/>
      <w:kern w:val="0"/>
      <w:sz w:val="28"/>
      <w:szCs w:val="28"/>
      <w:lang w:val="zh-CN" w:bidi="zh-CN"/>
    </w:rPr>
  </w:style>
  <w:style w:type="paragraph" w:styleId="5">
    <w:name w:val="footer"/>
    <w:basedOn w:val="1"/>
    <w:link w:val="13"/>
    <w:autoRedefine/>
    <w:semiHidden/>
    <w:unhideWhenUsed/>
    <w:qFormat/>
    <w:uiPriority w:val="99"/>
    <w:pPr>
      <w:tabs>
        <w:tab w:val="center" w:pos="4153"/>
        <w:tab w:val="right" w:pos="8306"/>
      </w:tabs>
      <w:snapToGrid w:val="0"/>
      <w:jc w:val="left"/>
    </w:pPr>
    <w:rPr>
      <w:sz w:val="18"/>
      <w:szCs w:val="18"/>
    </w:rPr>
  </w:style>
  <w:style w:type="paragraph" w:styleId="6">
    <w:name w:val="header"/>
    <w:basedOn w:val="1"/>
    <w:link w:val="12"/>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List Paragraph"/>
    <w:basedOn w:val="1"/>
    <w:autoRedefine/>
    <w:qFormat/>
    <w:uiPriority w:val="34"/>
    <w:pPr>
      <w:ind w:firstLine="420" w:firstLineChars="200"/>
    </w:pPr>
  </w:style>
  <w:style w:type="paragraph" w:customStyle="1" w:styleId="11">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2">
    <w:name w:val="页眉 Char"/>
    <w:basedOn w:val="9"/>
    <w:link w:val="6"/>
    <w:autoRedefine/>
    <w:semiHidden/>
    <w:qFormat/>
    <w:uiPriority w:val="99"/>
    <w:rPr>
      <w:sz w:val="18"/>
      <w:szCs w:val="18"/>
    </w:rPr>
  </w:style>
  <w:style w:type="character" w:customStyle="1" w:styleId="13">
    <w:name w:val="页脚 Char"/>
    <w:basedOn w:val="9"/>
    <w:link w:val="5"/>
    <w:autoRedefine/>
    <w:semiHidden/>
    <w:qFormat/>
    <w:uiPriority w:val="99"/>
    <w:rPr>
      <w:sz w:val="18"/>
      <w:szCs w:val="18"/>
    </w:rPr>
  </w:style>
  <w:style w:type="paragraph" w:customStyle="1" w:styleId="14">
    <w:name w:val="Table Paragraph"/>
    <w:basedOn w:val="1"/>
    <w:autoRedefine/>
    <w:qFormat/>
    <w:uiPriority w:val="1"/>
    <w:pPr>
      <w:autoSpaceDE w:val="0"/>
      <w:autoSpaceDN w:val="0"/>
      <w:jc w:val="left"/>
    </w:pPr>
    <w:rPr>
      <w:rFonts w:ascii="宋体" w:hAnsi="宋体" w:eastAsia="宋体" w:cs="宋体"/>
      <w:kern w:val="0"/>
      <w:sz w:val="22"/>
      <w:lang w:val="zh-CN" w:bidi="zh-CN"/>
    </w:rPr>
  </w:style>
  <w:style w:type="table" w:customStyle="1" w:styleId="15">
    <w:name w:val="Table Normal"/>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【你好，windows】</Company>
  <Pages>6</Pages>
  <Words>2003</Words>
  <Characters>2029</Characters>
  <Lines>15</Lines>
  <Paragraphs>4</Paragraphs>
  <TotalTime>14</TotalTime>
  <ScaleCrop>false</ScaleCrop>
  <LinksUpToDate>false</LinksUpToDate>
  <CharactersWithSpaces>2094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2025-03-27T08:28:00Z</dcterms:created>
  <dc:creator>【你好，windows】</dc:creator>
  <cp:lastModifiedBy>梅子花开</cp:lastModifiedBy>
  <cp:lastPrinted>2024-03-22T08:54:00Z</cp:lastPrinted>
  <dcterms:modified xsi:type="dcterms:W3CDTF">2025-05-13T07:10:09Z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AD003AB429814E2FB031F8B769EE8EDD</vt:lpwstr>
  </property>
  <property fmtid="{D5CDD505-2E9C-101B-9397-08002B2CF9AE}" pid="4" name="KSOTemplateDocerSaveRecord">
    <vt:lpwstr>eyJoZGlkIjoiNDQzZTdiMmRkOGVhMTdmMDU5MTg5MDE0NWM4MWZlYWEiLCJ1c2VySWQiOiI1NjUwNDAwODgifQ==</vt:lpwstr>
  </property>
</Properties>
</file>