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63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811"/>
        <w:gridCol w:w="4644"/>
        <w:gridCol w:w="727"/>
        <w:gridCol w:w="559"/>
        <w:gridCol w:w="897"/>
        <w:gridCol w:w="869"/>
        <w:gridCol w:w="1779"/>
      </w:tblGrid>
      <w:tr w14:paraId="20E9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4" w:type="pct"/>
            <w:shd w:val="clear" w:color="auto" w:fill="8DB3E2"/>
            <w:noWrap w:val="0"/>
            <w:vAlign w:val="center"/>
          </w:tcPr>
          <w:p w14:paraId="01ACB547">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376" w:type="pct"/>
            <w:shd w:val="clear" w:color="auto" w:fill="8DB3E2"/>
            <w:noWrap w:val="0"/>
            <w:vAlign w:val="center"/>
          </w:tcPr>
          <w:p w14:paraId="457F36D2">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货物名称</w:t>
            </w:r>
          </w:p>
        </w:tc>
        <w:tc>
          <w:tcPr>
            <w:tcW w:w="2156" w:type="pct"/>
            <w:shd w:val="clear" w:color="auto" w:fill="8DB3E2"/>
            <w:noWrap w:val="0"/>
            <w:vAlign w:val="center"/>
          </w:tcPr>
          <w:p w14:paraId="03FC264F">
            <w:pPr>
              <w:spacing w:line="400" w:lineRule="exact"/>
              <w:jc w:val="center"/>
              <w:rPr>
                <w:rFonts w:hint="eastAsia" w:ascii="宋体" w:hAnsi="宋体" w:eastAsia="宋体" w:cs="宋体"/>
                <w:b/>
                <w:color w:val="auto"/>
                <w:sz w:val="21"/>
                <w:szCs w:val="18"/>
                <w:lang w:eastAsia="zh-CN"/>
              </w:rPr>
            </w:pPr>
            <w:r>
              <w:rPr>
                <w:rFonts w:hint="eastAsia" w:ascii="宋体" w:hAnsi="宋体" w:eastAsia="宋体" w:cs="宋体"/>
                <w:b/>
                <w:color w:val="auto"/>
                <w:sz w:val="21"/>
                <w:szCs w:val="18"/>
                <w:lang w:eastAsia="zh-CN"/>
              </w:rPr>
              <w:t>规格参数</w:t>
            </w:r>
          </w:p>
        </w:tc>
        <w:tc>
          <w:tcPr>
            <w:tcW w:w="337" w:type="pct"/>
            <w:shd w:val="clear" w:color="auto" w:fill="8DB3E2"/>
            <w:noWrap w:val="0"/>
            <w:vAlign w:val="center"/>
          </w:tcPr>
          <w:p w14:paraId="4BE0DF37">
            <w:pPr>
              <w:spacing w:line="400" w:lineRule="exact"/>
              <w:jc w:val="center"/>
              <w:rPr>
                <w:rFonts w:hint="eastAsia" w:ascii="宋体" w:hAnsi="宋体" w:eastAsia="宋体" w:cs="宋体"/>
                <w:b/>
                <w:color w:val="auto"/>
                <w:sz w:val="21"/>
                <w:szCs w:val="18"/>
                <w:lang w:val="en-US" w:eastAsia="zh-CN"/>
              </w:rPr>
            </w:pPr>
            <w:r>
              <w:rPr>
                <w:rFonts w:hint="eastAsia" w:ascii="宋体" w:hAnsi="宋体" w:cs="宋体"/>
                <w:b/>
                <w:color w:val="auto"/>
                <w:sz w:val="21"/>
                <w:szCs w:val="18"/>
                <w:lang w:val="en-US" w:eastAsia="zh-CN"/>
              </w:rPr>
              <w:t>数量</w:t>
            </w:r>
          </w:p>
        </w:tc>
        <w:tc>
          <w:tcPr>
            <w:tcW w:w="259" w:type="pct"/>
            <w:shd w:val="clear" w:color="auto" w:fill="8DB3E2"/>
            <w:noWrap w:val="0"/>
            <w:vAlign w:val="center"/>
          </w:tcPr>
          <w:p w14:paraId="22410CE4">
            <w:pPr>
              <w:spacing w:line="400" w:lineRule="exact"/>
              <w:jc w:val="center"/>
              <w:rPr>
                <w:rFonts w:hint="eastAsia" w:ascii="宋体" w:hAnsi="宋体" w:cs="宋体"/>
                <w:b/>
                <w:color w:val="auto"/>
                <w:sz w:val="21"/>
                <w:szCs w:val="18"/>
                <w:lang w:val="en-US" w:eastAsia="zh-CN"/>
              </w:rPr>
            </w:pPr>
            <w:r>
              <w:rPr>
                <w:rFonts w:hint="eastAsia" w:ascii="宋体" w:hAnsi="宋体" w:cs="宋体"/>
                <w:b/>
                <w:color w:val="auto"/>
                <w:sz w:val="21"/>
                <w:szCs w:val="18"/>
                <w:lang w:val="en-US" w:eastAsia="zh-CN"/>
              </w:rPr>
              <w:t>单位</w:t>
            </w:r>
          </w:p>
        </w:tc>
        <w:tc>
          <w:tcPr>
            <w:tcW w:w="416" w:type="pct"/>
            <w:shd w:val="clear" w:color="auto" w:fill="8DB3E2"/>
            <w:noWrap w:val="0"/>
            <w:vAlign w:val="center"/>
          </w:tcPr>
          <w:p w14:paraId="33580D5B">
            <w:pPr>
              <w:spacing w:line="400" w:lineRule="exact"/>
              <w:jc w:val="center"/>
              <w:rPr>
                <w:rFonts w:hint="eastAsia" w:ascii="宋体" w:hAnsi="宋体" w:cs="宋体"/>
                <w:b/>
                <w:color w:val="auto"/>
                <w:sz w:val="21"/>
                <w:szCs w:val="18"/>
                <w:lang w:val="en-US" w:eastAsia="zh-CN"/>
              </w:rPr>
            </w:pPr>
            <w:r>
              <w:rPr>
                <w:rFonts w:hint="eastAsia" w:ascii="宋体" w:hAnsi="宋体" w:cs="宋体"/>
                <w:b/>
                <w:color w:val="auto"/>
                <w:sz w:val="21"/>
                <w:szCs w:val="18"/>
                <w:lang w:val="en-US" w:eastAsia="zh-CN"/>
              </w:rPr>
              <w:t>单价（元）</w:t>
            </w:r>
          </w:p>
        </w:tc>
        <w:tc>
          <w:tcPr>
            <w:tcW w:w="403" w:type="pct"/>
            <w:shd w:val="clear" w:color="auto" w:fill="8DB3E2"/>
            <w:noWrap w:val="0"/>
            <w:vAlign w:val="center"/>
          </w:tcPr>
          <w:p w14:paraId="6FD1E84F">
            <w:pPr>
              <w:spacing w:line="400" w:lineRule="exact"/>
              <w:jc w:val="center"/>
              <w:rPr>
                <w:rFonts w:hint="eastAsia" w:ascii="宋体" w:hAnsi="宋体" w:cs="宋体"/>
                <w:b/>
                <w:color w:val="auto"/>
                <w:sz w:val="21"/>
                <w:szCs w:val="18"/>
                <w:lang w:val="en-US" w:eastAsia="zh-CN"/>
              </w:rPr>
            </w:pPr>
            <w:r>
              <w:rPr>
                <w:rFonts w:hint="eastAsia" w:ascii="宋体" w:hAnsi="宋体" w:cs="宋体"/>
                <w:b/>
                <w:color w:val="auto"/>
                <w:sz w:val="21"/>
                <w:szCs w:val="18"/>
                <w:lang w:val="en-US" w:eastAsia="zh-CN"/>
              </w:rPr>
              <w:t>总价</w:t>
            </w:r>
          </w:p>
        </w:tc>
        <w:tc>
          <w:tcPr>
            <w:tcW w:w="825" w:type="pct"/>
            <w:shd w:val="clear" w:color="auto" w:fill="8DB3E2"/>
            <w:noWrap w:val="0"/>
            <w:vAlign w:val="center"/>
          </w:tcPr>
          <w:p w14:paraId="47A9F451">
            <w:pPr>
              <w:spacing w:line="400" w:lineRule="exact"/>
              <w:jc w:val="center"/>
              <w:rPr>
                <w:rFonts w:hint="eastAsia" w:ascii="宋体" w:hAnsi="宋体" w:cs="宋体"/>
                <w:b/>
                <w:color w:val="auto"/>
                <w:sz w:val="21"/>
                <w:szCs w:val="18"/>
                <w:lang w:val="en-US" w:eastAsia="zh-CN"/>
              </w:rPr>
            </w:pPr>
          </w:p>
        </w:tc>
      </w:tr>
      <w:tr w14:paraId="3726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noWrap w:val="0"/>
            <w:vAlign w:val="center"/>
          </w:tcPr>
          <w:p w14:paraId="76165132">
            <w:pPr>
              <w:spacing w:line="400" w:lineRule="exact"/>
              <w:jc w:val="center"/>
              <w:rPr>
                <w:rFonts w:hint="eastAsia" w:ascii="宋体" w:hAnsi="宋体" w:eastAsia="宋体" w:cs="宋体"/>
                <w:color w:val="auto"/>
                <w:sz w:val="21"/>
                <w:szCs w:val="18"/>
              </w:rPr>
            </w:pPr>
            <w:r>
              <w:rPr>
                <w:rFonts w:hint="eastAsia" w:ascii="宋体" w:hAnsi="宋体" w:eastAsia="宋体" w:cs="宋体"/>
                <w:color w:val="auto"/>
                <w:sz w:val="21"/>
                <w:szCs w:val="18"/>
              </w:rPr>
              <w:t>1</w:t>
            </w:r>
          </w:p>
        </w:tc>
        <w:tc>
          <w:tcPr>
            <w:tcW w:w="376" w:type="pct"/>
            <w:noWrap w:val="0"/>
            <w:vAlign w:val="center"/>
          </w:tcPr>
          <w:p w14:paraId="57B1CF44">
            <w:pPr>
              <w:spacing w:line="400" w:lineRule="exact"/>
              <w:rPr>
                <w:rFonts w:hint="eastAsia" w:ascii="宋体" w:hAnsi="宋体" w:eastAsia="宋体" w:cs="宋体"/>
                <w:color w:val="auto"/>
                <w:kern w:val="0"/>
                <w:sz w:val="21"/>
                <w:szCs w:val="21"/>
                <w:lang w:eastAsia="zh-CN"/>
              </w:rPr>
            </w:pPr>
            <w:r>
              <w:rPr>
                <w:rFonts w:hint="eastAsia" w:eastAsia="宋体"/>
                <w:sz w:val="21"/>
                <w:szCs w:val="21"/>
                <w:lang w:eastAsia="zh-CN"/>
              </w:rPr>
              <w:t>课桌椅</w:t>
            </w:r>
          </w:p>
        </w:tc>
        <w:tc>
          <w:tcPr>
            <w:tcW w:w="2156" w:type="pct"/>
            <w:noWrap w:val="0"/>
            <w:vAlign w:val="top"/>
          </w:tcPr>
          <w:p w14:paraId="5587286F">
            <w:pPr>
              <w:bidi w:val="0"/>
              <w:rPr>
                <w:rFonts w:hint="eastAsia"/>
                <w:sz w:val="21"/>
                <w:szCs w:val="21"/>
              </w:rPr>
            </w:pPr>
            <w:r>
              <w:rPr>
                <w:rFonts w:hint="eastAsia"/>
                <w:sz w:val="21"/>
                <w:szCs w:val="21"/>
              </w:rPr>
              <w:t>规格：600×400×760mm</w:t>
            </w:r>
          </w:p>
          <w:p w14:paraId="20B3D0CE">
            <w:pPr>
              <w:bidi w:val="0"/>
              <w:rPr>
                <w:rFonts w:hint="eastAsia"/>
                <w:sz w:val="21"/>
                <w:szCs w:val="21"/>
              </w:rPr>
            </w:pPr>
            <w:r>
              <w:rPr>
                <w:rFonts w:hint="eastAsia"/>
                <w:sz w:val="21"/>
                <w:szCs w:val="21"/>
              </w:rPr>
              <w:t>1、脚架：课桌、课椅的立脚、横管的金属管件均采用20×40mm椭圆管，管壁厚度不低于1.0mm，管材均经过高频焊接成型。</w:t>
            </w:r>
          </w:p>
          <w:p w14:paraId="28BA0BF1">
            <w:pPr>
              <w:bidi w:val="0"/>
              <w:rPr>
                <w:rFonts w:hint="eastAsia"/>
                <w:sz w:val="21"/>
                <w:szCs w:val="21"/>
              </w:rPr>
            </w:pPr>
            <w:r>
              <w:rPr>
                <w:rFonts w:hint="eastAsia"/>
                <w:sz w:val="21"/>
                <w:szCs w:val="21"/>
              </w:rPr>
              <w:t>2、书斗：书斗规格约450W×300D×150Hmm，书斗整体采用不低于0.6mm厚优质冷轧板冲压折弯成型，书斗两侧书包挂钩材质采用1.2mm冷轧钢板一次冲压成型，规格不小于100×25×20mm，与书斗焊接一体成型，挂钩边缘经打磨处理。</w:t>
            </w:r>
          </w:p>
          <w:p w14:paraId="78B8D4A7">
            <w:pPr>
              <w:bidi w:val="0"/>
              <w:rPr>
                <w:rFonts w:hint="eastAsia"/>
                <w:sz w:val="21"/>
                <w:szCs w:val="21"/>
                <w:lang w:eastAsia="zh-CN"/>
              </w:rPr>
            </w:pPr>
            <w:r>
              <w:rPr>
                <w:rFonts w:hint="eastAsia"/>
                <w:sz w:val="21"/>
                <w:szCs w:val="21"/>
              </w:rPr>
              <w:t>3、面板：桌子面板尺寸约600×400mm，椅子坐面板尺寸约360×360mm，靠背板尺寸约360×150mm，桌面主体材质采用E1级</w:t>
            </w:r>
            <w:r>
              <w:rPr>
                <w:rFonts w:hint="eastAsia"/>
                <w:sz w:val="21"/>
                <w:szCs w:val="21"/>
                <w:lang w:eastAsia="zh-CN"/>
              </w:rPr>
              <w:t>饰面胶合</w:t>
            </w:r>
            <w:r>
              <w:rPr>
                <w:rFonts w:hint="eastAsia"/>
                <w:sz w:val="21"/>
                <w:szCs w:val="21"/>
              </w:rPr>
              <w:t>板，厚度15mm，椅面及靠背材质与桌面材质一致，厚度9mm，桌面平整光滑，面板四周清漆刷边，桌角光滑呈圆弧。</w:t>
            </w:r>
          </w:p>
          <w:p w14:paraId="63DC6310">
            <w:pPr>
              <w:bidi w:val="0"/>
              <w:rPr>
                <w:rFonts w:hint="eastAsia"/>
                <w:sz w:val="21"/>
                <w:szCs w:val="21"/>
              </w:rPr>
            </w:pPr>
            <w:r>
              <w:rPr>
                <w:rFonts w:hint="eastAsia"/>
                <w:sz w:val="21"/>
                <w:szCs w:val="21"/>
              </w:rPr>
              <w:t>4、金属件工艺：管材经模压高频焊接成型，经酸洗、除油、除锈、磷化、脱水工序处理，表面采用亚光静电喷塑工艺处理。</w:t>
            </w:r>
          </w:p>
          <w:p w14:paraId="2E62ACAE">
            <w:pPr>
              <w:bidi w:val="0"/>
              <w:rPr>
                <w:rFonts w:hint="eastAsia"/>
                <w:sz w:val="21"/>
                <w:szCs w:val="21"/>
              </w:rPr>
            </w:pPr>
            <w:r>
              <w:rPr>
                <w:rFonts w:hint="eastAsia"/>
                <w:sz w:val="21"/>
                <w:szCs w:val="21"/>
              </w:rPr>
              <w:t>5、结构：固定式桌椅脚，单层桌斗。</w:t>
            </w:r>
          </w:p>
          <w:p w14:paraId="0E0E081E">
            <w:pPr>
              <w:bidi w:val="0"/>
              <w:rPr>
                <w:rFonts w:hint="eastAsia"/>
                <w:sz w:val="21"/>
                <w:szCs w:val="21"/>
              </w:rPr>
            </w:pPr>
            <w:r>
              <w:rPr>
                <w:rFonts w:hint="eastAsia"/>
                <w:sz w:val="21"/>
                <w:szCs w:val="21"/>
              </w:rPr>
              <w:t>6、脚套：采用内嵌式黑色塑料脚套，胶套与脚管紧密牢靠，不易脱落。</w:t>
            </w:r>
          </w:p>
          <w:p w14:paraId="209D6673">
            <w:pPr>
              <w:bidi w:val="0"/>
              <w:rPr>
                <w:rFonts w:hint="default" w:eastAsiaTheme="minorEastAsia"/>
                <w:sz w:val="21"/>
                <w:szCs w:val="21"/>
                <w:lang w:val="en-US" w:eastAsia="zh-CN"/>
              </w:rPr>
            </w:pPr>
            <w:r>
              <w:rPr>
                <w:rFonts w:hint="eastAsia"/>
                <w:sz w:val="21"/>
                <w:szCs w:val="21"/>
                <w:lang w:val="en-US" w:eastAsia="zh-CN"/>
              </w:rPr>
              <w:t>7、</w:t>
            </w:r>
            <w:r>
              <w:rPr>
                <w:rFonts w:hint="eastAsia"/>
                <w:sz w:val="21"/>
                <w:szCs w:val="21"/>
              </w:rPr>
              <w:t>塑粉要求：HG/T 2006-2022《热固性和热塑性粉末涂料》</w:t>
            </w:r>
            <w:r>
              <w:rPr>
                <w:rFonts w:hint="eastAsia"/>
                <w:sz w:val="21"/>
                <w:szCs w:val="21"/>
                <w:lang w:eastAsia="zh-CN"/>
              </w:rPr>
              <w:t>、</w:t>
            </w:r>
            <w:r>
              <w:rPr>
                <w:rFonts w:hint="eastAsia"/>
                <w:sz w:val="21"/>
                <w:szCs w:val="21"/>
              </w:rPr>
              <w:t>GB/T 35602-2017《绿色产品评价 涂料》</w:t>
            </w:r>
            <w:r>
              <w:rPr>
                <w:rFonts w:hint="eastAsia"/>
                <w:sz w:val="21"/>
                <w:szCs w:val="21"/>
                <w:lang w:eastAsia="zh-CN"/>
              </w:rPr>
              <w:t>、</w:t>
            </w:r>
            <w:r>
              <w:rPr>
                <w:rFonts w:hint="eastAsia"/>
                <w:sz w:val="21"/>
                <w:szCs w:val="21"/>
              </w:rPr>
              <w:t>GB/T 1740-2007《膜耐湿热测定法》</w:t>
            </w:r>
            <w:r>
              <w:rPr>
                <w:rFonts w:hint="eastAsia"/>
                <w:sz w:val="21"/>
                <w:szCs w:val="21"/>
                <w:lang w:eastAsia="zh-CN"/>
              </w:rPr>
              <w:t>等检测标准；耐湿热性</w:t>
            </w:r>
            <w:r>
              <w:rPr>
                <w:rFonts w:hint="eastAsia"/>
                <w:sz w:val="21"/>
                <w:szCs w:val="21"/>
                <w:lang w:val="en-US" w:eastAsia="zh-CN"/>
              </w:rPr>
              <w:t>100h、干附着力0级、铅笔硬度3H、耐酸性240h、耐碱性168h、重金属元素含量铅、镉、六价铬、汞、砷、钡、硒、锑、钴均为未检出。</w:t>
            </w:r>
            <w:r>
              <w:rPr>
                <w:b/>
                <w:bCs/>
                <w:spacing w:val="-3"/>
                <w:sz w:val="21"/>
                <w:szCs w:val="21"/>
                <w:highlight w:val="none"/>
              </w:rPr>
              <w:t>（</w:t>
            </w:r>
            <w:r>
              <w:rPr>
                <w:rFonts w:hint="eastAsia"/>
                <w:b/>
                <w:bCs/>
                <w:sz w:val="21"/>
                <w:szCs w:val="21"/>
              </w:rPr>
              <w:t>报价时提供塑粉</w:t>
            </w:r>
            <w:r>
              <w:rPr>
                <w:rFonts w:hint="eastAsia"/>
                <w:b/>
                <w:bCs/>
                <w:sz w:val="21"/>
                <w:szCs w:val="21"/>
                <w:lang w:eastAsia="zh-CN"/>
              </w:rPr>
              <w:t>具有</w:t>
            </w:r>
            <w:r>
              <w:rPr>
                <w:rFonts w:hint="eastAsia"/>
                <w:b/>
                <w:bCs/>
                <w:sz w:val="21"/>
                <w:szCs w:val="21"/>
              </w:rPr>
              <w:t>CMA标识的国家认可的第三方检测机构出具的检测报告复印件并加盖公章，检测内容需满足以上参数，使用方有权查验检测报告的真实性，末提供及不符合要求的报价无效，提供虚假的按政府采购法处理</w:t>
            </w:r>
            <w:r>
              <w:rPr>
                <w:b/>
                <w:bCs/>
                <w:spacing w:val="6"/>
                <w:sz w:val="21"/>
                <w:szCs w:val="21"/>
                <w:highlight w:val="none"/>
              </w:rPr>
              <w:t>）</w:t>
            </w:r>
          </w:p>
        </w:tc>
        <w:tc>
          <w:tcPr>
            <w:tcW w:w="337" w:type="pct"/>
            <w:shd w:val="clear" w:color="auto" w:fill="auto"/>
            <w:noWrap w:val="0"/>
            <w:vAlign w:val="center"/>
          </w:tcPr>
          <w:p w14:paraId="3F8EBF51">
            <w:pPr>
              <w:keepNext w:val="0"/>
              <w:keepLines w:val="0"/>
              <w:widowControl/>
              <w:suppressLineNumbers w:val="0"/>
              <w:jc w:val="center"/>
              <w:textAlignment w:val="center"/>
              <w:rPr>
                <w:rFonts w:hint="default" w:eastAsia="宋体" w:cs="华文中宋" w:asciiTheme="minorHAnsi" w:hAnsiTheme="minorHAnsi"/>
                <w:kern w:val="2"/>
                <w:sz w:val="21"/>
                <w:szCs w:val="21"/>
                <w:lang w:val="en-US" w:eastAsia="zh-CN" w:bidi="ar-SA"/>
              </w:rPr>
            </w:pPr>
            <w:r>
              <w:rPr>
                <w:rFonts w:hint="eastAsia" w:ascii="Calibri" w:hAnsi="Calibri" w:eastAsia="宋体" w:cs="Calibri"/>
                <w:i w:val="0"/>
                <w:iCs w:val="0"/>
                <w:color w:val="000000"/>
                <w:kern w:val="0"/>
                <w:sz w:val="21"/>
                <w:szCs w:val="21"/>
                <w:u w:val="none"/>
                <w:lang w:val="en-US" w:eastAsia="zh-CN" w:bidi="ar"/>
              </w:rPr>
              <w:t>900</w:t>
            </w:r>
          </w:p>
        </w:tc>
        <w:tc>
          <w:tcPr>
            <w:tcW w:w="259" w:type="pct"/>
            <w:shd w:val="clear" w:color="auto" w:fill="auto"/>
            <w:noWrap w:val="0"/>
            <w:vAlign w:val="center"/>
          </w:tcPr>
          <w:p w14:paraId="7F9767A8">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套</w:t>
            </w:r>
          </w:p>
        </w:tc>
        <w:tc>
          <w:tcPr>
            <w:tcW w:w="416" w:type="pct"/>
            <w:shd w:val="clear" w:color="auto" w:fill="auto"/>
            <w:noWrap w:val="0"/>
            <w:vAlign w:val="center"/>
          </w:tcPr>
          <w:p w14:paraId="7CE31A5E">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200</w:t>
            </w:r>
          </w:p>
        </w:tc>
        <w:tc>
          <w:tcPr>
            <w:tcW w:w="403" w:type="pct"/>
            <w:shd w:val="clear" w:color="auto" w:fill="auto"/>
            <w:noWrap w:val="0"/>
            <w:vAlign w:val="center"/>
          </w:tcPr>
          <w:p w14:paraId="537A516C">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eastAsia" w:ascii="Calibri" w:hAnsi="Calibri" w:eastAsia="宋体" w:cs="Calibri"/>
                <w:i w:val="0"/>
                <w:iCs w:val="0"/>
                <w:color w:val="000000"/>
                <w:kern w:val="0"/>
                <w:sz w:val="21"/>
                <w:szCs w:val="21"/>
                <w:u w:val="none"/>
                <w:lang w:val="en-US" w:eastAsia="zh-CN" w:bidi="ar"/>
              </w:rPr>
              <w:t>18</w:t>
            </w:r>
            <w:r>
              <w:rPr>
                <w:rFonts w:hint="default" w:ascii="Calibri" w:hAnsi="Calibri" w:eastAsia="宋体" w:cs="Calibri"/>
                <w:i w:val="0"/>
                <w:iCs w:val="0"/>
                <w:color w:val="000000"/>
                <w:kern w:val="0"/>
                <w:sz w:val="21"/>
                <w:szCs w:val="21"/>
                <w:u w:val="none"/>
                <w:lang w:val="en-US" w:eastAsia="zh-CN" w:bidi="ar"/>
              </w:rPr>
              <w:t>0000</w:t>
            </w:r>
          </w:p>
        </w:tc>
        <w:tc>
          <w:tcPr>
            <w:tcW w:w="825" w:type="pct"/>
            <w:noWrap w:val="0"/>
            <w:vAlign w:val="center"/>
          </w:tcPr>
          <w:p w14:paraId="1089BAD0">
            <w:pPr>
              <w:bidi w:val="0"/>
              <w:jc w:val="center"/>
              <w:rPr>
                <w:rFonts w:hint="default" w:eastAsiaTheme="minorEastAsia"/>
                <w:sz w:val="21"/>
                <w:szCs w:val="21"/>
                <w:lang w:val="en-US" w:eastAsia="zh-CN"/>
              </w:rPr>
            </w:pPr>
            <w:r>
              <w:rPr>
                <w:rFonts w:hint="default" w:eastAsiaTheme="minorEastAsia"/>
                <w:sz w:val="21"/>
                <w:szCs w:val="21"/>
                <w:lang w:val="en-US" w:eastAsia="zh-CN"/>
              </w:rPr>
              <w:drawing>
                <wp:inline distT="0" distB="0" distL="114300" distR="114300">
                  <wp:extent cx="1042670" cy="586105"/>
                  <wp:effectExtent l="0" t="0" r="5080" b="4445"/>
                  <wp:docPr id="3" name="图片 3" descr="c974689151b71988aaefee00c409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974689151b71988aaefee00c409f05"/>
                          <pic:cNvPicPr>
                            <a:picLocks noChangeAspect="1"/>
                          </pic:cNvPicPr>
                        </pic:nvPicPr>
                        <pic:blipFill>
                          <a:blip r:embed="rId4"/>
                          <a:stretch>
                            <a:fillRect/>
                          </a:stretch>
                        </pic:blipFill>
                        <pic:spPr>
                          <a:xfrm>
                            <a:off x="0" y="0"/>
                            <a:ext cx="1042670" cy="586105"/>
                          </a:xfrm>
                          <a:prstGeom prst="rect">
                            <a:avLst/>
                          </a:prstGeom>
                        </pic:spPr>
                      </pic:pic>
                    </a:graphicData>
                  </a:graphic>
                </wp:inline>
              </w:drawing>
            </w:r>
          </w:p>
        </w:tc>
      </w:tr>
      <w:tr w14:paraId="1ECE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224" w:type="pct"/>
            <w:noWrap w:val="0"/>
            <w:vAlign w:val="center"/>
          </w:tcPr>
          <w:p w14:paraId="7FA3FF66">
            <w:pPr>
              <w:spacing w:line="400" w:lineRule="exact"/>
              <w:jc w:val="center"/>
              <w:rPr>
                <w:rFonts w:hint="eastAsia" w:ascii="宋体" w:hAnsi="宋体" w:eastAsia="宋体" w:cs="宋体"/>
                <w:color w:val="auto"/>
                <w:sz w:val="21"/>
                <w:szCs w:val="18"/>
                <w:lang w:val="en-US" w:eastAsia="zh-CN"/>
              </w:rPr>
            </w:pPr>
            <w:r>
              <w:rPr>
                <w:rFonts w:hint="eastAsia" w:ascii="宋体" w:hAnsi="宋体" w:eastAsia="宋体" w:cs="宋体"/>
                <w:color w:val="auto"/>
                <w:sz w:val="21"/>
                <w:szCs w:val="18"/>
                <w:lang w:val="en-US" w:eastAsia="zh-CN"/>
              </w:rPr>
              <w:t>2</w:t>
            </w:r>
          </w:p>
        </w:tc>
        <w:tc>
          <w:tcPr>
            <w:tcW w:w="376" w:type="pct"/>
            <w:noWrap w:val="0"/>
            <w:vAlign w:val="center"/>
          </w:tcPr>
          <w:p w14:paraId="48611BCA">
            <w:pPr>
              <w:spacing w:line="400" w:lineRule="exact"/>
              <w:jc w:val="center"/>
              <w:rPr>
                <w:rFonts w:hint="default" w:eastAsiaTheme="minorEastAsia"/>
                <w:sz w:val="21"/>
                <w:szCs w:val="21"/>
                <w:lang w:val="en-US" w:eastAsia="zh-CN"/>
              </w:rPr>
            </w:pPr>
            <w:r>
              <w:rPr>
                <w:rFonts w:hint="eastAsia"/>
                <w:sz w:val="21"/>
                <w:szCs w:val="21"/>
                <w:lang w:val="en-US" w:eastAsia="zh-CN"/>
              </w:rPr>
              <w:t>讲台</w:t>
            </w:r>
          </w:p>
        </w:tc>
        <w:tc>
          <w:tcPr>
            <w:tcW w:w="2156" w:type="pct"/>
            <w:noWrap w:val="0"/>
            <w:vAlign w:val="center"/>
          </w:tcPr>
          <w:p w14:paraId="61B617CE">
            <w:pPr>
              <w:bidi w:val="0"/>
              <w:jc w:val="left"/>
              <w:rPr>
                <w:rFonts w:hint="eastAsia"/>
                <w:sz w:val="21"/>
                <w:szCs w:val="21"/>
              </w:rPr>
            </w:pPr>
            <w:r>
              <w:rPr>
                <w:rFonts w:hint="eastAsia"/>
                <w:sz w:val="21"/>
                <w:szCs w:val="21"/>
                <w:lang w:val="en-US" w:eastAsia="zh-CN"/>
              </w:rPr>
              <w:t>讲台</w:t>
            </w:r>
            <w:r>
              <w:rPr>
                <w:rFonts w:hint="eastAsia"/>
                <w:sz w:val="21"/>
                <w:szCs w:val="21"/>
              </w:rPr>
              <w:t>尺寸</w:t>
            </w:r>
            <w:r>
              <w:rPr>
                <w:rFonts w:hint="eastAsia"/>
                <w:sz w:val="21"/>
                <w:szCs w:val="21"/>
                <w:lang w:val="en-US" w:eastAsia="zh-CN"/>
              </w:rPr>
              <w:t>规格</w:t>
            </w:r>
            <w:r>
              <w:rPr>
                <w:rFonts w:hint="eastAsia"/>
                <w:sz w:val="21"/>
                <w:szCs w:val="21"/>
              </w:rPr>
              <w:t>：1200*600*900mm，</w:t>
            </w:r>
          </w:p>
          <w:p w14:paraId="42DBC1F9">
            <w:pPr>
              <w:bidi w:val="0"/>
              <w:jc w:val="left"/>
              <w:rPr>
                <w:rFonts w:hint="eastAsia"/>
                <w:sz w:val="21"/>
                <w:szCs w:val="21"/>
                <w:highlight w:val="none"/>
                <w:lang w:val="en-US" w:eastAsia="zh-CN"/>
              </w:rPr>
            </w:pPr>
            <w:r>
              <w:rPr>
                <w:rFonts w:hint="eastAsia"/>
                <w:sz w:val="21"/>
                <w:szCs w:val="21"/>
                <w:highlight w:val="none"/>
                <w:lang w:val="en-US" w:eastAsia="zh-CN"/>
              </w:rPr>
              <w:t>1.所有板材采用E1级环保型刨花板，面贴三聚氰胺板易清洁、耐磨防潮、光滑、等性能；</w:t>
            </w:r>
          </w:p>
          <w:p w14:paraId="4DF4A3E3">
            <w:pPr>
              <w:bidi w:val="0"/>
              <w:jc w:val="left"/>
              <w:rPr>
                <w:rFonts w:hint="eastAsia"/>
                <w:sz w:val="21"/>
                <w:szCs w:val="21"/>
                <w:highlight w:val="none"/>
                <w:lang w:val="en-US" w:eastAsia="zh-CN"/>
              </w:rPr>
            </w:pPr>
            <w:r>
              <w:rPr>
                <w:rFonts w:hint="eastAsia"/>
                <w:sz w:val="21"/>
                <w:szCs w:val="21"/>
                <w:highlight w:val="none"/>
                <w:lang w:val="en-US" w:eastAsia="zh-CN"/>
              </w:rPr>
              <w:t>2.</w:t>
            </w:r>
            <w:r>
              <w:rPr>
                <w:rFonts w:hint="eastAsia"/>
                <w:b w:val="0"/>
                <w:bCs w:val="0"/>
                <w:sz w:val="21"/>
                <w:szCs w:val="21"/>
              </w:rPr>
              <w:t>封边条要求：符合QB/T 4463-2013《家具用封边条技术要求》标准，甲醛释放量≤0.05mg/L；耐磨性：磨30r后应无露底现象；耐光色牢度≥4级；耐老化性：300h后，应无开裂；耐冷热循环:无龟裂、无鼓泡、无变色、无起皱；可迁移元素(可溶性重金属)：铅、镉、铬、汞、锑、钡、硒、砷均未检出；多溴联苯未检出；多溴联苯醚未检出。</w:t>
            </w:r>
            <w:r>
              <w:rPr>
                <w:b/>
                <w:bCs/>
                <w:spacing w:val="-3"/>
                <w:sz w:val="21"/>
                <w:szCs w:val="21"/>
                <w:highlight w:val="none"/>
              </w:rPr>
              <w:t>（</w:t>
            </w:r>
            <w:r>
              <w:rPr>
                <w:rFonts w:hint="eastAsia"/>
                <w:b/>
                <w:bCs/>
                <w:sz w:val="21"/>
                <w:szCs w:val="21"/>
              </w:rPr>
              <w:t>报价时提供封边条</w:t>
            </w:r>
            <w:r>
              <w:rPr>
                <w:rFonts w:hint="eastAsia"/>
                <w:b/>
                <w:bCs/>
                <w:sz w:val="21"/>
                <w:szCs w:val="21"/>
                <w:lang w:eastAsia="zh-CN"/>
              </w:rPr>
              <w:t>具有</w:t>
            </w:r>
            <w:r>
              <w:rPr>
                <w:rFonts w:hint="eastAsia"/>
                <w:b/>
                <w:bCs/>
                <w:sz w:val="21"/>
                <w:szCs w:val="21"/>
              </w:rPr>
              <w:t>CMA标识的国家认可的第三方检测机构出具的检测报告复印件并加盖公章，检测内容需满足以上参数，使用方有权查验检测报告的真实性，末提供及不符合要求的报价无效，提供虚假的按政府采购法处理</w:t>
            </w:r>
            <w:r>
              <w:rPr>
                <w:b/>
                <w:bCs/>
                <w:spacing w:val="6"/>
                <w:sz w:val="21"/>
                <w:szCs w:val="21"/>
                <w:highlight w:val="none"/>
              </w:rPr>
              <w:t>）</w:t>
            </w:r>
          </w:p>
          <w:p w14:paraId="323FCBCB">
            <w:pPr>
              <w:jc w:val="left"/>
              <w:rPr>
                <w:rFonts w:hint="default" w:ascii="微软雅黑" w:hAnsi="微软雅黑" w:eastAsia="微软雅黑" w:cs="微软雅黑"/>
                <w:i w:val="0"/>
                <w:iCs w:val="0"/>
                <w:caps w:val="0"/>
                <w:color w:val="000000"/>
                <w:spacing w:val="0"/>
                <w:sz w:val="18"/>
                <w:szCs w:val="18"/>
                <w:lang w:val="en-US" w:eastAsia="zh-CN"/>
              </w:rPr>
            </w:pPr>
            <w:r>
              <w:rPr>
                <w:rFonts w:hint="eastAsia"/>
                <w:sz w:val="21"/>
                <w:szCs w:val="21"/>
                <w:highlight w:val="none"/>
                <w:lang w:val="en-US" w:eastAsia="zh-CN"/>
              </w:rPr>
              <w:t>3、五金配件：采用国内优质五金配件，品质优越，持久耐用.</w:t>
            </w:r>
          </w:p>
        </w:tc>
        <w:tc>
          <w:tcPr>
            <w:tcW w:w="337" w:type="pct"/>
            <w:shd w:val="clear" w:color="auto" w:fill="auto"/>
            <w:noWrap w:val="0"/>
            <w:vAlign w:val="center"/>
          </w:tcPr>
          <w:p w14:paraId="4640A031">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30</w:t>
            </w:r>
          </w:p>
        </w:tc>
        <w:tc>
          <w:tcPr>
            <w:tcW w:w="259" w:type="pct"/>
            <w:shd w:val="clear" w:color="auto" w:fill="auto"/>
            <w:noWrap w:val="0"/>
            <w:vAlign w:val="center"/>
          </w:tcPr>
          <w:p w14:paraId="6543B108">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张</w:t>
            </w:r>
          </w:p>
        </w:tc>
        <w:tc>
          <w:tcPr>
            <w:tcW w:w="416" w:type="pct"/>
            <w:shd w:val="clear" w:color="auto" w:fill="auto"/>
            <w:noWrap w:val="0"/>
            <w:vAlign w:val="center"/>
          </w:tcPr>
          <w:p w14:paraId="7D29F8CF">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900</w:t>
            </w:r>
          </w:p>
        </w:tc>
        <w:tc>
          <w:tcPr>
            <w:tcW w:w="403" w:type="pct"/>
            <w:shd w:val="clear" w:color="auto" w:fill="auto"/>
            <w:noWrap w:val="0"/>
            <w:vAlign w:val="center"/>
          </w:tcPr>
          <w:p w14:paraId="0D5AC93B">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27000</w:t>
            </w:r>
          </w:p>
        </w:tc>
        <w:tc>
          <w:tcPr>
            <w:tcW w:w="825" w:type="pct"/>
            <w:noWrap w:val="0"/>
            <w:vAlign w:val="center"/>
          </w:tcPr>
          <w:p w14:paraId="70781150">
            <w:pPr>
              <w:bidi w:val="0"/>
              <w:jc w:val="center"/>
              <w:rPr>
                <w:rFonts w:hint="eastAsia"/>
                <w:sz w:val="21"/>
                <w:szCs w:val="21"/>
                <w:lang w:val="en-US" w:eastAsia="zh-CN"/>
              </w:rPr>
            </w:pPr>
            <w:r>
              <w:rPr>
                <w:rFonts w:hint="default"/>
                <w:sz w:val="21"/>
                <w:szCs w:val="21"/>
                <w:lang w:val="en-US" w:eastAsia="zh-CN"/>
              </w:rPr>
              <w:drawing>
                <wp:inline distT="0" distB="0" distL="114300" distR="114300">
                  <wp:extent cx="631190" cy="567055"/>
                  <wp:effectExtent l="0" t="0" r="16510" b="4445"/>
                  <wp:docPr id="2" name="图片 2" descr="12e0d4e2dbbbf6101a4cce0b6991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e0d4e2dbbbf6101a4cce0b6991c16"/>
                          <pic:cNvPicPr>
                            <a:picLocks noChangeAspect="1"/>
                          </pic:cNvPicPr>
                        </pic:nvPicPr>
                        <pic:blipFill>
                          <a:blip r:embed="rId5"/>
                          <a:stretch>
                            <a:fillRect/>
                          </a:stretch>
                        </pic:blipFill>
                        <pic:spPr>
                          <a:xfrm>
                            <a:off x="0" y="0"/>
                            <a:ext cx="631190" cy="567055"/>
                          </a:xfrm>
                          <a:prstGeom prst="rect">
                            <a:avLst/>
                          </a:prstGeom>
                        </pic:spPr>
                      </pic:pic>
                    </a:graphicData>
                  </a:graphic>
                </wp:inline>
              </w:drawing>
            </w:r>
          </w:p>
        </w:tc>
      </w:tr>
      <w:tr w14:paraId="48A1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224" w:type="pct"/>
            <w:noWrap w:val="0"/>
            <w:vAlign w:val="center"/>
          </w:tcPr>
          <w:p w14:paraId="750F10C1">
            <w:pPr>
              <w:spacing w:line="400" w:lineRule="exact"/>
              <w:jc w:val="center"/>
              <w:rPr>
                <w:rFonts w:hint="default" w:ascii="宋体" w:hAnsi="宋体" w:eastAsia="宋体" w:cs="宋体"/>
                <w:color w:val="auto"/>
                <w:sz w:val="21"/>
                <w:szCs w:val="18"/>
                <w:lang w:val="en-US" w:eastAsia="zh-CN"/>
              </w:rPr>
            </w:pPr>
            <w:r>
              <w:rPr>
                <w:rFonts w:hint="eastAsia" w:ascii="宋体" w:hAnsi="宋体" w:eastAsia="宋体" w:cs="宋体"/>
                <w:color w:val="auto"/>
                <w:sz w:val="21"/>
                <w:szCs w:val="18"/>
                <w:lang w:val="en-US" w:eastAsia="zh-CN"/>
              </w:rPr>
              <w:t>3</w:t>
            </w:r>
          </w:p>
        </w:tc>
        <w:tc>
          <w:tcPr>
            <w:tcW w:w="376" w:type="pct"/>
            <w:noWrap w:val="0"/>
            <w:vAlign w:val="center"/>
          </w:tcPr>
          <w:p w14:paraId="3FCE0AB7">
            <w:pPr>
              <w:spacing w:line="400" w:lineRule="exact"/>
              <w:jc w:val="center"/>
              <w:rPr>
                <w:rFonts w:hint="eastAsia"/>
                <w:sz w:val="21"/>
                <w:szCs w:val="21"/>
                <w:lang w:val="en-US" w:eastAsia="zh-CN"/>
              </w:rPr>
            </w:pPr>
            <w:r>
              <w:rPr>
                <w:rFonts w:hint="eastAsia"/>
                <w:sz w:val="21"/>
                <w:szCs w:val="21"/>
                <w:lang w:val="en-US" w:eastAsia="zh-CN"/>
              </w:rPr>
              <w:t>办公桌椅</w:t>
            </w:r>
          </w:p>
        </w:tc>
        <w:tc>
          <w:tcPr>
            <w:tcW w:w="2156" w:type="pct"/>
            <w:noWrap w:val="0"/>
            <w:vAlign w:val="center"/>
          </w:tcPr>
          <w:p w14:paraId="6CAF847E">
            <w:pPr>
              <w:jc w:val="left"/>
              <w:rPr>
                <w:rFonts w:hint="eastAsia"/>
                <w:sz w:val="21"/>
                <w:szCs w:val="21"/>
                <w:lang w:val="en-US" w:eastAsia="zh-CN"/>
              </w:rPr>
            </w:pPr>
            <w:r>
              <w:rPr>
                <w:rFonts w:hint="eastAsia"/>
                <w:sz w:val="21"/>
                <w:szCs w:val="21"/>
                <w:lang w:val="en-US" w:eastAsia="zh-CN"/>
              </w:rPr>
              <w:t>一、屏风规格：1200x1100x600mm</w:t>
            </w:r>
          </w:p>
          <w:p w14:paraId="0AF02054">
            <w:pPr>
              <w:bidi w:val="0"/>
              <w:rPr>
                <w:rFonts w:hint="eastAsia"/>
                <w:sz w:val="21"/>
                <w:szCs w:val="21"/>
                <w:lang w:val="en-US" w:eastAsia="zh-CN"/>
              </w:rPr>
            </w:pPr>
            <w:r>
              <w:rPr>
                <w:rFonts w:hint="eastAsia"/>
                <w:sz w:val="21"/>
                <w:szCs w:val="21"/>
                <w:lang w:val="en-US" w:eastAsia="zh-CN"/>
              </w:rPr>
              <w:t>材质：1、铝材采用45款抗氧化型铝材，优质铝合金框架结构，牢固轻便，永不变形；</w:t>
            </w:r>
          </w:p>
          <w:p w14:paraId="7D1A3504">
            <w:pPr>
              <w:bidi w:val="0"/>
              <w:rPr>
                <w:rFonts w:hint="eastAsia"/>
                <w:sz w:val="21"/>
                <w:szCs w:val="21"/>
                <w:lang w:val="en-US" w:eastAsia="zh-CN"/>
              </w:rPr>
            </w:pPr>
            <w:r>
              <w:rPr>
                <w:rFonts w:hint="eastAsia"/>
                <w:sz w:val="21"/>
                <w:szCs w:val="21"/>
                <w:lang w:val="en-US" w:eastAsia="zh-CN"/>
              </w:rPr>
              <w:t>2、铝合金框架与铝合金框架之间全部采用专业五金构成连接，稳定牢固，同时又方便拆装，可以经受多次拆装不变形的考验。</w:t>
            </w:r>
          </w:p>
          <w:p w14:paraId="56220EC6">
            <w:pPr>
              <w:bidi w:val="0"/>
              <w:jc w:val="left"/>
              <w:rPr>
                <w:rFonts w:hint="eastAsia"/>
                <w:sz w:val="21"/>
                <w:szCs w:val="21"/>
                <w:lang w:val="en-US" w:eastAsia="zh-CN"/>
              </w:rPr>
            </w:pPr>
            <w:r>
              <w:rPr>
                <w:rFonts w:hint="eastAsia"/>
                <w:sz w:val="21"/>
                <w:szCs w:val="21"/>
                <w:lang w:val="en-US" w:eastAsia="zh-CN"/>
              </w:rPr>
              <w:t>3、板材：所有板材采用E1级环保型</w:t>
            </w:r>
            <w:r>
              <w:rPr>
                <w:rFonts w:hint="eastAsia"/>
                <w:sz w:val="21"/>
                <w:szCs w:val="21"/>
                <w:highlight w:val="none"/>
                <w:lang w:val="en-US" w:eastAsia="zh-CN"/>
              </w:rPr>
              <w:t>贴面中密度纤维板</w:t>
            </w:r>
            <w:r>
              <w:rPr>
                <w:rFonts w:hint="eastAsia"/>
                <w:sz w:val="21"/>
                <w:szCs w:val="21"/>
                <w:lang w:val="en-US" w:eastAsia="zh-CN"/>
              </w:rPr>
              <w:t>，易清洁、耐磨，防潮、光滑、等性能。</w:t>
            </w:r>
          </w:p>
          <w:p w14:paraId="42978D90">
            <w:pPr>
              <w:bidi w:val="0"/>
              <w:jc w:val="left"/>
              <w:rPr>
                <w:rFonts w:hint="eastAsia"/>
                <w:sz w:val="21"/>
                <w:szCs w:val="21"/>
                <w:lang w:val="en-US" w:eastAsia="zh-CN"/>
              </w:rPr>
            </w:pPr>
            <w:r>
              <w:rPr>
                <w:rFonts w:hint="eastAsia"/>
                <w:sz w:val="21"/>
                <w:szCs w:val="21"/>
                <w:highlight w:val="none"/>
                <w:lang w:val="en-US" w:eastAsia="zh-CN"/>
              </w:rPr>
              <w:t>3.1贴面中密度纤维板符合GB/T15104-2021《装饰单板贴面人造板》、GB/T 15102-2017《浸渍胶膜纸饰面纤维板和刨花板》、CB 18580-2017《室内装饰装修材料 人造板及其制品中甲醛释放限量》、QB/T 4371-2012《家具抗菌性能的评价》、JC/T 2039-2010《抗菌防霉木质装饰板》、GB/T 40908-2021《家具产品及其材料中禁限用物质测定方法 阻燃剂》等检测标准；含水率3.0~13.0%、甲醛释放量（气候箱法）E1≤0.124mg/m³、抗菌率白色葡萄球菌＜99%、防霉菌性能-绿粘帚霉0级、静曲强度≥24MPa、内结合强度≥0.45MPa、24h吸水厚度膨胀率≤12.0%、三-(1-氮杂环丙基)氧化膦(TEPA)、三-(2-氯乙基)磷酸酯(TCEP)、三-(1，3-二氯内基)磷酸酯(TDCPP)二-(2，3-二溴丙基)磷酸酯(DDBPP)、三-(邻甲苯基)磷酸酯(TOCP)、三-(2，3-二溴丙基)磷酸酯(TDBPP )均为未检出。</w:t>
            </w:r>
            <w:r>
              <w:rPr>
                <w:b/>
                <w:bCs/>
                <w:spacing w:val="-3"/>
                <w:sz w:val="21"/>
                <w:szCs w:val="21"/>
                <w:highlight w:val="none"/>
              </w:rPr>
              <w:t>（</w:t>
            </w:r>
            <w:r>
              <w:rPr>
                <w:rFonts w:hint="eastAsia"/>
                <w:b/>
                <w:bCs/>
                <w:sz w:val="21"/>
                <w:szCs w:val="21"/>
              </w:rPr>
              <w:t>报价时提供贴面中密度纤维板</w:t>
            </w:r>
            <w:r>
              <w:rPr>
                <w:rFonts w:hint="eastAsia"/>
                <w:b/>
                <w:bCs/>
                <w:sz w:val="21"/>
                <w:szCs w:val="21"/>
                <w:lang w:eastAsia="zh-CN"/>
              </w:rPr>
              <w:t>具有</w:t>
            </w:r>
            <w:r>
              <w:rPr>
                <w:rFonts w:hint="eastAsia"/>
                <w:b/>
                <w:bCs/>
                <w:sz w:val="21"/>
                <w:szCs w:val="21"/>
              </w:rPr>
              <w:t>CMA标识的国家认可的第三方检测机构出具的检测报告复印件并加盖公章，检测内容需满足以上参数，使用方有权查验检测报告的真实性，末提供及不符合要求的报价无效，提供虚假的按政府采购法处理</w:t>
            </w:r>
            <w:r>
              <w:rPr>
                <w:b/>
                <w:bCs/>
                <w:spacing w:val="6"/>
                <w:sz w:val="21"/>
                <w:szCs w:val="21"/>
                <w:highlight w:val="none"/>
              </w:rPr>
              <w:t>）</w:t>
            </w:r>
          </w:p>
          <w:p w14:paraId="3FAA70D0">
            <w:pPr>
              <w:bidi w:val="0"/>
              <w:rPr>
                <w:rFonts w:hint="eastAsia"/>
                <w:sz w:val="21"/>
                <w:szCs w:val="21"/>
                <w:lang w:val="en-US" w:eastAsia="zh-CN"/>
              </w:rPr>
            </w:pPr>
            <w:r>
              <w:rPr>
                <w:rFonts w:hint="eastAsia"/>
                <w:sz w:val="21"/>
                <w:szCs w:val="21"/>
                <w:lang w:val="en-US" w:eastAsia="zh-CN"/>
              </w:rPr>
              <w:t>4、</w:t>
            </w:r>
            <w:r>
              <w:rPr>
                <w:rFonts w:hint="eastAsia"/>
                <w:b w:val="0"/>
                <w:bCs w:val="0"/>
                <w:sz w:val="21"/>
                <w:szCs w:val="21"/>
              </w:rPr>
              <w:t>封边条要求：符合QB/T 4463-2013《家具用封边条技术要求》标准，甲醛释放量≤0.05mg/L；耐磨性：磨30r后应无露底现象；耐光色牢度≥4级；耐老化性：300h后，应无开裂；耐冷热循环:无龟裂、无鼓泡、无变色、无起皱；可迁移元素(可溶性重金属)：铅、镉、铬、汞、锑、钡、硒、砷均未检出；多溴联苯未检出；多溴联苯醚未检出。</w:t>
            </w:r>
          </w:p>
          <w:p w14:paraId="4C5B8D9F">
            <w:pPr>
              <w:bidi w:val="0"/>
              <w:rPr>
                <w:rFonts w:hint="eastAsia"/>
                <w:sz w:val="21"/>
                <w:szCs w:val="21"/>
                <w:lang w:val="en-US" w:eastAsia="zh-CN"/>
              </w:rPr>
            </w:pPr>
            <w:r>
              <w:rPr>
                <w:rFonts w:hint="eastAsia"/>
                <w:sz w:val="21"/>
                <w:szCs w:val="21"/>
                <w:lang w:val="en-US" w:eastAsia="zh-CN"/>
              </w:rPr>
              <w:t>5、五金配件：采用国内优质五金配件，品质优越，持久耐用 。</w:t>
            </w:r>
          </w:p>
          <w:p w14:paraId="353D2845">
            <w:pPr>
              <w:bidi w:val="0"/>
              <w:rPr>
                <w:rFonts w:hint="eastAsia"/>
                <w:sz w:val="21"/>
                <w:szCs w:val="21"/>
                <w:lang w:val="en-US" w:eastAsia="zh-CN"/>
              </w:rPr>
            </w:pPr>
            <w:r>
              <w:rPr>
                <w:rFonts w:hint="eastAsia"/>
                <w:sz w:val="21"/>
                <w:szCs w:val="21"/>
                <w:lang w:val="en-US" w:eastAsia="zh-CN"/>
              </w:rPr>
              <w:t>二、办公椅规格：630*430*590mm（允许尺寸偏差±5mm）</w:t>
            </w:r>
          </w:p>
          <w:p w14:paraId="6C956B39">
            <w:pPr>
              <w:bidi w:val="0"/>
              <w:rPr>
                <w:rFonts w:hint="eastAsia"/>
                <w:sz w:val="21"/>
                <w:szCs w:val="21"/>
                <w:lang w:val="en-US" w:eastAsia="zh-CN"/>
              </w:rPr>
            </w:pPr>
            <w:r>
              <w:rPr>
                <w:rFonts w:hint="eastAsia"/>
                <w:sz w:val="21"/>
                <w:szCs w:val="21"/>
                <w:lang w:val="en-US" w:eastAsia="zh-CN"/>
              </w:rPr>
              <w:t>1、优质网布、舒适透气；</w:t>
            </w:r>
          </w:p>
          <w:p w14:paraId="05ED6966">
            <w:pPr>
              <w:bidi w:val="0"/>
              <w:rPr>
                <w:rFonts w:hint="eastAsia"/>
                <w:sz w:val="21"/>
                <w:szCs w:val="21"/>
                <w:lang w:val="en-US" w:eastAsia="zh-CN"/>
              </w:rPr>
            </w:pPr>
            <w:r>
              <w:rPr>
                <w:rFonts w:hint="eastAsia"/>
                <w:sz w:val="21"/>
                <w:szCs w:val="21"/>
                <w:lang w:val="en-US" w:eastAsia="zh-CN"/>
              </w:rPr>
              <w:t>2、背架优质PP、一体注塑成型；</w:t>
            </w:r>
          </w:p>
          <w:p w14:paraId="56C9456B">
            <w:pPr>
              <w:bidi w:val="0"/>
              <w:rPr>
                <w:rFonts w:hint="eastAsia"/>
                <w:sz w:val="21"/>
                <w:szCs w:val="21"/>
                <w:lang w:val="en-US" w:eastAsia="zh-CN"/>
              </w:rPr>
            </w:pPr>
            <w:r>
              <w:rPr>
                <w:rFonts w:hint="eastAsia"/>
                <w:sz w:val="21"/>
                <w:szCs w:val="21"/>
                <w:lang w:val="en-US" w:eastAsia="zh-CN"/>
              </w:rPr>
              <w:t>3、高密度定型海绵、舒适透气；</w:t>
            </w:r>
          </w:p>
          <w:p w14:paraId="0F91EA88">
            <w:pPr>
              <w:bidi w:val="0"/>
              <w:rPr>
                <w:rFonts w:hint="eastAsia"/>
                <w:sz w:val="21"/>
                <w:szCs w:val="21"/>
                <w:lang w:val="en-US" w:eastAsia="zh-CN"/>
              </w:rPr>
            </w:pPr>
            <w:r>
              <w:rPr>
                <w:rFonts w:hint="eastAsia"/>
                <w:sz w:val="21"/>
                <w:szCs w:val="21"/>
                <w:lang w:val="en-US" w:eastAsia="zh-CN"/>
              </w:rPr>
              <w:t>4、升降底盘；</w:t>
            </w:r>
          </w:p>
          <w:p w14:paraId="55D476DE">
            <w:pPr>
              <w:bidi w:val="0"/>
              <w:rPr>
                <w:rFonts w:hint="eastAsia"/>
                <w:sz w:val="21"/>
                <w:szCs w:val="21"/>
                <w:lang w:val="en-US" w:eastAsia="zh-CN"/>
              </w:rPr>
            </w:pPr>
            <w:r>
              <w:rPr>
                <w:rFonts w:hint="eastAsia"/>
                <w:sz w:val="21"/>
                <w:szCs w:val="21"/>
                <w:lang w:val="en-US" w:eastAsia="zh-CN"/>
              </w:rPr>
              <w:t>5、固定扶手；</w:t>
            </w:r>
          </w:p>
          <w:p w14:paraId="14D61A79">
            <w:pPr>
              <w:bidi w:val="0"/>
              <w:rPr>
                <w:rFonts w:hint="eastAsia"/>
                <w:sz w:val="21"/>
                <w:szCs w:val="21"/>
                <w:lang w:val="en-US" w:eastAsia="zh-CN"/>
              </w:rPr>
            </w:pPr>
            <w:r>
              <w:rPr>
                <w:rFonts w:hint="eastAsia"/>
                <w:sz w:val="21"/>
                <w:szCs w:val="21"/>
                <w:lang w:val="en-US" w:eastAsia="zh-CN"/>
              </w:rPr>
              <w:t>6、优质气杆；</w:t>
            </w:r>
          </w:p>
          <w:p w14:paraId="5F3E000B">
            <w:pPr>
              <w:pStyle w:val="3"/>
              <w:numPr>
                <w:ilvl w:val="0"/>
                <w:numId w:val="0"/>
              </w:numPr>
              <w:ind w:leftChars="0"/>
              <w:jc w:val="left"/>
              <w:rPr>
                <w:rFonts w:hint="default"/>
                <w:sz w:val="21"/>
                <w:szCs w:val="16"/>
                <w:lang w:val="en-US" w:eastAsia="zh-CN"/>
              </w:rPr>
            </w:pPr>
            <w:r>
              <w:rPr>
                <w:rFonts w:hint="eastAsia"/>
                <w:sz w:val="21"/>
                <w:szCs w:val="16"/>
                <w:lang w:val="en-US" w:eastAsia="zh-CN"/>
              </w:rPr>
              <w:t>7、320尼龙脚配静音轮。</w:t>
            </w:r>
          </w:p>
        </w:tc>
        <w:tc>
          <w:tcPr>
            <w:tcW w:w="337" w:type="pct"/>
            <w:shd w:val="clear" w:color="auto" w:fill="auto"/>
            <w:noWrap w:val="0"/>
            <w:vAlign w:val="center"/>
          </w:tcPr>
          <w:p w14:paraId="60402C47">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eastAsia" w:ascii="Calibri" w:hAnsi="Calibri" w:eastAsia="宋体" w:cs="Calibri"/>
                <w:i w:val="0"/>
                <w:iCs w:val="0"/>
                <w:color w:val="000000"/>
                <w:kern w:val="0"/>
                <w:sz w:val="21"/>
                <w:szCs w:val="21"/>
                <w:u w:val="none"/>
                <w:lang w:val="en-US" w:eastAsia="zh-CN" w:bidi="ar"/>
              </w:rPr>
              <w:t>65</w:t>
            </w:r>
          </w:p>
        </w:tc>
        <w:tc>
          <w:tcPr>
            <w:tcW w:w="259" w:type="pct"/>
            <w:shd w:val="clear" w:color="auto" w:fill="auto"/>
            <w:noWrap w:val="0"/>
            <w:vAlign w:val="center"/>
          </w:tcPr>
          <w:p w14:paraId="5C3CEAB5">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套</w:t>
            </w:r>
          </w:p>
        </w:tc>
        <w:tc>
          <w:tcPr>
            <w:tcW w:w="416" w:type="pct"/>
            <w:shd w:val="clear" w:color="auto" w:fill="auto"/>
            <w:noWrap w:val="0"/>
            <w:vAlign w:val="center"/>
          </w:tcPr>
          <w:p w14:paraId="27AEF021">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14</w:t>
            </w:r>
            <w:r>
              <w:rPr>
                <w:rFonts w:hint="eastAsia" w:ascii="Calibri" w:hAnsi="Calibri" w:eastAsia="宋体" w:cs="Calibri"/>
                <w:i w:val="0"/>
                <w:iCs w:val="0"/>
                <w:color w:val="000000"/>
                <w:kern w:val="0"/>
                <w:sz w:val="21"/>
                <w:szCs w:val="21"/>
                <w:u w:val="none"/>
                <w:lang w:val="en-US" w:eastAsia="zh-CN" w:bidi="ar"/>
              </w:rPr>
              <w:t>30</w:t>
            </w:r>
          </w:p>
        </w:tc>
        <w:tc>
          <w:tcPr>
            <w:tcW w:w="403" w:type="pct"/>
            <w:shd w:val="clear" w:color="auto" w:fill="auto"/>
            <w:noWrap w:val="0"/>
            <w:vAlign w:val="center"/>
          </w:tcPr>
          <w:p w14:paraId="19C16845">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eastAsia" w:ascii="Calibri" w:hAnsi="Calibri" w:eastAsia="宋体" w:cs="Calibri"/>
                <w:i w:val="0"/>
                <w:iCs w:val="0"/>
                <w:color w:val="000000"/>
                <w:kern w:val="0"/>
                <w:sz w:val="21"/>
                <w:szCs w:val="21"/>
                <w:u w:val="none"/>
                <w:lang w:val="en-US" w:eastAsia="zh-CN" w:bidi="ar"/>
              </w:rPr>
              <w:t>92950</w:t>
            </w:r>
          </w:p>
        </w:tc>
        <w:tc>
          <w:tcPr>
            <w:tcW w:w="825" w:type="pct"/>
            <w:noWrap w:val="0"/>
            <w:vAlign w:val="center"/>
          </w:tcPr>
          <w:p w14:paraId="53E783FB">
            <w:pPr>
              <w:bidi w:val="0"/>
              <w:jc w:val="center"/>
              <w:rPr>
                <w:rFonts w:hint="default"/>
                <w:sz w:val="21"/>
                <w:szCs w:val="21"/>
                <w:lang w:val="en-US" w:eastAsia="zh-CN"/>
              </w:rPr>
            </w:pPr>
            <w:r>
              <w:rPr>
                <w:rFonts w:hint="default"/>
                <w:sz w:val="21"/>
                <w:szCs w:val="21"/>
                <w:lang w:val="en-US" w:eastAsia="zh-CN"/>
              </w:rPr>
              <w:drawing>
                <wp:inline distT="0" distB="0" distL="114300" distR="114300">
                  <wp:extent cx="1042670" cy="467995"/>
                  <wp:effectExtent l="0" t="0" r="5080" b="8255"/>
                  <wp:docPr id="4" name="图片 4" descr="08ff6fb23d3e7cd7ae7efa564348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8ff6fb23d3e7cd7ae7efa564348c0a"/>
                          <pic:cNvPicPr>
                            <a:picLocks noChangeAspect="1"/>
                          </pic:cNvPicPr>
                        </pic:nvPicPr>
                        <pic:blipFill>
                          <a:blip r:embed="rId6"/>
                          <a:stretch>
                            <a:fillRect/>
                          </a:stretch>
                        </pic:blipFill>
                        <pic:spPr>
                          <a:xfrm>
                            <a:off x="0" y="0"/>
                            <a:ext cx="1042670" cy="467995"/>
                          </a:xfrm>
                          <a:prstGeom prst="rect">
                            <a:avLst/>
                          </a:prstGeom>
                        </pic:spPr>
                      </pic:pic>
                    </a:graphicData>
                  </a:graphic>
                </wp:inline>
              </w:drawing>
            </w:r>
            <w:r>
              <w:rPr>
                <w:sz w:val="21"/>
                <w:szCs w:val="21"/>
              </w:rPr>
              <w:drawing>
                <wp:inline distT="0" distB="0" distL="114300" distR="114300">
                  <wp:extent cx="1047750" cy="1407795"/>
                  <wp:effectExtent l="0" t="0" r="0"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047750" cy="1407795"/>
                          </a:xfrm>
                          <a:prstGeom prst="rect">
                            <a:avLst/>
                          </a:prstGeom>
                          <a:noFill/>
                          <a:ln>
                            <a:noFill/>
                          </a:ln>
                        </pic:spPr>
                      </pic:pic>
                    </a:graphicData>
                  </a:graphic>
                </wp:inline>
              </w:drawing>
            </w:r>
          </w:p>
        </w:tc>
      </w:tr>
      <w:tr w14:paraId="73AB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24" w:type="pct"/>
            <w:noWrap w:val="0"/>
            <w:vAlign w:val="center"/>
          </w:tcPr>
          <w:p w14:paraId="68E87756">
            <w:pPr>
              <w:spacing w:line="400" w:lineRule="exact"/>
              <w:jc w:val="center"/>
              <w:rPr>
                <w:rFonts w:hint="default" w:ascii="宋体" w:hAnsi="宋体" w:eastAsia="宋体" w:cs="宋体"/>
                <w:color w:val="auto"/>
                <w:sz w:val="21"/>
                <w:szCs w:val="18"/>
                <w:lang w:val="en-US" w:eastAsia="zh-CN"/>
              </w:rPr>
            </w:pPr>
            <w:r>
              <w:rPr>
                <w:rFonts w:hint="eastAsia" w:ascii="宋体" w:hAnsi="宋体" w:eastAsia="宋体" w:cs="宋体"/>
                <w:color w:val="auto"/>
                <w:sz w:val="21"/>
                <w:szCs w:val="18"/>
                <w:lang w:val="en-US" w:eastAsia="zh-CN"/>
              </w:rPr>
              <w:t>4</w:t>
            </w:r>
          </w:p>
        </w:tc>
        <w:tc>
          <w:tcPr>
            <w:tcW w:w="376" w:type="pct"/>
            <w:noWrap w:val="0"/>
            <w:vAlign w:val="center"/>
          </w:tcPr>
          <w:p w14:paraId="7C4A914F">
            <w:pPr>
              <w:spacing w:line="400" w:lineRule="exact"/>
              <w:jc w:val="center"/>
              <w:rPr>
                <w:rFonts w:hint="eastAsia" w:eastAsiaTheme="minorEastAsia"/>
                <w:sz w:val="21"/>
                <w:szCs w:val="21"/>
                <w:lang w:val="en-US" w:eastAsia="zh-CN"/>
              </w:rPr>
            </w:pPr>
            <w:r>
              <w:rPr>
                <w:rFonts w:hint="eastAsia"/>
                <w:sz w:val="21"/>
                <w:szCs w:val="21"/>
                <w:lang w:val="en-US" w:eastAsia="zh-CN"/>
              </w:rPr>
              <w:t>文件柜</w:t>
            </w:r>
          </w:p>
        </w:tc>
        <w:tc>
          <w:tcPr>
            <w:tcW w:w="2156" w:type="pct"/>
            <w:noWrap w:val="0"/>
            <w:vAlign w:val="center"/>
          </w:tcPr>
          <w:p w14:paraId="0EC87E3A">
            <w:pPr>
              <w:bidi w:val="0"/>
              <w:rPr>
                <w:rFonts w:hint="eastAsia"/>
                <w:sz w:val="21"/>
                <w:szCs w:val="21"/>
                <w:lang w:val="en-US" w:eastAsia="zh-CN"/>
              </w:rPr>
            </w:pPr>
            <w:r>
              <w:rPr>
                <w:rFonts w:hint="eastAsia"/>
                <w:sz w:val="21"/>
                <w:szCs w:val="21"/>
                <w:lang w:val="en-US" w:eastAsia="zh-CN"/>
              </w:rPr>
              <w:t>1、规格:370mm×860mm×390mm</w:t>
            </w:r>
            <w:r>
              <w:rPr>
                <w:sz w:val="21"/>
                <w:szCs w:val="21"/>
              </w:rPr>
              <w:t>（以上尺寸允许偏差±5mm）</w:t>
            </w:r>
          </w:p>
          <w:p w14:paraId="6178D701">
            <w:pPr>
              <w:jc w:val="left"/>
              <w:rPr>
                <w:rFonts w:hint="default" w:eastAsia="微软雅黑"/>
                <w:sz w:val="21"/>
                <w:szCs w:val="21"/>
                <w:lang w:val="en-US" w:eastAsia="zh-CN"/>
              </w:rPr>
            </w:pPr>
            <w:r>
              <w:rPr>
                <w:rFonts w:hint="eastAsia"/>
                <w:sz w:val="21"/>
                <w:szCs w:val="21"/>
                <w:lang w:val="en-US" w:eastAsia="zh-CN"/>
              </w:rPr>
              <w:t>2、侧板、层板、底框板、门板、背板均采用≥0.6mm 厚冷轧钢板经剪切、焊接、打磨、焊接冲压成型，表面采用亚光静电喷塑工艺，柜体表面经预脱脂-水洗-酸洗-水洗-中和-表调-磷化-水洗-钝化十工位表面前处理工序；拉手采用铝合金拉手。</w:t>
            </w:r>
            <w:r>
              <w:rPr>
                <w:rFonts w:hint="eastAsia"/>
                <w:sz w:val="21"/>
                <w:szCs w:val="21"/>
                <w:lang w:val="en-US" w:eastAsia="zh-CN"/>
              </w:rPr>
              <w:br w:type="textWrapping"/>
            </w:r>
            <w:r>
              <w:rPr>
                <w:rFonts w:hint="eastAsia"/>
                <w:sz w:val="21"/>
                <w:szCs w:val="21"/>
                <w:lang w:val="en-US" w:eastAsia="zh-CN"/>
              </w:rPr>
              <w:t>3、</w:t>
            </w:r>
            <w:r>
              <w:rPr>
                <w:rFonts w:hint="eastAsia"/>
                <w:sz w:val="21"/>
                <w:szCs w:val="21"/>
              </w:rPr>
              <w:t>塑粉要求：HG/T 2006-2022《热固性和热塑性粉末涂料》</w:t>
            </w:r>
            <w:r>
              <w:rPr>
                <w:rFonts w:hint="eastAsia"/>
                <w:sz w:val="21"/>
                <w:szCs w:val="21"/>
                <w:lang w:eastAsia="zh-CN"/>
              </w:rPr>
              <w:t>、</w:t>
            </w:r>
            <w:r>
              <w:rPr>
                <w:rFonts w:hint="eastAsia"/>
                <w:sz w:val="21"/>
                <w:szCs w:val="21"/>
              </w:rPr>
              <w:t>GB/T 35602-2017《绿色产品评价 涂料》</w:t>
            </w:r>
            <w:r>
              <w:rPr>
                <w:rFonts w:hint="eastAsia"/>
                <w:sz w:val="21"/>
                <w:szCs w:val="21"/>
                <w:lang w:eastAsia="zh-CN"/>
              </w:rPr>
              <w:t>、</w:t>
            </w:r>
            <w:r>
              <w:rPr>
                <w:rFonts w:hint="eastAsia"/>
                <w:sz w:val="21"/>
                <w:szCs w:val="21"/>
              </w:rPr>
              <w:t>GB/T 1740-2007《膜耐湿热测定法》</w:t>
            </w:r>
            <w:r>
              <w:rPr>
                <w:rFonts w:hint="eastAsia"/>
                <w:sz w:val="21"/>
                <w:szCs w:val="21"/>
                <w:lang w:eastAsia="zh-CN"/>
              </w:rPr>
              <w:t>等检测标准；耐湿热性</w:t>
            </w:r>
            <w:r>
              <w:rPr>
                <w:rFonts w:hint="eastAsia"/>
                <w:sz w:val="21"/>
                <w:szCs w:val="21"/>
                <w:lang w:val="en-US" w:eastAsia="zh-CN"/>
              </w:rPr>
              <w:t>100h、干附着力0级、铅笔硬度3H、耐酸性240h、耐碱性168h、重金属元素含量铅、镉、六价铬、汞、砷、钡、硒、锑、钴均为未检出。</w:t>
            </w:r>
            <w:r>
              <w:rPr>
                <w:rFonts w:hint="eastAsia"/>
                <w:sz w:val="21"/>
                <w:szCs w:val="21"/>
                <w:lang w:val="en-US" w:eastAsia="zh-CN"/>
              </w:rPr>
              <w:br w:type="textWrapping"/>
            </w:r>
            <w:r>
              <w:rPr>
                <w:rFonts w:hint="eastAsia"/>
                <w:sz w:val="21"/>
                <w:szCs w:val="21"/>
                <w:lang w:val="en-US" w:eastAsia="zh-CN"/>
              </w:rPr>
              <w:t>4、钢制柜侧板、层板、底框板、门板、背板要求：符合GB/T 1740-2007《漆膜耐湿热测定法》、GB/T 3325-2017《金属家具通用技术条件》；耐湿热≥300h，理化性能要求耐腐蚀≥300h。</w:t>
            </w:r>
            <w:r>
              <w:rPr>
                <w:b/>
                <w:bCs/>
                <w:sz w:val="21"/>
                <w:szCs w:val="21"/>
              </w:rPr>
              <w:t>（</w:t>
            </w:r>
            <w:r>
              <w:rPr>
                <w:rFonts w:hint="eastAsia"/>
                <w:b/>
                <w:bCs/>
                <w:sz w:val="21"/>
                <w:szCs w:val="21"/>
              </w:rPr>
              <w:t>报价时提供钢制柜侧板、层板、底框板、门板、背板</w:t>
            </w:r>
            <w:r>
              <w:rPr>
                <w:rFonts w:hint="eastAsia"/>
                <w:b/>
                <w:bCs/>
                <w:sz w:val="21"/>
                <w:szCs w:val="21"/>
                <w:lang w:eastAsia="zh-CN"/>
              </w:rPr>
              <w:t>具有</w:t>
            </w:r>
            <w:r>
              <w:rPr>
                <w:rFonts w:hint="eastAsia"/>
                <w:b/>
                <w:bCs/>
                <w:sz w:val="21"/>
                <w:szCs w:val="21"/>
              </w:rPr>
              <w:t>CMA标识的国家认可的第三方检测机构出具的检测报告复印件并加盖公章，检测内容需满足以上参数，使用方有权查验检测报告的真实性，末提供及不符合要求的报价无效，提供虚假的按政府采购法处理</w:t>
            </w:r>
            <w:r>
              <w:rPr>
                <w:b/>
                <w:bCs/>
                <w:sz w:val="21"/>
                <w:szCs w:val="21"/>
              </w:rPr>
              <w:t>）</w:t>
            </w:r>
          </w:p>
        </w:tc>
        <w:tc>
          <w:tcPr>
            <w:tcW w:w="337" w:type="pct"/>
            <w:shd w:val="clear" w:color="auto" w:fill="auto"/>
            <w:noWrap w:val="0"/>
            <w:vAlign w:val="center"/>
          </w:tcPr>
          <w:p w14:paraId="2F84AAD5">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10</w:t>
            </w:r>
          </w:p>
        </w:tc>
        <w:tc>
          <w:tcPr>
            <w:tcW w:w="259" w:type="pct"/>
            <w:shd w:val="clear" w:color="auto" w:fill="auto"/>
            <w:noWrap w:val="0"/>
            <w:vAlign w:val="center"/>
          </w:tcPr>
          <w:p w14:paraId="50B6C25E">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组</w:t>
            </w:r>
          </w:p>
        </w:tc>
        <w:tc>
          <w:tcPr>
            <w:tcW w:w="416" w:type="pct"/>
            <w:shd w:val="clear" w:color="auto" w:fill="auto"/>
            <w:noWrap w:val="0"/>
            <w:vAlign w:val="center"/>
          </w:tcPr>
          <w:p w14:paraId="56EB0672">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460</w:t>
            </w:r>
          </w:p>
        </w:tc>
        <w:tc>
          <w:tcPr>
            <w:tcW w:w="403" w:type="pct"/>
            <w:shd w:val="clear" w:color="auto" w:fill="auto"/>
            <w:noWrap w:val="0"/>
            <w:vAlign w:val="center"/>
          </w:tcPr>
          <w:p w14:paraId="5F04804E">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4600</w:t>
            </w:r>
          </w:p>
        </w:tc>
        <w:tc>
          <w:tcPr>
            <w:tcW w:w="825" w:type="pct"/>
            <w:noWrap w:val="0"/>
            <w:vAlign w:val="center"/>
          </w:tcPr>
          <w:p w14:paraId="6C313DB2">
            <w:pPr>
              <w:bidi w:val="0"/>
              <w:jc w:val="center"/>
              <w:rPr>
                <w:rFonts w:hint="default"/>
                <w:sz w:val="21"/>
                <w:szCs w:val="21"/>
                <w:lang w:val="en-US" w:eastAsia="zh-CN"/>
              </w:rPr>
            </w:pPr>
            <w:r>
              <w:rPr>
                <w:rFonts w:hint="default"/>
                <w:sz w:val="21"/>
                <w:szCs w:val="21"/>
                <w:lang w:val="en-US" w:eastAsia="zh-CN"/>
              </w:rPr>
              <w:drawing>
                <wp:inline distT="0" distB="0" distL="114300" distR="114300">
                  <wp:extent cx="1043305" cy="1872615"/>
                  <wp:effectExtent l="0" t="0" r="4445" b="13335"/>
                  <wp:docPr id="6" name="图片 6" descr="1ff80b46e2b23e9e3976c7000b0c3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ff80b46e2b23e9e3976c7000b0c3de"/>
                          <pic:cNvPicPr>
                            <a:picLocks noChangeAspect="1"/>
                          </pic:cNvPicPr>
                        </pic:nvPicPr>
                        <pic:blipFill>
                          <a:blip r:embed="rId8"/>
                          <a:stretch>
                            <a:fillRect/>
                          </a:stretch>
                        </pic:blipFill>
                        <pic:spPr>
                          <a:xfrm>
                            <a:off x="0" y="0"/>
                            <a:ext cx="1043305" cy="1872615"/>
                          </a:xfrm>
                          <a:prstGeom prst="rect">
                            <a:avLst/>
                          </a:prstGeom>
                        </pic:spPr>
                      </pic:pic>
                    </a:graphicData>
                  </a:graphic>
                </wp:inline>
              </w:drawing>
            </w:r>
          </w:p>
        </w:tc>
      </w:tr>
      <w:tr w14:paraId="76E8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24" w:type="pct"/>
            <w:noWrap w:val="0"/>
            <w:vAlign w:val="center"/>
          </w:tcPr>
          <w:p w14:paraId="09964AAB">
            <w:pPr>
              <w:spacing w:line="400" w:lineRule="exact"/>
              <w:jc w:val="center"/>
              <w:rPr>
                <w:rFonts w:hint="default" w:ascii="宋体" w:hAnsi="宋体" w:eastAsia="宋体" w:cs="宋体"/>
                <w:color w:val="auto"/>
                <w:sz w:val="21"/>
                <w:szCs w:val="18"/>
                <w:lang w:val="en-US" w:eastAsia="zh-CN"/>
              </w:rPr>
            </w:pPr>
            <w:r>
              <w:rPr>
                <w:rFonts w:hint="eastAsia" w:ascii="宋体" w:hAnsi="宋体" w:eastAsia="宋体" w:cs="宋体"/>
                <w:color w:val="auto"/>
                <w:sz w:val="21"/>
                <w:szCs w:val="18"/>
                <w:lang w:val="en-US" w:eastAsia="zh-CN"/>
              </w:rPr>
              <w:t>5</w:t>
            </w:r>
          </w:p>
        </w:tc>
        <w:tc>
          <w:tcPr>
            <w:tcW w:w="376" w:type="pct"/>
            <w:noWrap w:val="0"/>
            <w:vAlign w:val="center"/>
          </w:tcPr>
          <w:p w14:paraId="18F261DA">
            <w:pPr>
              <w:spacing w:line="400" w:lineRule="exact"/>
              <w:jc w:val="center"/>
              <w:rPr>
                <w:rFonts w:hint="eastAsia"/>
                <w:sz w:val="21"/>
                <w:szCs w:val="21"/>
                <w:lang w:val="en-US" w:eastAsia="zh-CN"/>
              </w:rPr>
            </w:pPr>
            <w:r>
              <w:rPr>
                <w:rFonts w:hint="eastAsia"/>
                <w:sz w:val="21"/>
                <w:szCs w:val="21"/>
                <w:lang w:val="en-US" w:eastAsia="zh-CN"/>
              </w:rPr>
              <w:t>档案柜</w:t>
            </w:r>
          </w:p>
        </w:tc>
        <w:tc>
          <w:tcPr>
            <w:tcW w:w="2156" w:type="pct"/>
            <w:shd w:val="clear" w:color="auto" w:fill="auto"/>
            <w:noWrap w:val="0"/>
            <w:vAlign w:val="center"/>
          </w:tcPr>
          <w:p w14:paraId="3FE88DF1">
            <w:pPr>
              <w:bidi w:val="0"/>
              <w:rPr>
                <w:rFonts w:hint="eastAsia"/>
                <w:sz w:val="21"/>
                <w:szCs w:val="21"/>
                <w:lang w:val="en-US" w:eastAsia="zh-CN"/>
              </w:rPr>
            </w:pPr>
            <w:r>
              <w:rPr>
                <w:rFonts w:hint="eastAsia"/>
                <w:sz w:val="21"/>
                <w:szCs w:val="21"/>
                <w:lang w:val="en-US" w:eastAsia="zh-CN"/>
              </w:rPr>
              <w:t>1、规格:370mm×860mm×390mm</w:t>
            </w:r>
            <w:r>
              <w:rPr>
                <w:sz w:val="21"/>
                <w:szCs w:val="21"/>
              </w:rPr>
              <w:t>（以上尺寸允许偏差±5mm）</w:t>
            </w:r>
          </w:p>
          <w:p w14:paraId="57A555E8">
            <w:pPr>
              <w:jc w:val="left"/>
              <w:rPr>
                <w:rFonts w:hint="eastAsia"/>
                <w:sz w:val="21"/>
                <w:szCs w:val="21"/>
                <w:lang w:val="en-US" w:eastAsia="zh-CN"/>
              </w:rPr>
            </w:pPr>
            <w:r>
              <w:rPr>
                <w:rFonts w:hint="eastAsia"/>
                <w:sz w:val="21"/>
                <w:szCs w:val="21"/>
                <w:lang w:val="en-US" w:eastAsia="zh-CN"/>
              </w:rPr>
              <w:t>2、侧板、层板、底框板、门板、背板均采用≥0.6mm 厚冷轧钢板经剪切、焊接、打磨、焊接冲压成型，表面采用亚光静电喷塑工艺，柜体表面经预脱脂-水洗-酸洗-水洗-中和-表调-磷化-水洗-钝化十工位表面前处理工序；拉手采用铝合金拉手。</w:t>
            </w:r>
            <w:r>
              <w:rPr>
                <w:rFonts w:hint="eastAsia"/>
                <w:sz w:val="21"/>
                <w:szCs w:val="21"/>
                <w:lang w:val="en-US" w:eastAsia="zh-CN"/>
              </w:rPr>
              <w:br w:type="textWrapping"/>
            </w:r>
            <w:r>
              <w:rPr>
                <w:rFonts w:hint="eastAsia"/>
                <w:sz w:val="21"/>
                <w:szCs w:val="21"/>
                <w:lang w:val="en-US" w:eastAsia="zh-CN"/>
              </w:rPr>
              <w:t>3、</w:t>
            </w:r>
            <w:r>
              <w:rPr>
                <w:rFonts w:hint="eastAsia"/>
                <w:sz w:val="21"/>
                <w:szCs w:val="21"/>
              </w:rPr>
              <w:t>塑粉要求：HG/T 2006-2022《热固性和热塑性粉末涂料》</w:t>
            </w:r>
            <w:r>
              <w:rPr>
                <w:rFonts w:hint="eastAsia"/>
                <w:sz w:val="21"/>
                <w:szCs w:val="21"/>
                <w:lang w:eastAsia="zh-CN"/>
              </w:rPr>
              <w:t>、</w:t>
            </w:r>
            <w:r>
              <w:rPr>
                <w:rFonts w:hint="eastAsia"/>
                <w:sz w:val="21"/>
                <w:szCs w:val="21"/>
              </w:rPr>
              <w:t>GB/T 35602-2017《绿色产品评价 涂料》</w:t>
            </w:r>
            <w:r>
              <w:rPr>
                <w:rFonts w:hint="eastAsia"/>
                <w:sz w:val="21"/>
                <w:szCs w:val="21"/>
                <w:lang w:eastAsia="zh-CN"/>
              </w:rPr>
              <w:t>、</w:t>
            </w:r>
            <w:r>
              <w:rPr>
                <w:rFonts w:hint="eastAsia"/>
                <w:sz w:val="21"/>
                <w:szCs w:val="21"/>
              </w:rPr>
              <w:t>GB/T 1740-2007《膜耐湿热测定法》</w:t>
            </w:r>
            <w:r>
              <w:rPr>
                <w:rFonts w:hint="eastAsia"/>
                <w:sz w:val="21"/>
                <w:szCs w:val="21"/>
                <w:lang w:eastAsia="zh-CN"/>
              </w:rPr>
              <w:t>等检测标准；耐湿热性</w:t>
            </w:r>
            <w:r>
              <w:rPr>
                <w:rFonts w:hint="eastAsia"/>
                <w:sz w:val="21"/>
                <w:szCs w:val="21"/>
                <w:lang w:val="en-US" w:eastAsia="zh-CN"/>
              </w:rPr>
              <w:t>100h、干附着力0级、铅笔硬度3H、耐酸性240h、耐碱性168h、重金属元素含量铅、镉、六价铬、汞、砷、钡、硒、锑、钴均为未检出。</w:t>
            </w:r>
            <w:r>
              <w:rPr>
                <w:rFonts w:hint="eastAsia"/>
                <w:sz w:val="21"/>
                <w:szCs w:val="21"/>
                <w:lang w:val="en-US" w:eastAsia="zh-CN"/>
              </w:rPr>
              <w:br w:type="textWrapping"/>
            </w:r>
            <w:r>
              <w:rPr>
                <w:rFonts w:hint="eastAsia"/>
                <w:sz w:val="21"/>
                <w:szCs w:val="21"/>
                <w:lang w:val="en-US" w:eastAsia="zh-CN"/>
              </w:rPr>
              <w:t>4、钢制柜侧板、层板、底框板、门板、背板要求：符合GB/T 1740-2007《漆膜耐湿热测定法》、GB/T 3325-2017《金属家具通用技术条件》；耐湿热≥300h，理化性能要求耐腐蚀≥300h。</w:t>
            </w:r>
          </w:p>
          <w:p w14:paraId="59967313">
            <w:pPr>
              <w:bidi w:val="0"/>
              <w:rPr>
                <w:rFonts w:hint="eastAsia"/>
                <w:sz w:val="21"/>
                <w:szCs w:val="21"/>
                <w:lang w:val="en-US" w:eastAsia="zh-CN"/>
              </w:rPr>
            </w:pPr>
            <w:r>
              <w:rPr>
                <w:rFonts w:hint="eastAsia"/>
                <w:sz w:val="21"/>
                <w:szCs w:val="21"/>
                <w:lang w:val="en-US" w:eastAsia="zh-CN"/>
              </w:rPr>
              <w:t>5、配有防虫装置</w:t>
            </w:r>
          </w:p>
          <w:p w14:paraId="2AB40584">
            <w:pPr>
              <w:bidi w:val="0"/>
              <w:rPr>
                <w:rFonts w:hint="eastAsia"/>
                <w:sz w:val="21"/>
                <w:szCs w:val="21"/>
                <w:lang w:val="en-US" w:eastAsia="zh-CN"/>
              </w:rPr>
            </w:pPr>
            <w:r>
              <w:rPr>
                <w:rFonts w:hint="eastAsia"/>
                <w:sz w:val="21"/>
                <w:szCs w:val="21"/>
                <w:lang w:val="en-US" w:eastAsia="zh-CN"/>
              </w:rPr>
              <w:t>5.1产品外盒材质 ABS 注塑。外形尺寸：长度约 400mm×宽度约 190mm×高度约 24mm 或体积≥1824 立方厘米，内置樟木球。</w:t>
            </w:r>
          </w:p>
          <w:p w14:paraId="6804B42E">
            <w:pPr>
              <w:bidi w:val="0"/>
              <w:rPr>
                <w:rFonts w:hint="eastAsia"/>
                <w:sz w:val="21"/>
                <w:szCs w:val="21"/>
                <w:lang w:val="en-US" w:eastAsia="zh-CN"/>
              </w:rPr>
            </w:pPr>
            <w:r>
              <w:rPr>
                <w:rFonts w:hint="eastAsia"/>
                <w:sz w:val="21"/>
                <w:szCs w:val="21"/>
                <w:lang w:val="en-US" w:eastAsia="zh-CN"/>
              </w:rPr>
              <w:t>5.2、</w:t>
            </w:r>
            <w:r>
              <w:rPr>
                <w:rFonts w:hint="eastAsia"/>
                <w:sz w:val="21"/>
                <w:szCs w:val="21"/>
              </w:rPr>
              <w:t>为便于气体挥发，防虫装置须留透气孔，透气孔直径应小于樟木球直径；整体为可拆装结构，便于定期更换樟木球，维持防虫效果。固定方式用螺钉或吸铁</w:t>
            </w:r>
            <w:r>
              <w:rPr>
                <w:rFonts w:hint="eastAsia"/>
                <w:sz w:val="21"/>
                <w:szCs w:val="21"/>
                <w:lang w:eastAsia="zh-CN"/>
              </w:rPr>
              <w:t>。</w:t>
            </w:r>
          </w:p>
          <w:p w14:paraId="3C8CDFEE">
            <w:pPr>
              <w:bidi w:val="0"/>
              <w:rPr>
                <w:rFonts w:hint="eastAsia"/>
                <w:sz w:val="21"/>
                <w:szCs w:val="21"/>
              </w:rPr>
            </w:pPr>
            <w:r>
              <w:rPr>
                <w:rFonts w:hint="eastAsia"/>
                <w:sz w:val="21"/>
                <w:szCs w:val="21"/>
                <w:lang w:val="en-US" w:eastAsia="zh-CN"/>
              </w:rPr>
              <w:t>5.3、</w:t>
            </w:r>
            <w:r>
              <w:rPr>
                <w:rFonts w:hint="eastAsia"/>
                <w:sz w:val="21"/>
                <w:szCs w:val="21"/>
              </w:rPr>
              <w:t>樟木球：规格直径≥15mm，每套防虫装置樟木球数量应不少于 130 个，保障防虫效果</w:t>
            </w:r>
            <w:r>
              <w:rPr>
                <w:rFonts w:hint="eastAsia"/>
                <w:sz w:val="21"/>
                <w:szCs w:val="21"/>
                <w:lang w:eastAsia="zh-CN"/>
              </w:rPr>
              <w:t>。</w:t>
            </w:r>
          </w:p>
          <w:p w14:paraId="337852E8">
            <w:pPr>
              <w:jc w:val="left"/>
              <w:rPr>
                <w:rFonts w:hint="default" w:eastAsia="微软雅黑" w:cs="华文中宋" w:asciiTheme="minorHAnsi" w:hAnsiTheme="minorHAnsi"/>
                <w:kern w:val="2"/>
                <w:sz w:val="21"/>
                <w:szCs w:val="21"/>
                <w:lang w:val="en-US" w:eastAsia="zh-CN" w:bidi="ar-SA"/>
              </w:rPr>
            </w:pPr>
            <w:r>
              <w:rPr>
                <w:rFonts w:hint="eastAsia"/>
                <w:sz w:val="21"/>
                <w:szCs w:val="21"/>
                <w:lang w:val="en-US" w:eastAsia="zh-CN"/>
              </w:rPr>
              <w:t>5.4</w:t>
            </w:r>
            <w:r>
              <w:rPr>
                <w:rFonts w:hint="eastAsia"/>
                <w:sz w:val="21"/>
                <w:szCs w:val="21"/>
              </w:rPr>
              <w:t>、樟木球树种为香樟（拉丁名：Cinnamomum spp.）,相关技术参数：PH 值≥5；折光指数 1.4610～1.4720、旋光度-25°～-10°应符合 GB/T29894-2013《木材鉴别方法通则》、GB/T16734-1997《中国主要木材名称》、GB/T6043-2009《木材 PH 值测定方法》、GB/T14454.4-2008《香料折光指数的测定》、GB/T14454.5-2008《香料旋光度的测定》等国家标准。</w:t>
            </w:r>
            <w:r>
              <w:rPr>
                <w:b/>
                <w:bCs/>
                <w:sz w:val="21"/>
                <w:szCs w:val="21"/>
              </w:rPr>
              <w:t>（</w:t>
            </w:r>
            <w:r>
              <w:rPr>
                <w:rFonts w:hint="eastAsia"/>
                <w:b/>
                <w:bCs/>
                <w:sz w:val="21"/>
                <w:szCs w:val="21"/>
              </w:rPr>
              <w:t>报价时提供</w:t>
            </w:r>
            <w:r>
              <w:rPr>
                <w:rFonts w:hint="eastAsia"/>
                <w:b/>
                <w:bCs/>
                <w:sz w:val="21"/>
                <w:szCs w:val="21"/>
                <w:lang w:val="en-US" w:eastAsia="zh-CN"/>
              </w:rPr>
              <w:t>防虫装置</w:t>
            </w:r>
            <w:r>
              <w:rPr>
                <w:rFonts w:hint="eastAsia"/>
                <w:b/>
                <w:bCs/>
                <w:sz w:val="21"/>
                <w:szCs w:val="21"/>
                <w:lang w:eastAsia="zh-CN"/>
              </w:rPr>
              <w:t>具有</w:t>
            </w:r>
            <w:r>
              <w:rPr>
                <w:rFonts w:hint="eastAsia"/>
                <w:b/>
                <w:bCs/>
                <w:sz w:val="21"/>
                <w:szCs w:val="21"/>
              </w:rPr>
              <w:t>CMA标识的国家认可的第三方检测机构出具的检测报告复印件并加盖公章，检测内容需满足以上参数，使用方有权查验检测报告的真实性，末提供及不符合要求的报价无效，提供虚假的按政府采购法处理</w:t>
            </w:r>
            <w:r>
              <w:rPr>
                <w:b/>
                <w:bCs/>
                <w:sz w:val="21"/>
                <w:szCs w:val="21"/>
              </w:rPr>
              <w:t>）</w:t>
            </w:r>
          </w:p>
        </w:tc>
        <w:tc>
          <w:tcPr>
            <w:tcW w:w="337" w:type="pct"/>
            <w:shd w:val="clear" w:color="auto" w:fill="auto"/>
            <w:noWrap w:val="0"/>
            <w:vAlign w:val="center"/>
          </w:tcPr>
          <w:p w14:paraId="24283A37">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20</w:t>
            </w:r>
          </w:p>
        </w:tc>
        <w:tc>
          <w:tcPr>
            <w:tcW w:w="259" w:type="pct"/>
            <w:shd w:val="clear" w:color="auto" w:fill="auto"/>
            <w:noWrap w:val="0"/>
            <w:vAlign w:val="center"/>
          </w:tcPr>
          <w:p w14:paraId="64ED29F5">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组</w:t>
            </w:r>
          </w:p>
        </w:tc>
        <w:tc>
          <w:tcPr>
            <w:tcW w:w="416" w:type="pct"/>
            <w:shd w:val="clear" w:color="auto" w:fill="auto"/>
            <w:noWrap w:val="0"/>
            <w:vAlign w:val="center"/>
          </w:tcPr>
          <w:p w14:paraId="59803C4E">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460</w:t>
            </w:r>
          </w:p>
        </w:tc>
        <w:tc>
          <w:tcPr>
            <w:tcW w:w="403" w:type="pct"/>
            <w:shd w:val="clear" w:color="auto" w:fill="auto"/>
            <w:noWrap w:val="0"/>
            <w:vAlign w:val="center"/>
          </w:tcPr>
          <w:p w14:paraId="3D12FA21">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9200</w:t>
            </w:r>
          </w:p>
        </w:tc>
        <w:tc>
          <w:tcPr>
            <w:tcW w:w="825" w:type="pct"/>
            <w:noWrap w:val="0"/>
            <w:vAlign w:val="center"/>
          </w:tcPr>
          <w:p w14:paraId="77D1A2DB">
            <w:pPr>
              <w:bidi w:val="0"/>
              <w:jc w:val="center"/>
              <w:rPr>
                <w:rFonts w:hint="default"/>
                <w:sz w:val="21"/>
                <w:szCs w:val="21"/>
                <w:lang w:val="en-US" w:eastAsia="zh-CN"/>
              </w:rPr>
            </w:pPr>
            <w:r>
              <w:rPr>
                <w:sz w:val="21"/>
                <w:szCs w:val="21"/>
              </w:rPr>
              <w:drawing>
                <wp:inline distT="0" distB="0" distL="114300" distR="114300">
                  <wp:extent cx="1048385" cy="1816735"/>
                  <wp:effectExtent l="0" t="0" r="18415" b="1206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1048385" cy="1816735"/>
                          </a:xfrm>
                          <a:prstGeom prst="rect">
                            <a:avLst/>
                          </a:prstGeom>
                          <a:noFill/>
                          <a:ln>
                            <a:noFill/>
                          </a:ln>
                        </pic:spPr>
                      </pic:pic>
                    </a:graphicData>
                  </a:graphic>
                </wp:inline>
              </w:drawing>
            </w:r>
          </w:p>
        </w:tc>
      </w:tr>
      <w:tr w14:paraId="7F01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4" w:type="pct"/>
            <w:noWrap w:val="0"/>
            <w:vAlign w:val="center"/>
          </w:tcPr>
          <w:p w14:paraId="6DF32AAE">
            <w:pPr>
              <w:spacing w:line="400" w:lineRule="exact"/>
              <w:jc w:val="center"/>
              <w:rPr>
                <w:rFonts w:hint="default" w:ascii="宋体" w:hAnsi="宋体" w:eastAsia="宋体" w:cs="宋体"/>
                <w:color w:val="auto"/>
                <w:sz w:val="21"/>
                <w:szCs w:val="18"/>
                <w:lang w:val="en-US" w:eastAsia="zh-CN"/>
              </w:rPr>
            </w:pPr>
            <w:r>
              <w:rPr>
                <w:rFonts w:hint="eastAsia" w:ascii="宋体" w:hAnsi="宋体" w:eastAsia="宋体" w:cs="宋体"/>
                <w:color w:val="auto"/>
                <w:sz w:val="21"/>
                <w:szCs w:val="18"/>
                <w:lang w:val="en-US" w:eastAsia="zh-CN"/>
              </w:rPr>
              <w:t>6</w:t>
            </w:r>
          </w:p>
        </w:tc>
        <w:tc>
          <w:tcPr>
            <w:tcW w:w="376" w:type="pct"/>
            <w:noWrap w:val="0"/>
            <w:vAlign w:val="center"/>
          </w:tcPr>
          <w:p w14:paraId="26CEB7F4">
            <w:pPr>
              <w:spacing w:line="400" w:lineRule="exact"/>
              <w:jc w:val="center"/>
              <w:rPr>
                <w:rFonts w:hint="eastAsia" w:ascii="微软雅黑" w:hAnsi="微软雅黑" w:eastAsia="微软雅黑" w:cs="微软雅黑"/>
                <w:i w:val="0"/>
                <w:iCs w:val="0"/>
                <w:caps w:val="0"/>
                <w:color w:val="000000"/>
                <w:spacing w:val="0"/>
                <w:sz w:val="18"/>
                <w:szCs w:val="18"/>
                <w:lang w:eastAsia="zh-CN"/>
              </w:rPr>
            </w:pPr>
            <w:r>
              <w:rPr>
                <w:rFonts w:hint="eastAsia" w:ascii="微软雅黑" w:hAnsi="微软雅黑" w:eastAsia="微软雅黑" w:cs="微软雅黑"/>
                <w:i w:val="0"/>
                <w:iCs w:val="0"/>
                <w:caps w:val="0"/>
                <w:color w:val="000000"/>
                <w:spacing w:val="0"/>
                <w:sz w:val="18"/>
                <w:szCs w:val="18"/>
                <w:lang w:eastAsia="zh-CN"/>
              </w:rPr>
              <w:t>边柜</w:t>
            </w:r>
          </w:p>
        </w:tc>
        <w:tc>
          <w:tcPr>
            <w:tcW w:w="2156" w:type="pct"/>
            <w:noWrap w:val="0"/>
            <w:vAlign w:val="center"/>
          </w:tcPr>
          <w:p w14:paraId="2FA67003">
            <w:pPr>
              <w:bidi w:val="0"/>
              <w:rPr>
                <w:rFonts w:hint="eastAsia"/>
                <w:sz w:val="21"/>
                <w:szCs w:val="21"/>
                <w:lang w:val="en-US" w:eastAsia="zh-CN"/>
              </w:rPr>
            </w:pPr>
            <w:r>
              <w:rPr>
                <w:rFonts w:hint="eastAsia"/>
                <w:sz w:val="21"/>
                <w:szCs w:val="21"/>
                <w:lang w:val="en-US" w:eastAsia="zh-CN"/>
              </w:rPr>
              <w:t>1.规格：1200</w:t>
            </w:r>
            <w:r>
              <w:rPr>
                <w:sz w:val="21"/>
                <w:szCs w:val="21"/>
              </w:rPr>
              <w:t>*</w:t>
            </w:r>
            <w:r>
              <w:rPr>
                <w:rFonts w:hint="eastAsia"/>
                <w:sz w:val="21"/>
                <w:szCs w:val="21"/>
                <w:lang w:val="en-US" w:eastAsia="zh-CN"/>
              </w:rPr>
              <w:t>600</w:t>
            </w:r>
            <w:r>
              <w:rPr>
                <w:sz w:val="21"/>
                <w:szCs w:val="21"/>
              </w:rPr>
              <w:t>*</w:t>
            </w:r>
            <w:r>
              <w:rPr>
                <w:rFonts w:hint="eastAsia"/>
                <w:sz w:val="21"/>
                <w:szCs w:val="21"/>
                <w:lang w:val="en-US" w:eastAsia="zh-CN"/>
              </w:rPr>
              <w:t>800m</w:t>
            </w:r>
          </w:p>
          <w:p w14:paraId="22A36735">
            <w:pPr>
              <w:bidi w:val="0"/>
              <w:rPr>
                <w:sz w:val="21"/>
                <w:szCs w:val="21"/>
              </w:rPr>
            </w:pPr>
            <w:r>
              <w:rPr>
                <w:rFonts w:hint="eastAsia"/>
                <w:sz w:val="21"/>
                <w:szCs w:val="21"/>
              </w:rPr>
              <w:t>2.</w:t>
            </w:r>
            <w:r>
              <w:rPr>
                <w:rFonts w:hint="eastAsia"/>
                <w:sz w:val="21"/>
                <w:szCs w:val="21"/>
                <w:lang w:eastAsia="zh-CN"/>
              </w:rPr>
              <w:t>桌面采用</w:t>
            </w:r>
            <w:r>
              <w:rPr>
                <w:rFonts w:hint="eastAsia"/>
                <w:sz w:val="21"/>
                <w:szCs w:val="21"/>
                <w:lang w:val="en-US" w:eastAsia="zh-CN"/>
              </w:rPr>
              <w:t>15mm厚大理石板，其他板材</w:t>
            </w:r>
            <w:r>
              <w:rPr>
                <w:rFonts w:hint="eastAsia"/>
                <w:sz w:val="21"/>
                <w:szCs w:val="21"/>
              </w:rPr>
              <w:t>采用</w:t>
            </w:r>
            <w:r>
              <w:rPr>
                <w:rFonts w:hint="eastAsia"/>
                <w:sz w:val="21"/>
                <w:szCs w:val="21"/>
                <w:lang w:val="en-US" w:eastAsia="zh-CN"/>
              </w:rPr>
              <w:t>18mm厚</w:t>
            </w:r>
            <w:r>
              <w:rPr>
                <w:rFonts w:hint="eastAsia"/>
                <w:sz w:val="21"/>
                <w:szCs w:val="21"/>
              </w:rPr>
              <w:t>多层实木板，多层实木板符合GB/T 34722-2017、GB 18580-2017、GB/T39600-2021、JC/T2039-2010、QB/T4371-2012标准，含水率8%~(产品所在地区年平均木材平衡含水率+1%)、甲醛释放量1m³气候箱法≤0.02mg/m³限量标识E0级、表面耐冷热循环、表面耐划痕、对大肠杆菌、金黄色葡萄球菌、黑曲霉、黄曲霉、腊叶芽枝霉、宛氏拟青霉、桔青霉、绿色木霉、出芽短梗霉等级符合国家标准。</w:t>
            </w:r>
            <w:r>
              <w:rPr>
                <w:rFonts w:hint="eastAsia" w:ascii="宋体" w:hAnsi="宋体" w:eastAsia="宋体" w:cs="宋体"/>
                <w:b/>
                <w:bCs/>
                <w:kern w:val="0"/>
                <w:sz w:val="21"/>
                <w:szCs w:val="18"/>
              </w:rPr>
              <w:t>（报价时须提供多层实木板首页具有CMA标识的第三方检测报告并加盖报价人公章，检测内容须满足以上参数，报价时未提供检测报告或提供的检测报告不符合要求的报价无效，提供虚假检测报告的按政府采购相关法规处理）</w:t>
            </w:r>
          </w:p>
          <w:p w14:paraId="7EEA1BA0">
            <w:pPr>
              <w:bidi w:val="0"/>
              <w:rPr>
                <w:sz w:val="21"/>
                <w:szCs w:val="21"/>
              </w:rPr>
            </w:pPr>
            <w:r>
              <w:rPr>
                <w:rFonts w:hint="eastAsia"/>
                <w:sz w:val="21"/>
                <w:szCs w:val="21"/>
              </w:rPr>
              <w:t>3.多层板使用木工胶：符合 HG/T 2727-2010《聚乙酸乙烯酯乳液木材胶粘剂》、GB 18583-2008《室内装饰装修材料 胶粘剂中有害物质限量》标准。检测范围包括：游离甲醛、苯、甲苯+二苯结果为未检出、总挥发性有机物都需符合国家标准。</w:t>
            </w:r>
            <w:r>
              <w:rPr>
                <w:rFonts w:hint="eastAsia" w:ascii="宋体" w:hAnsi="宋体" w:eastAsia="宋体" w:cs="宋体"/>
                <w:b/>
                <w:bCs/>
                <w:kern w:val="0"/>
                <w:sz w:val="21"/>
                <w:szCs w:val="18"/>
              </w:rPr>
              <w:t>（报价时须提供</w:t>
            </w:r>
            <w:r>
              <w:rPr>
                <w:rFonts w:hint="eastAsia" w:ascii="宋体" w:hAnsi="宋体" w:eastAsia="宋体" w:cs="宋体"/>
                <w:b/>
                <w:bCs/>
                <w:sz w:val="21"/>
                <w:szCs w:val="18"/>
              </w:rPr>
              <w:t>木工胶</w:t>
            </w:r>
            <w:r>
              <w:rPr>
                <w:rFonts w:hint="eastAsia" w:ascii="宋体" w:hAnsi="宋体" w:eastAsia="宋体" w:cs="宋体"/>
                <w:b/>
                <w:bCs/>
                <w:kern w:val="0"/>
                <w:sz w:val="21"/>
                <w:szCs w:val="18"/>
              </w:rPr>
              <w:t>首页具有CMA标识的第三方检测报告并加盖报价人公章，检测内容须满足以上参数，报价时未提供检测报告或提供的检测报告不符合要求的报价无效，提供虚假检测报告的按政府采购相关法规处理）</w:t>
            </w:r>
          </w:p>
          <w:p w14:paraId="00CB3F37">
            <w:pPr>
              <w:bidi w:val="0"/>
              <w:rPr>
                <w:sz w:val="21"/>
                <w:szCs w:val="21"/>
              </w:rPr>
            </w:pPr>
            <w:r>
              <w:rPr>
                <w:rFonts w:hint="eastAsia"/>
                <w:sz w:val="21"/>
                <w:szCs w:val="21"/>
              </w:rPr>
              <w:t>4.封边条要求：符合QB/T 4463-2013《家具用封边条技术要求》标准，甲醛释放量≤0.05mg/L；耐磨性：磨30r后应无露底现象；耐光色牢度≥4级；耐老化性：300h后，应无开裂；耐冷热循环:无龟裂、无鼓泡、无变色、无起皱；可迁移元素(可溶性重金属)：铅、镉、铬、汞、锑、钡、硒、砷均未检出；多溴联苯未检出；多溴联苯醚未检出。</w:t>
            </w:r>
          </w:p>
          <w:p w14:paraId="51D160F0">
            <w:pPr>
              <w:bidi w:val="0"/>
              <w:rPr>
                <w:rFonts w:hint="default"/>
                <w:sz w:val="21"/>
                <w:szCs w:val="21"/>
                <w:lang w:val="en-US" w:eastAsia="zh-CN"/>
              </w:rPr>
            </w:pPr>
            <w:r>
              <w:rPr>
                <w:rFonts w:hint="eastAsia"/>
                <w:sz w:val="21"/>
                <w:szCs w:val="21"/>
              </w:rPr>
              <w:t>5.</w:t>
            </w:r>
            <w:r>
              <w:rPr>
                <w:rFonts w:hint="eastAsia"/>
                <w:sz w:val="21"/>
                <w:szCs w:val="21"/>
                <w:lang w:eastAsia="zh-CN"/>
              </w:rPr>
              <w:t>配件</w:t>
            </w:r>
            <w:r>
              <w:rPr>
                <w:rFonts w:hint="eastAsia"/>
                <w:sz w:val="21"/>
                <w:szCs w:val="21"/>
              </w:rPr>
              <w:t>采用三合一连接件：①外观要求（金属件表面应无锈蚀、毛刺刃口、露底、应光滑平整、应无起泡、泛黄、花斑、烧焦、裂纹、划痕、磕碰伤等缺陷；塑料部位表面应光滑，不应有裂纹、划伤、沙粒、疙瘩、麻点等缺陷，色泽一致）、②主要尺寸与角度（锁紧角度：三合一偏心连接件的偏心体与连接螺杆锁紧角度应在150°～190°范围内）、③涂层金属无素≤0.1%、④耐腐蚀：180小时或以上的耐腐蚀试验，试验后根据（QB/T 3832-1999《轻工产品金属镀层腐蚀试验结果的评价》）对试验结果进行评级，达到10级的标准。</w:t>
            </w:r>
            <w:r>
              <w:rPr>
                <w:b/>
                <w:bCs/>
                <w:sz w:val="21"/>
                <w:szCs w:val="21"/>
              </w:rPr>
              <w:t>（</w:t>
            </w:r>
            <w:r>
              <w:rPr>
                <w:rFonts w:hint="eastAsia"/>
                <w:b/>
                <w:bCs/>
                <w:sz w:val="21"/>
                <w:szCs w:val="21"/>
              </w:rPr>
              <w:t>报价时提供三合一连接件</w:t>
            </w:r>
            <w:r>
              <w:rPr>
                <w:rFonts w:hint="eastAsia"/>
                <w:b/>
                <w:bCs/>
                <w:sz w:val="21"/>
                <w:szCs w:val="21"/>
                <w:lang w:eastAsia="zh-CN"/>
              </w:rPr>
              <w:t>具有</w:t>
            </w:r>
            <w:r>
              <w:rPr>
                <w:rFonts w:hint="eastAsia"/>
                <w:b/>
                <w:bCs/>
                <w:sz w:val="21"/>
                <w:szCs w:val="21"/>
              </w:rPr>
              <w:t>CMA标识的国家认可的第三方检测机构出具的检测报告复印件并加盖公章，检测内容需满足以上参数，使用方有权查验检测报告的真实性，末提供及不符合要求的报价无效，提供虚假的按政府采购法处理</w:t>
            </w:r>
            <w:r>
              <w:rPr>
                <w:b/>
                <w:bCs/>
                <w:sz w:val="21"/>
                <w:szCs w:val="21"/>
              </w:rPr>
              <w:t>）</w:t>
            </w:r>
          </w:p>
        </w:tc>
        <w:tc>
          <w:tcPr>
            <w:tcW w:w="337" w:type="pct"/>
            <w:shd w:val="clear" w:color="auto" w:fill="auto"/>
            <w:noWrap w:val="0"/>
            <w:vAlign w:val="center"/>
          </w:tcPr>
          <w:p w14:paraId="486375CF">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18</w:t>
            </w:r>
          </w:p>
        </w:tc>
        <w:tc>
          <w:tcPr>
            <w:tcW w:w="259" w:type="pct"/>
            <w:shd w:val="clear" w:color="auto" w:fill="auto"/>
            <w:noWrap w:val="0"/>
            <w:vAlign w:val="center"/>
          </w:tcPr>
          <w:p w14:paraId="4031B835">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组</w:t>
            </w:r>
          </w:p>
        </w:tc>
        <w:tc>
          <w:tcPr>
            <w:tcW w:w="416" w:type="pct"/>
            <w:shd w:val="clear" w:color="auto" w:fill="auto"/>
            <w:noWrap w:val="0"/>
            <w:vAlign w:val="center"/>
          </w:tcPr>
          <w:p w14:paraId="376A8437">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1200</w:t>
            </w:r>
          </w:p>
        </w:tc>
        <w:tc>
          <w:tcPr>
            <w:tcW w:w="403" w:type="pct"/>
            <w:shd w:val="clear" w:color="auto" w:fill="auto"/>
            <w:noWrap w:val="0"/>
            <w:vAlign w:val="center"/>
          </w:tcPr>
          <w:p w14:paraId="4DDC9406">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21600</w:t>
            </w:r>
          </w:p>
        </w:tc>
        <w:tc>
          <w:tcPr>
            <w:tcW w:w="825" w:type="pct"/>
            <w:noWrap w:val="0"/>
            <w:vAlign w:val="center"/>
          </w:tcPr>
          <w:p w14:paraId="023BBA01">
            <w:pPr>
              <w:bidi w:val="0"/>
              <w:jc w:val="center"/>
              <w:rPr>
                <w:rFonts w:hint="default"/>
                <w:sz w:val="21"/>
                <w:szCs w:val="21"/>
                <w:lang w:val="en-US" w:eastAsia="zh-CN"/>
              </w:rPr>
            </w:pPr>
            <w:r>
              <w:rPr>
                <w:rFonts w:hint="default"/>
                <w:sz w:val="21"/>
                <w:szCs w:val="21"/>
                <w:lang w:val="en-US" w:eastAsia="zh-CN"/>
              </w:rPr>
              <w:drawing>
                <wp:inline distT="0" distB="0" distL="114300" distR="114300">
                  <wp:extent cx="1042670" cy="579755"/>
                  <wp:effectExtent l="0" t="0" r="5080" b="10795"/>
                  <wp:docPr id="9" name="图片 9" descr="5f165e111d0533d571058e64fb37f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f165e111d0533d571058e64fb37f28"/>
                          <pic:cNvPicPr>
                            <a:picLocks noChangeAspect="1"/>
                          </pic:cNvPicPr>
                        </pic:nvPicPr>
                        <pic:blipFill>
                          <a:blip r:embed="rId10"/>
                          <a:stretch>
                            <a:fillRect/>
                          </a:stretch>
                        </pic:blipFill>
                        <pic:spPr>
                          <a:xfrm>
                            <a:off x="0" y="0"/>
                            <a:ext cx="1042670" cy="579755"/>
                          </a:xfrm>
                          <a:prstGeom prst="rect">
                            <a:avLst/>
                          </a:prstGeom>
                        </pic:spPr>
                      </pic:pic>
                    </a:graphicData>
                  </a:graphic>
                </wp:inline>
              </w:drawing>
            </w:r>
          </w:p>
        </w:tc>
      </w:tr>
      <w:tr w14:paraId="0C15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4" w:type="pct"/>
            <w:noWrap w:val="0"/>
            <w:vAlign w:val="center"/>
          </w:tcPr>
          <w:p w14:paraId="0670A8E4">
            <w:pPr>
              <w:spacing w:line="400" w:lineRule="exact"/>
              <w:jc w:val="center"/>
              <w:rPr>
                <w:rFonts w:hint="default" w:ascii="宋体" w:hAnsi="宋体" w:eastAsia="宋体" w:cs="宋体"/>
                <w:color w:val="auto"/>
                <w:sz w:val="21"/>
                <w:szCs w:val="18"/>
                <w:lang w:val="en-US" w:eastAsia="zh-CN"/>
              </w:rPr>
            </w:pPr>
            <w:r>
              <w:rPr>
                <w:rFonts w:hint="eastAsia" w:ascii="宋体" w:hAnsi="宋体" w:eastAsia="宋体" w:cs="宋体"/>
                <w:color w:val="auto"/>
                <w:sz w:val="21"/>
                <w:szCs w:val="18"/>
                <w:lang w:val="en-US" w:eastAsia="zh-CN"/>
              </w:rPr>
              <w:t>7</w:t>
            </w:r>
          </w:p>
        </w:tc>
        <w:tc>
          <w:tcPr>
            <w:tcW w:w="376" w:type="pct"/>
            <w:noWrap w:val="0"/>
            <w:vAlign w:val="center"/>
          </w:tcPr>
          <w:p w14:paraId="6C141D3D">
            <w:pPr>
              <w:spacing w:line="400" w:lineRule="exact"/>
              <w:jc w:val="center"/>
              <w:rPr>
                <w:rFonts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显微镜柜</w:t>
            </w:r>
          </w:p>
        </w:tc>
        <w:tc>
          <w:tcPr>
            <w:tcW w:w="2156" w:type="pct"/>
            <w:noWrap w:val="0"/>
            <w:vAlign w:val="center"/>
          </w:tcPr>
          <w:p w14:paraId="5EB335B8">
            <w:pPr>
              <w:jc w:val="left"/>
              <w:rPr>
                <w:rFonts w:hint="eastAsia"/>
                <w:sz w:val="21"/>
                <w:szCs w:val="21"/>
                <w:lang w:val="en-US" w:eastAsia="zh-CN"/>
              </w:rPr>
            </w:pPr>
            <w:r>
              <w:rPr>
                <w:rFonts w:hint="eastAsia"/>
                <w:sz w:val="21"/>
                <w:szCs w:val="21"/>
                <w:lang w:val="en-US" w:eastAsia="zh-CN"/>
              </w:rPr>
              <w:t>1、规格：875*450*1655mm</w:t>
            </w:r>
          </w:p>
          <w:p w14:paraId="5B25E3C3">
            <w:pPr>
              <w:jc w:val="left"/>
              <w:rPr>
                <w:rFonts w:hint="eastAsia"/>
                <w:sz w:val="21"/>
                <w:szCs w:val="21"/>
                <w:lang w:val="en-US" w:eastAsia="zh-CN"/>
              </w:rPr>
            </w:pPr>
            <w:r>
              <w:rPr>
                <w:rFonts w:hint="eastAsia"/>
                <w:sz w:val="21"/>
                <w:szCs w:val="21"/>
                <w:lang w:val="en-US" w:eastAsia="zh-CN"/>
              </w:rPr>
              <w:t>2、侧板、层板、底框板、背板均采用≥0.6mm 厚冷轧钢板经剪切、焊接、打磨、焊接冲压成型，表面采用亚光静电喷塑工艺，柜体表面经预脱脂-水洗-酸洗-水洗-中和-表调-磷化-水洗-钝化十工位表面前处理工序；拉手采用铝合金拉手。</w:t>
            </w:r>
            <w:r>
              <w:rPr>
                <w:rFonts w:hint="eastAsia"/>
                <w:sz w:val="21"/>
                <w:szCs w:val="21"/>
                <w:lang w:val="en-US" w:eastAsia="zh-CN"/>
              </w:rPr>
              <w:br w:type="textWrapping"/>
            </w:r>
            <w:r>
              <w:rPr>
                <w:rFonts w:hint="eastAsia"/>
                <w:sz w:val="21"/>
                <w:szCs w:val="21"/>
                <w:lang w:val="en-US" w:eastAsia="zh-CN"/>
              </w:rPr>
              <w:t>3、</w:t>
            </w:r>
            <w:r>
              <w:rPr>
                <w:rFonts w:hint="eastAsia"/>
                <w:sz w:val="21"/>
                <w:szCs w:val="21"/>
              </w:rPr>
              <w:t>塑粉要求：HG/T 2006-2022《热固性和热塑性粉末涂料》</w:t>
            </w:r>
            <w:r>
              <w:rPr>
                <w:rFonts w:hint="eastAsia"/>
                <w:sz w:val="21"/>
                <w:szCs w:val="21"/>
                <w:lang w:eastAsia="zh-CN"/>
              </w:rPr>
              <w:t>、</w:t>
            </w:r>
            <w:r>
              <w:rPr>
                <w:rFonts w:hint="eastAsia"/>
                <w:sz w:val="21"/>
                <w:szCs w:val="21"/>
              </w:rPr>
              <w:t>GB/T 35602-2017《绿色产品评价 涂料》</w:t>
            </w:r>
            <w:r>
              <w:rPr>
                <w:rFonts w:hint="eastAsia"/>
                <w:sz w:val="21"/>
                <w:szCs w:val="21"/>
                <w:lang w:eastAsia="zh-CN"/>
              </w:rPr>
              <w:t>、</w:t>
            </w:r>
            <w:r>
              <w:rPr>
                <w:rFonts w:hint="eastAsia"/>
                <w:sz w:val="21"/>
                <w:szCs w:val="21"/>
              </w:rPr>
              <w:t>GB/T 1740-2007《膜耐湿热测定法》</w:t>
            </w:r>
            <w:r>
              <w:rPr>
                <w:rFonts w:hint="eastAsia"/>
                <w:sz w:val="21"/>
                <w:szCs w:val="21"/>
                <w:lang w:eastAsia="zh-CN"/>
              </w:rPr>
              <w:t>等检测标准；耐湿热性</w:t>
            </w:r>
            <w:r>
              <w:rPr>
                <w:rFonts w:hint="eastAsia"/>
                <w:sz w:val="21"/>
                <w:szCs w:val="21"/>
                <w:lang w:val="en-US" w:eastAsia="zh-CN"/>
              </w:rPr>
              <w:t>100h、干附着力0级、铅笔硬度3H、耐酸性240h、耐碱性168h、重金属元素含量铅、镉、六价铬、汞、砷、钡、硒、锑、钴均为未检出。</w:t>
            </w:r>
            <w:r>
              <w:rPr>
                <w:rFonts w:hint="eastAsia"/>
                <w:sz w:val="21"/>
                <w:szCs w:val="21"/>
                <w:lang w:val="en-US" w:eastAsia="zh-CN"/>
              </w:rPr>
              <w:br w:type="textWrapping"/>
            </w:r>
            <w:r>
              <w:rPr>
                <w:rFonts w:hint="eastAsia"/>
                <w:sz w:val="21"/>
                <w:szCs w:val="21"/>
                <w:lang w:val="en-US" w:eastAsia="zh-CN"/>
              </w:rPr>
              <w:t>4、钢制柜侧板、层板、底框板、背板要求：符合GB/T 1740-2007《漆膜耐湿热测定法》、GB/T 3325-2017《金属家具通用技术条件》；耐湿热≥300h，理化性能要求耐腐蚀≥300h。</w:t>
            </w:r>
          </w:p>
        </w:tc>
        <w:tc>
          <w:tcPr>
            <w:tcW w:w="337" w:type="pct"/>
            <w:shd w:val="clear" w:color="auto" w:fill="auto"/>
            <w:noWrap w:val="0"/>
            <w:vAlign w:val="center"/>
          </w:tcPr>
          <w:p w14:paraId="252582D3">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15</w:t>
            </w:r>
          </w:p>
        </w:tc>
        <w:tc>
          <w:tcPr>
            <w:tcW w:w="259" w:type="pct"/>
            <w:shd w:val="clear" w:color="auto" w:fill="auto"/>
            <w:noWrap w:val="0"/>
            <w:vAlign w:val="center"/>
          </w:tcPr>
          <w:p w14:paraId="41141C15">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组</w:t>
            </w:r>
          </w:p>
        </w:tc>
        <w:tc>
          <w:tcPr>
            <w:tcW w:w="416" w:type="pct"/>
            <w:shd w:val="clear" w:color="auto" w:fill="auto"/>
            <w:noWrap w:val="0"/>
            <w:vAlign w:val="center"/>
          </w:tcPr>
          <w:p w14:paraId="72999AEB">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940</w:t>
            </w:r>
          </w:p>
        </w:tc>
        <w:tc>
          <w:tcPr>
            <w:tcW w:w="403" w:type="pct"/>
            <w:shd w:val="clear" w:color="auto" w:fill="auto"/>
            <w:noWrap w:val="0"/>
            <w:vAlign w:val="center"/>
          </w:tcPr>
          <w:p w14:paraId="52A01DF4">
            <w:pPr>
              <w:keepNext w:val="0"/>
              <w:keepLines w:val="0"/>
              <w:widowControl/>
              <w:suppressLineNumbers w:val="0"/>
              <w:jc w:val="center"/>
              <w:textAlignment w:val="center"/>
              <w:rPr>
                <w:rFonts w:hint="default" w:cs="华文中宋" w:asciiTheme="minorHAnsi" w:hAnsiTheme="minorHAnsi" w:eastAsiaTheme="minorEastAsia"/>
                <w:kern w:val="2"/>
                <w:sz w:val="21"/>
                <w:szCs w:val="21"/>
                <w:lang w:val="en-US" w:eastAsia="zh-CN" w:bidi="ar-SA"/>
              </w:rPr>
            </w:pPr>
            <w:r>
              <w:rPr>
                <w:rFonts w:hint="default" w:ascii="Calibri" w:hAnsi="Calibri" w:eastAsia="宋体" w:cs="Calibri"/>
                <w:i w:val="0"/>
                <w:iCs w:val="0"/>
                <w:color w:val="000000"/>
                <w:kern w:val="0"/>
                <w:sz w:val="21"/>
                <w:szCs w:val="21"/>
                <w:u w:val="none"/>
                <w:lang w:val="en-US" w:eastAsia="zh-CN" w:bidi="ar"/>
              </w:rPr>
              <w:t>14100</w:t>
            </w:r>
          </w:p>
        </w:tc>
        <w:tc>
          <w:tcPr>
            <w:tcW w:w="825" w:type="pct"/>
            <w:noWrap w:val="0"/>
            <w:vAlign w:val="center"/>
          </w:tcPr>
          <w:p w14:paraId="00C3806B">
            <w:pPr>
              <w:bidi w:val="0"/>
              <w:jc w:val="center"/>
              <w:rPr>
                <w:rFonts w:hint="default"/>
                <w:sz w:val="21"/>
                <w:szCs w:val="21"/>
                <w:lang w:val="en-US" w:eastAsia="zh-CN"/>
              </w:rPr>
            </w:pPr>
            <w:r>
              <w:rPr>
                <w:rFonts w:hint="default"/>
                <w:sz w:val="21"/>
                <w:szCs w:val="21"/>
                <w:lang w:val="en-US" w:eastAsia="zh-CN"/>
              </w:rPr>
              <w:drawing>
                <wp:inline distT="0" distB="0" distL="114300" distR="114300">
                  <wp:extent cx="607695" cy="614680"/>
                  <wp:effectExtent l="0" t="0" r="1905" b="13970"/>
                  <wp:docPr id="10" name="图片 10" descr="6e5342e2dcf4dde9100c3104648b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e5342e2dcf4dde9100c3104648b7a0"/>
                          <pic:cNvPicPr>
                            <a:picLocks noChangeAspect="1"/>
                          </pic:cNvPicPr>
                        </pic:nvPicPr>
                        <pic:blipFill>
                          <a:blip r:embed="rId11"/>
                          <a:stretch>
                            <a:fillRect/>
                          </a:stretch>
                        </pic:blipFill>
                        <pic:spPr>
                          <a:xfrm>
                            <a:off x="0" y="0"/>
                            <a:ext cx="607695" cy="614680"/>
                          </a:xfrm>
                          <a:prstGeom prst="rect">
                            <a:avLst/>
                          </a:prstGeom>
                        </pic:spPr>
                      </pic:pic>
                    </a:graphicData>
                  </a:graphic>
                </wp:inline>
              </w:drawing>
            </w:r>
          </w:p>
        </w:tc>
      </w:tr>
      <w:tr w14:paraId="73CB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4" w:type="pct"/>
            <w:noWrap w:val="0"/>
            <w:vAlign w:val="center"/>
          </w:tcPr>
          <w:p w14:paraId="22A58DBF">
            <w:pPr>
              <w:spacing w:line="400" w:lineRule="exact"/>
              <w:jc w:val="center"/>
              <w:rPr>
                <w:rFonts w:hint="eastAsia" w:ascii="宋体" w:hAnsi="宋体" w:eastAsia="宋体" w:cs="宋体"/>
                <w:color w:val="auto"/>
                <w:sz w:val="21"/>
                <w:szCs w:val="18"/>
                <w:lang w:val="en-US" w:eastAsia="zh-CN"/>
              </w:rPr>
            </w:pPr>
          </w:p>
        </w:tc>
        <w:tc>
          <w:tcPr>
            <w:tcW w:w="376" w:type="pct"/>
            <w:noWrap w:val="0"/>
            <w:vAlign w:val="center"/>
          </w:tcPr>
          <w:p w14:paraId="35A9D5A4">
            <w:pPr>
              <w:spacing w:line="400" w:lineRule="exact"/>
              <w:jc w:val="center"/>
              <w:rPr>
                <w:rFonts w:hint="eastAsia" w:ascii="微软雅黑" w:hAnsi="微软雅黑" w:eastAsia="微软雅黑" w:cs="微软雅黑"/>
                <w:i w:val="0"/>
                <w:iCs w:val="0"/>
                <w:caps w:val="0"/>
                <w:color w:val="000000"/>
                <w:spacing w:val="0"/>
                <w:sz w:val="18"/>
                <w:szCs w:val="18"/>
              </w:rPr>
            </w:pPr>
          </w:p>
        </w:tc>
        <w:tc>
          <w:tcPr>
            <w:tcW w:w="2156" w:type="pct"/>
            <w:noWrap w:val="0"/>
            <w:vAlign w:val="center"/>
          </w:tcPr>
          <w:p w14:paraId="1EE1802E">
            <w:pPr>
              <w:jc w:val="left"/>
              <w:rPr>
                <w:rFonts w:hint="eastAsia" w:ascii="宋体" w:hAnsi="宋体" w:eastAsia="宋体" w:cs="宋体"/>
                <w:sz w:val="21"/>
                <w:szCs w:val="18"/>
              </w:rPr>
            </w:pPr>
          </w:p>
        </w:tc>
        <w:tc>
          <w:tcPr>
            <w:tcW w:w="337" w:type="pct"/>
            <w:noWrap w:val="0"/>
            <w:vAlign w:val="center"/>
          </w:tcPr>
          <w:p w14:paraId="4AF2C6A8">
            <w:pPr>
              <w:bidi w:val="0"/>
              <w:jc w:val="center"/>
              <w:rPr>
                <w:rFonts w:hint="eastAsia"/>
                <w:sz w:val="21"/>
                <w:szCs w:val="21"/>
                <w:lang w:val="en-US" w:eastAsia="zh-CN"/>
              </w:rPr>
            </w:pPr>
          </w:p>
        </w:tc>
        <w:tc>
          <w:tcPr>
            <w:tcW w:w="259" w:type="pct"/>
            <w:noWrap w:val="0"/>
            <w:vAlign w:val="center"/>
          </w:tcPr>
          <w:p w14:paraId="446E1ED8">
            <w:pPr>
              <w:bidi w:val="0"/>
              <w:jc w:val="center"/>
              <w:rPr>
                <w:rFonts w:hint="eastAsia"/>
                <w:sz w:val="21"/>
                <w:szCs w:val="21"/>
                <w:lang w:val="en-US" w:eastAsia="zh-CN"/>
              </w:rPr>
            </w:pPr>
          </w:p>
        </w:tc>
        <w:tc>
          <w:tcPr>
            <w:tcW w:w="416" w:type="pct"/>
            <w:noWrap w:val="0"/>
            <w:vAlign w:val="center"/>
          </w:tcPr>
          <w:p w14:paraId="730E0374">
            <w:pPr>
              <w:bidi w:val="0"/>
              <w:jc w:val="center"/>
              <w:rPr>
                <w:rFonts w:hint="default"/>
                <w:sz w:val="21"/>
                <w:szCs w:val="21"/>
                <w:lang w:val="en-US" w:eastAsia="zh-CN"/>
              </w:rPr>
            </w:pPr>
            <w:r>
              <w:rPr>
                <w:rFonts w:hint="eastAsia"/>
                <w:sz w:val="21"/>
                <w:szCs w:val="21"/>
                <w:lang w:val="en-US" w:eastAsia="zh-CN"/>
              </w:rPr>
              <w:t>合计</w:t>
            </w:r>
          </w:p>
        </w:tc>
        <w:tc>
          <w:tcPr>
            <w:tcW w:w="403" w:type="pct"/>
            <w:noWrap w:val="0"/>
            <w:vAlign w:val="center"/>
          </w:tcPr>
          <w:p w14:paraId="2BD2D8F2">
            <w:pPr>
              <w:bidi w:val="0"/>
              <w:jc w:val="center"/>
              <w:rPr>
                <w:rFonts w:hint="default"/>
                <w:sz w:val="21"/>
                <w:szCs w:val="21"/>
                <w:lang w:val="en-US" w:eastAsia="zh-CN"/>
              </w:rPr>
            </w:pPr>
            <w:r>
              <w:rPr>
                <w:rFonts w:hint="eastAsia"/>
                <w:sz w:val="21"/>
                <w:szCs w:val="21"/>
                <w:lang w:val="en-US" w:eastAsia="zh-CN"/>
              </w:rPr>
              <w:t>349450</w:t>
            </w:r>
          </w:p>
        </w:tc>
        <w:tc>
          <w:tcPr>
            <w:tcW w:w="825" w:type="pct"/>
            <w:noWrap w:val="0"/>
            <w:vAlign w:val="center"/>
          </w:tcPr>
          <w:p w14:paraId="78C422B5">
            <w:pPr>
              <w:bidi w:val="0"/>
              <w:jc w:val="center"/>
              <w:rPr>
                <w:rFonts w:hint="default"/>
                <w:sz w:val="21"/>
                <w:szCs w:val="21"/>
                <w:lang w:val="en-US" w:eastAsia="zh-CN"/>
              </w:rPr>
            </w:pPr>
          </w:p>
        </w:tc>
      </w:tr>
      <w:tr w14:paraId="018B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00" w:type="pct"/>
            <w:gridSpan w:val="2"/>
            <w:shd w:val="clear" w:color="auto" w:fill="auto"/>
            <w:noWrap w:val="0"/>
            <w:vAlign w:val="center"/>
          </w:tcPr>
          <w:p w14:paraId="60C8EE99">
            <w:pPr>
              <w:jc w:val="center"/>
              <w:rPr>
                <w:rFonts w:hint="eastAsia" w:ascii="Calibri" w:hAnsi="Calibri" w:eastAsia="宋体" w:cs="Times New Roman"/>
                <w:b w:val="0"/>
                <w:bCs w:val="0"/>
                <w:color w:val="auto"/>
                <w:kern w:val="2"/>
                <w:sz w:val="15"/>
                <w:szCs w:val="21"/>
                <w:lang w:val="en-US" w:eastAsia="zh-CN" w:bidi="ar-SA"/>
              </w:rPr>
            </w:pPr>
            <w:r>
              <w:rPr>
                <w:rFonts w:hint="eastAsia" w:ascii="宋体" w:hAnsi="宋体" w:eastAsia="宋体" w:cs="宋体"/>
                <w:b w:val="0"/>
                <w:bCs w:val="0"/>
                <w:color w:val="auto"/>
                <w:sz w:val="21"/>
                <w:szCs w:val="21"/>
              </w:rPr>
              <w:t>★</w:t>
            </w:r>
            <w:r>
              <w:rPr>
                <w:rFonts w:hint="eastAsia"/>
                <w:b w:val="0"/>
                <w:bCs w:val="0"/>
                <w:color w:val="auto"/>
                <w:sz w:val="21"/>
                <w:szCs w:val="21"/>
              </w:rPr>
              <w:t>售后服务要求及免费保修期</w:t>
            </w:r>
          </w:p>
        </w:tc>
        <w:tc>
          <w:tcPr>
            <w:tcW w:w="4399" w:type="pct"/>
            <w:gridSpan w:val="6"/>
            <w:shd w:val="clear" w:color="auto" w:fill="auto"/>
            <w:noWrap w:val="0"/>
            <w:vAlign w:val="center"/>
          </w:tcPr>
          <w:p w14:paraId="4B753367">
            <w:pPr>
              <w:jc w:val="left"/>
              <w:rPr>
                <w:b w:val="0"/>
                <w:bCs w:val="0"/>
                <w:color w:val="auto"/>
                <w:sz w:val="21"/>
                <w:szCs w:val="21"/>
              </w:rPr>
            </w:pPr>
            <w:r>
              <w:rPr>
                <w:rFonts w:hint="eastAsia"/>
                <w:b w:val="0"/>
                <w:bCs w:val="0"/>
                <w:color w:val="auto"/>
                <w:sz w:val="21"/>
                <w:szCs w:val="21"/>
              </w:rPr>
              <w:t>1、按国家有关产品“三包”规定执行“三包”，免费送货到采购人指定地点，免费安装调试。免费保修期</w:t>
            </w:r>
            <w:r>
              <w:rPr>
                <w:rFonts w:hint="eastAsia"/>
                <w:b w:val="0"/>
                <w:bCs w:val="0"/>
                <w:color w:val="auto"/>
                <w:sz w:val="21"/>
                <w:szCs w:val="21"/>
                <w:lang w:val="en-US" w:eastAsia="zh-CN"/>
              </w:rPr>
              <w:t>1</w:t>
            </w:r>
            <w:r>
              <w:rPr>
                <w:rFonts w:hint="eastAsia"/>
                <w:b w:val="0"/>
                <w:bCs w:val="0"/>
                <w:color w:val="auto"/>
                <w:sz w:val="21"/>
                <w:szCs w:val="21"/>
              </w:rPr>
              <w:t>年（免费保修期从所有货物验收合格之日起计算）。</w:t>
            </w:r>
          </w:p>
          <w:p w14:paraId="39DE40B6">
            <w:pPr>
              <w:jc w:val="left"/>
              <w:rPr>
                <w:rFonts w:hint="default" w:ascii="Calibri" w:hAnsi="Calibri" w:eastAsia="宋体" w:cs="Times New Roman"/>
                <w:b w:val="0"/>
                <w:bCs w:val="0"/>
                <w:color w:val="auto"/>
                <w:kern w:val="2"/>
                <w:sz w:val="15"/>
                <w:szCs w:val="21"/>
                <w:lang w:val="en-US" w:eastAsia="zh-CN" w:bidi="ar-SA"/>
              </w:rPr>
            </w:pPr>
            <w:r>
              <w:rPr>
                <w:rFonts w:hint="eastAsia"/>
                <w:b w:val="0"/>
                <w:bCs w:val="0"/>
                <w:color w:val="auto"/>
                <w:sz w:val="21"/>
                <w:szCs w:val="21"/>
              </w:rPr>
              <w:t>2、免费保修期内提供免费上门维修服务（含免费更换零部件、免人工费），并提供终身维修维护服务。如果需要更换配件的，所更换的配件应当为原供货产品品牌、类型相一致或者是同等档次的替代品，后者需征得用户方管理人员同意；若采购人发现产品存在制造上的缺陷，投标人应负责采取补救措施，若该缺陷导致产品存在安全隐患或不能使用的，投标人应负责免费更换整件产品。要求7*24小时提供服务，接到报修3小时内上门提供本地化服务（投标单位需在桂林市有售后服务站）。</w:t>
            </w:r>
          </w:p>
        </w:tc>
      </w:tr>
      <w:tr w14:paraId="5BFE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00" w:type="pct"/>
            <w:gridSpan w:val="2"/>
            <w:shd w:val="clear" w:color="auto" w:fill="auto"/>
            <w:vAlign w:val="center"/>
          </w:tcPr>
          <w:p w14:paraId="58DE9FDB">
            <w:pPr>
              <w:jc w:val="center"/>
              <w:rPr>
                <w:rFonts w:hint="eastAsia" w:ascii="Calibri" w:hAnsi="Calibri" w:eastAsia="宋体" w:cs="Times New Roman"/>
                <w:b w:val="0"/>
                <w:bCs w:val="0"/>
                <w:color w:val="auto"/>
                <w:kern w:val="2"/>
                <w:sz w:val="15"/>
                <w:szCs w:val="21"/>
                <w:lang w:val="en-US" w:eastAsia="zh-CN" w:bidi="ar-SA"/>
              </w:rPr>
            </w:pPr>
            <w:r>
              <w:rPr>
                <w:rFonts w:hint="eastAsia" w:ascii="宋体" w:hAnsi="宋体" w:eastAsia="宋体" w:cs="宋体"/>
                <w:b w:val="0"/>
                <w:bCs w:val="0"/>
                <w:color w:val="auto"/>
                <w:sz w:val="21"/>
                <w:szCs w:val="21"/>
              </w:rPr>
              <w:t>★</w:t>
            </w:r>
            <w:r>
              <w:rPr>
                <w:rFonts w:hint="eastAsia" w:asciiTheme="minorEastAsia" w:hAnsiTheme="minorEastAsia"/>
                <w:b w:val="0"/>
                <w:bCs w:val="0"/>
                <w:color w:val="auto"/>
                <w:sz w:val="21"/>
                <w:szCs w:val="21"/>
              </w:rPr>
              <w:t>签订合同及交付使用时间及地点</w:t>
            </w:r>
          </w:p>
        </w:tc>
        <w:tc>
          <w:tcPr>
            <w:tcW w:w="4399" w:type="pct"/>
            <w:gridSpan w:val="6"/>
            <w:shd w:val="clear" w:color="auto" w:fill="auto"/>
            <w:vAlign w:val="center"/>
          </w:tcPr>
          <w:p w14:paraId="2B0C2320">
            <w:pPr>
              <w:jc w:val="left"/>
              <w:rPr>
                <w:b w:val="0"/>
                <w:bCs w:val="0"/>
                <w:color w:val="auto"/>
                <w:sz w:val="21"/>
                <w:szCs w:val="21"/>
              </w:rPr>
            </w:pPr>
            <w:r>
              <w:rPr>
                <w:b w:val="0"/>
                <w:bCs w:val="0"/>
                <w:color w:val="auto"/>
                <w:sz w:val="21"/>
                <w:szCs w:val="21"/>
              </w:rPr>
              <w:t>1</w:t>
            </w:r>
            <w:r>
              <w:rPr>
                <w:rFonts w:hint="eastAsia"/>
                <w:b w:val="0"/>
                <w:bCs w:val="0"/>
                <w:color w:val="auto"/>
                <w:sz w:val="21"/>
                <w:szCs w:val="21"/>
              </w:rPr>
              <w:t>、本项目交货期为</w:t>
            </w:r>
            <w:r>
              <w:rPr>
                <w:rFonts w:hint="eastAsia"/>
                <w:b w:val="0"/>
                <w:bCs w:val="0"/>
                <w:color w:val="auto"/>
                <w:sz w:val="21"/>
                <w:szCs w:val="21"/>
                <w:lang w:val="en-US" w:eastAsia="zh-CN"/>
              </w:rPr>
              <w:t>15</w:t>
            </w:r>
            <w:r>
              <w:rPr>
                <w:rFonts w:hint="eastAsia"/>
                <w:b w:val="0"/>
                <w:bCs w:val="0"/>
                <w:color w:val="auto"/>
                <w:sz w:val="21"/>
                <w:szCs w:val="21"/>
              </w:rPr>
              <w:t>天。合同签订后</w:t>
            </w:r>
            <w:r>
              <w:rPr>
                <w:rFonts w:hint="eastAsia"/>
                <w:b w:val="0"/>
                <w:bCs w:val="0"/>
                <w:color w:val="auto"/>
                <w:sz w:val="21"/>
                <w:szCs w:val="21"/>
                <w:lang w:val="en-US" w:eastAsia="zh-CN"/>
              </w:rPr>
              <w:t>15</w:t>
            </w:r>
            <w:bookmarkStart w:id="0" w:name="_GoBack"/>
            <w:bookmarkEnd w:id="0"/>
            <w:r>
              <w:rPr>
                <w:rFonts w:hint="eastAsia"/>
                <w:b w:val="0"/>
                <w:bCs w:val="0"/>
                <w:color w:val="auto"/>
                <w:sz w:val="21"/>
                <w:szCs w:val="21"/>
              </w:rPr>
              <w:t>日内完成所有货物的交付。</w:t>
            </w:r>
          </w:p>
          <w:p w14:paraId="4776612E">
            <w:pPr>
              <w:jc w:val="left"/>
              <w:rPr>
                <w:b w:val="0"/>
                <w:bCs w:val="0"/>
                <w:color w:val="auto"/>
                <w:sz w:val="21"/>
                <w:szCs w:val="21"/>
              </w:rPr>
            </w:pPr>
            <w:r>
              <w:rPr>
                <w:rFonts w:hint="eastAsia"/>
                <w:b w:val="0"/>
                <w:bCs w:val="0"/>
                <w:color w:val="auto"/>
                <w:sz w:val="21"/>
                <w:szCs w:val="21"/>
              </w:rPr>
              <w:t>（1）中标方逾期交付货物的，应按逾期交付价值总额每日千分之五的标准向采购方支付违约金，由采购方从待付货款中直接扣除。</w:t>
            </w:r>
          </w:p>
          <w:p w14:paraId="0E8941DB">
            <w:pPr>
              <w:jc w:val="left"/>
              <w:rPr>
                <w:b w:val="0"/>
                <w:bCs w:val="0"/>
                <w:color w:val="auto"/>
                <w:sz w:val="21"/>
                <w:szCs w:val="21"/>
              </w:rPr>
            </w:pPr>
            <w:r>
              <w:rPr>
                <w:rFonts w:hint="eastAsia"/>
                <w:b w:val="0"/>
                <w:bCs w:val="0"/>
                <w:color w:val="auto"/>
                <w:sz w:val="21"/>
                <w:szCs w:val="21"/>
              </w:rPr>
              <w:t>（2）中标方逾期时间超过5个工作日仍不能交付的，视为不能履约，采购方可解除采购合同，并没收履约保证金。</w:t>
            </w:r>
          </w:p>
          <w:p w14:paraId="525DF464">
            <w:pPr>
              <w:jc w:val="left"/>
              <w:rPr>
                <w:rFonts w:hint="default" w:ascii="Calibri" w:hAnsi="Calibri" w:eastAsia="宋体" w:cs="Times New Roman"/>
                <w:b w:val="0"/>
                <w:bCs w:val="0"/>
                <w:color w:val="auto"/>
                <w:kern w:val="2"/>
                <w:sz w:val="15"/>
                <w:szCs w:val="21"/>
                <w:lang w:val="en-US" w:eastAsia="zh-CN" w:bidi="ar-SA"/>
              </w:rPr>
            </w:pPr>
            <w:r>
              <w:rPr>
                <w:rFonts w:hint="eastAsia"/>
                <w:b w:val="0"/>
                <w:bCs w:val="0"/>
                <w:color w:val="auto"/>
                <w:sz w:val="21"/>
                <w:szCs w:val="21"/>
              </w:rPr>
              <w:t>2、交付地点：采购人指定地点。</w:t>
            </w:r>
          </w:p>
        </w:tc>
      </w:tr>
      <w:tr w14:paraId="31D6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00" w:type="pct"/>
            <w:gridSpan w:val="2"/>
            <w:shd w:val="clear" w:color="auto" w:fill="auto"/>
            <w:vAlign w:val="center"/>
          </w:tcPr>
          <w:p w14:paraId="6B5573C4">
            <w:pPr>
              <w:jc w:val="center"/>
              <w:rPr>
                <w:rFonts w:hint="eastAsia" w:ascii="Calibri" w:hAnsi="Calibri" w:eastAsia="宋体" w:cs="Times New Roman"/>
                <w:b w:val="0"/>
                <w:bCs w:val="0"/>
                <w:color w:val="auto"/>
                <w:kern w:val="2"/>
                <w:sz w:val="15"/>
                <w:szCs w:val="21"/>
                <w:lang w:val="en-US" w:eastAsia="zh-CN" w:bidi="ar-SA"/>
              </w:rPr>
            </w:pPr>
            <w:r>
              <w:rPr>
                <w:rFonts w:hint="eastAsia" w:ascii="宋体" w:hAnsi="宋体" w:eastAsia="宋体" w:cs="宋体"/>
                <w:b w:val="0"/>
                <w:bCs w:val="0"/>
                <w:color w:val="auto"/>
                <w:sz w:val="21"/>
                <w:szCs w:val="21"/>
              </w:rPr>
              <w:t>★</w:t>
            </w:r>
            <w:r>
              <w:rPr>
                <w:rFonts w:hint="eastAsia"/>
                <w:b w:val="0"/>
                <w:bCs w:val="0"/>
                <w:color w:val="auto"/>
                <w:sz w:val="21"/>
                <w:szCs w:val="21"/>
              </w:rPr>
              <w:t>付款方式</w:t>
            </w:r>
          </w:p>
        </w:tc>
        <w:tc>
          <w:tcPr>
            <w:tcW w:w="4399" w:type="pct"/>
            <w:gridSpan w:val="6"/>
            <w:shd w:val="clear" w:color="auto" w:fill="auto"/>
            <w:vAlign w:val="center"/>
          </w:tcPr>
          <w:p w14:paraId="675D4544">
            <w:pPr>
              <w:spacing w:line="360" w:lineRule="exact"/>
              <w:jc w:val="left"/>
              <w:rPr>
                <w:rFonts w:hint="default" w:ascii="Calibri" w:hAnsi="Calibri" w:eastAsia="宋体" w:cs="Times New Roman"/>
                <w:b w:val="0"/>
                <w:bCs w:val="0"/>
                <w:color w:val="auto"/>
                <w:kern w:val="2"/>
                <w:sz w:val="15"/>
                <w:szCs w:val="21"/>
                <w:lang w:val="en-US" w:eastAsia="zh-CN" w:bidi="ar-SA"/>
              </w:rPr>
            </w:pPr>
            <w:r>
              <w:rPr>
                <w:rFonts w:hint="eastAsia"/>
                <w:b w:val="0"/>
                <w:bCs w:val="0"/>
                <w:color w:val="auto"/>
                <w:sz w:val="21"/>
                <w:szCs w:val="21"/>
              </w:rPr>
              <w:t>付款时间和方式：本项目的资金拨付根据项目资金的到帐情况及财政部门的付款流程、付款期限执行，采购人不承担延期付款的责任。专项资金到帐且项目验收合格后，成交供应商开具全额发票给采购人，采购人收到发票后付至合同价款的100%（无息）。</w:t>
            </w:r>
          </w:p>
        </w:tc>
      </w:tr>
      <w:tr w14:paraId="0E67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00" w:type="pct"/>
            <w:gridSpan w:val="2"/>
            <w:shd w:val="clear" w:color="auto" w:fill="auto"/>
            <w:vAlign w:val="center"/>
          </w:tcPr>
          <w:p w14:paraId="3B42C332">
            <w:pPr>
              <w:jc w:val="center"/>
              <w:rPr>
                <w:rFonts w:hint="eastAsia" w:ascii="Calibri" w:hAnsi="Calibri" w:eastAsia="宋体" w:cs="Times New Roman"/>
                <w:b w:val="0"/>
                <w:bCs w:val="0"/>
                <w:color w:val="auto"/>
                <w:kern w:val="2"/>
                <w:sz w:val="15"/>
                <w:szCs w:val="21"/>
                <w:lang w:val="en-US" w:eastAsia="zh-CN" w:bidi="ar-SA"/>
              </w:rPr>
            </w:pPr>
            <w:r>
              <w:rPr>
                <w:rFonts w:hint="eastAsia" w:ascii="宋体" w:hAnsi="宋体" w:eastAsia="宋体" w:cs="宋体"/>
                <w:b w:val="0"/>
                <w:bCs w:val="0"/>
                <w:color w:val="auto"/>
                <w:sz w:val="21"/>
                <w:szCs w:val="21"/>
              </w:rPr>
              <w:t>★</w:t>
            </w:r>
            <w:r>
              <w:rPr>
                <w:rFonts w:hint="eastAsia"/>
                <w:b w:val="0"/>
                <w:bCs w:val="0"/>
                <w:color w:val="auto"/>
                <w:sz w:val="21"/>
                <w:szCs w:val="21"/>
              </w:rPr>
              <w:t>其他要求</w:t>
            </w:r>
          </w:p>
        </w:tc>
        <w:tc>
          <w:tcPr>
            <w:tcW w:w="4399" w:type="pct"/>
            <w:gridSpan w:val="6"/>
            <w:shd w:val="clear" w:color="auto" w:fill="auto"/>
            <w:vAlign w:val="center"/>
          </w:tcPr>
          <w:p w14:paraId="4F62666C">
            <w:pPr>
              <w:jc w:val="left"/>
              <w:rPr>
                <w:b w:val="0"/>
                <w:bCs w:val="0"/>
                <w:color w:val="auto"/>
                <w:sz w:val="21"/>
                <w:szCs w:val="21"/>
              </w:rPr>
            </w:pPr>
            <w:r>
              <w:rPr>
                <w:b w:val="0"/>
                <w:bCs w:val="0"/>
                <w:color w:val="auto"/>
                <w:sz w:val="21"/>
                <w:szCs w:val="21"/>
              </w:rPr>
              <w:t>1</w:t>
            </w:r>
            <w:r>
              <w:rPr>
                <w:rFonts w:hint="eastAsia"/>
                <w:b w:val="0"/>
                <w:bCs w:val="0"/>
                <w:color w:val="auto"/>
                <w:sz w:val="21"/>
                <w:szCs w:val="21"/>
              </w:rPr>
              <w:t>、正品保障：中标方需提供所投品牌合法代理证，产品保持原厂包装不开封，不接受注册为其它单位的商品，验收时查询产品及原厂保修信息。</w:t>
            </w:r>
          </w:p>
          <w:p w14:paraId="6DA13D39">
            <w:pPr>
              <w:jc w:val="left"/>
              <w:rPr>
                <w:rFonts w:hint="default" w:ascii="Calibri" w:hAnsi="Calibri" w:eastAsia="宋体" w:cs="Times New Roman"/>
                <w:b w:val="0"/>
                <w:bCs w:val="0"/>
                <w:color w:val="auto"/>
                <w:kern w:val="2"/>
                <w:sz w:val="15"/>
                <w:szCs w:val="21"/>
                <w:lang w:val="en-US" w:eastAsia="zh-CN" w:bidi="ar-SA"/>
              </w:rPr>
            </w:pPr>
            <w:r>
              <w:rPr>
                <w:rFonts w:hint="eastAsia"/>
                <w:b w:val="0"/>
                <w:bCs w:val="0"/>
                <w:color w:val="auto"/>
                <w:sz w:val="21"/>
                <w:szCs w:val="21"/>
              </w:rPr>
              <w:t>2、签订合同时需提供主要技术参数及性能（配置）</w:t>
            </w:r>
            <w:r>
              <w:rPr>
                <w:rFonts w:hint="eastAsia"/>
                <w:b w:val="0"/>
                <w:bCs w:val="0"/>
                <w:color w:val="auto"/>
                <w:sz w:val="21"/>
                <w:szCs w:val="21"/>
                <w:lang w:eastAsia="zh-CN"/>
              </w:rPr>
              <w:t>中的</w:t>
            </w:r>
            <w:r>
              <w:rPr>
                <w:rFonts w:hint="eastAsia"/>
                <w:b w:val="0"/>
                <w:bCs w:val="0"/>
                <w:color w:val="auto"/>
                <w:sz w:val="21"/>
                <w:szCs w:val="21"/>
              </w:rPr>
              <w:t>报告原件并提供全部货物的完整样品一套，不按要求提供的视为未实质性响应，对不能满足参数要求虚假响应，或者无法正常交货影响业主使用的，业主可作为废标处理，并按规定对投标公司予以处罚和进行网上通报处理。</w:t>
            </w:r>
          </w:p>
        </w:tc>
      </w:tr>
    </w:tbl>
    <w:p w14:paraId="4BC86189"/>
    <w:sectPr>
      <w:pgSz w:w="11906" w:h="16838"/>
      <w:pgMar w:top="9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31FB57E-A91A-4221-B231-E6932D78F77A}"/>
  </w:font>
  <w:font w:name="华文中宋">
    <w:panose1 w:val="02010600040101010101"/>
    <w:charset w:val="86"/>
    <w:family w:val="auto"/>
    <w:pitch w:val="default"/>
    <w:sig w:usb0="00000287" w:usb1="080F0000" w:usb2="00000000" w:usb3="00000000" w:csb0="0004009F" w:csb1="DFD70000"/>
    <w:embedRegular r:id="rId2" w:fontKey="{8F3561C5-BBF7-46F9-8F92-9F96BA974257}"/>
  </w:font>
  <w:font w:name="微软雅黑">
    <w:panose1 w:val="020B0503020204020204"/>
    <w:charset w:val="86"/>
    <w:family w:val="auto"/>
    <w:pitch w:val="default"/>
    <w:sig w:usb0="80000287" w:usb1="2ACF3C50" w:usb2="00000016" w:usb3="00000000" w:csb0="0004001F" w:csb1="00000000"/>
    <w:embedRegular r:id="rId3" w:fontKey="{B6B6719F-7E7A-4D0D-B361-6E08C6A7EA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722B2"/>
    <w:rsid w:val="00311A5F"/>
    <w:rsid w:val="009D6961"/>
    <w:rsid w:val="028375C0"/>
    <w:rsid w:val="03174F3D"/>
    <w:rsid w:val="096C04B7"/>
    <w:rsid w:val="0D2210AE"/>
    <w:rsid w:val="114D7394"/>
    <w:rsid w:val="116A4DD1"/>
    <w:rsid w:val="22031056"/>
    <w:rsid w:val="29E9432E"/>
    <w:rsid w:val="2F280B6B"/>
    <w:rsid w:val="36661799"/>
    <w:rsid w:val="36C95CEF"/>
    <w:rsid w:val="37DD4A01"/>
    <w:rsid w:val="398642F2"/>
    <w:rsid w:val="3B2752CD"/>
    <w:rsid w:val="3B702E61"/>
    <w:rsid w:val="3BA542B3"/>
    <w:rsid w:val="3C7A0A20"/>
    <w:rsid w:val="429B20F9"/>
    <w:rsid w:val="479D3F3F"/>
    <w:rsid w:val="481B604A"/>
    <w:rsid w:val="4FEB7FA3"/>
    <w:rsid w:val="53FA3C53"/>
    <w:rsid w:val="5B6D2AC1"/>
    <w:rsid w:val="5E580DF8"/>
    <w:rsid w:val="61615552"/>
    <w:rsid w:val="61FA6FC5"/>
    <w:rsid w:val="626369CC"/>
    <w:rsid w:val="648818D4"/>
    <w:rsid w:val="65F914B1"/>
    <w:rsid w:val="66B45A48"/>
    <w:rsid w:val="685722B2"/>
    <w:rsid w:val="6AE25B52"/>
    <w:rsid w:val="6AFD6E95"/>
    <w:rsid w:val="6BD85D34"/>
    <w:rsid w:val="6F582CDE"/>
    <w:rsid w:val="75DF746C"/>
    <w:rsid w:val="76911902"/>
    <w:rsid w:val="792F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华文中宋" w:asciiTheme="minorHAnsi" w:hAnsiTheme="minorHAnsi" w:eastAsiaTheme="minorEastAsia"/>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pPr>
    <w:rPr>
      <w:szCs w:val="20"/>
    </w:rPr>
  </w:style>
  <w:style w:type="paragraph" w:styleId="4">
    <w:name w:val="index 1"/>
    <w:basedOn w:val="1"/>
    <w:next w:val="1"/>
    <w:unhideWhenUsed/>
    <w:qFormat/>
    <w:uiPriority w:val="99"/>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4893</Words>
  <Characters>5894</Characters>
  <Lines>0</Lines>
  <Paragraphs>0</Paragraphs>
  <TotalTime>7</TotalTime>
  <ScaleCrop>false</ScaleCrop>
  <LinksUpToDate>false</LinksUpToDate>
  <CharactersWithSpaces>5953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2025-07-17T04:47:00Z</dcterms:created>
  <dc:creator>余勤</dc:creator>
  <cp:lastModifiedBy>游龙</cp:lastModifiedBy>
  <dcterms:modified xsi:type="dcterms:W3CDTF">2025-08-07T09:19:05Z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D3B2DCE493234E96BD173B5395463A94_13</vt:lpwstr>
  </property>
  <property fmtid="{D5CDD505-2E9C-101B-9397-08002B2CF9AE}" pid="4" name="KSOTemplateDocerSaveRecord">
    <vt:lpwstr>eyJoZGlkIjoiNzk4NzE5ZTVmMmY4MTE3NWRiZGNkMmZhNTE5NWZjZjkiLCJ1c2VySWQiOiI2NDU3ODAzNDIifQ==</vt:lpwstr>
  </property>
</Properties>
</file>