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C66F3">
      <w:pPr>
        <w:jc w:val="center"/>
        <w:rPr>
          <w:rFonts w:hint="default" w:eastAsiaTheme="minorEastAsia"/>
          <w:sz w:val="36"/>
          <w:szCs w:val="44"/>
          <w:lang w:val="en-US" w:eastAsia="zh-CN"/>
        </w:rPr>
      </w:pPr>
      <w:r>
        <w:rPr>
          <w:rFonts w:hint="eastAsia"/>
          <w:sz w:val="36"/>
          <w:szCs w:val="44"/>
          <w:lang w:val="en-US" w:eastAsia="zh-CN"/>
        </w:rPr>
        <w:t>户外</w:t>
      </w:r>
      <w:r>
        <w:rPr>
          <w:rFonts w:hint="eastAsia"/>
          <w:sz w:val="36"/>
          <w:szCs w:val="44"/>
        </w:rPr>
        <w:t>全彩LED显示屏</w:t>
      </w:r>
      <w:r>
        <w:rPr>
          <w:rFonts w:hint="eastAsia"/>
          <w:sz w:val="36"/>
          <w:szCs w:val="44"/>
          <w:lang w:val="en-US" w:eastAsia="zh-CN"/>
        </w:rPr>
        <w:t>采购项目（在线询价）</w:t>
      </w:r>
    </w:p>
    <w:tbl>
      <w:tblPr>
        <w:tblStyle w:val="12"/>
        <w:tblW w:w="10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0"/>
        <w:gridCol w:w="5795"/>
        <w:gridCol w:w="659"/>
        <w:gridCol w:w="705"/>
        <w:gridCol w:w="912"/>
        <w:gridCol w:w="1124"/>
      </w:tblGrid>
      <w:tr w14:paraId="27FC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40" w:type="dxa"/>
            <w:vAlign w:val="center"/>
          </w:tcPr>
          <w:p w14:paraId="7AE4B85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860" w:type="dxa"/>
            <w:vAlign w:val="center"/>
          </w:tcPr>
          <w:p w14:paraId="4D2983C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产品</w:t>
            </w:r>
          </w:p>
          <w:p w14:paraId="5BDF6F6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名称</w:t>
            </w:r>
          </w:p>
        </w:tc>
        <w:tc>
          <w:tcPr>
            <w:tcW w:w="5795" w:type="dxa"/>
            <w:vAlign w:val="center"/>
          </w:tcPr>
          <w:p w14:paraId="330F4EB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技术参数</w:t>
            </w:r>
          </w:p>
        </w:tc>
        <w:tc>
          <w:tcPr>
            <w:tcW w:w="659" w:type="dxa"/>
            <w:vAlign w:val="center"/>
          </w:tcPr>
          <w:p w14:paraId="0D85008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705" w:type="dxa"/>
            <w:vAlign w:val="center"/>
          </w:tcPr>
          <w:p w14:paraId="2B514CB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912" w:type="dxa"/>
            <w:vAlign w:val="center"/>
          </w:tcPr>
          <w:p w14:paraId="27600D0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单价（元）</w:t>
            </w:r>
          </w:p>
        </w:tc>
        <w:tc>
          <w:tcPr>
            <w:tcW w:w="1124" w:type="dxa"/>
            <w:vAlign w:val="center"/>
          </w:tcPr>
          <w:p w14:paraId="7595320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金额</w:t>
            </w:r>
          </w:p>
          <w:p w14:paraId="5EC0F1F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（元）</w:t>
            </w:r>
          </w:p>
        </w:tc>
      </w:tr>
      <w:tr w14:paraId="79B0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40" w:type="dxa"/>
            <w:vAlign w:val="center"/>
          </w:tcPr>
          <w:p w14:paraId="7E51B42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860" w:type="dxa"/>
            <w:vAlign w:val="center"/>
          </w:tcPr>
          <w:p w14:paraId="79EDC1F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w:t>
            </w:r>
          </w:p>
          <w:p w14:paraId="082EB6D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i w:val="0"/>
                <w:iCs w:val="0"/>
                <w:color w:val="000000"/>
                <w:kern w:val="0"/>
                <w:sz w:val="21"/>
                <w:szCs w:val="21"/>
                <w:u w:val="none"/>
                <w:lang w:val="en-US" w:eastAsia="zh-CN" w:bidi="ar"/>
              </w:rPr>
              <w:t>显示屏</w:t>
            </w:r>
          </w:p>
        </w:tc>
        <w:tc>
          <w:tcPr>
            <w:tcW w:w="5795" w:type="dxa"/>
            <w:vAlign w:val="center"/>
          </w:tcPr>
          <w:p w14:paraId="056CDAA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1.点间距≤4mm，像素点组成:SMD 1R1G1B三合一表贴；</w:t>
            </w:r>
          </w:p>
          <w:p w14:paraId="08C00E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2.像素密度：62500点/㎡；</w:t>
            </w:r>
          </w:p>
          <w:p w14:paraId="54CF29B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3.亮度:亮度≥4000cd/m²,亮度≥4000cd/m²,屏幕校正后亮度(nits)0-4000,支持通过配套软件0-100%(手动/自动),无级调节或256级调整；</w:t>
            </w:r>
          </w:p>
          <w:p w14:paraId="2667131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★4.刷新率:依据SJ/T11281第4.3.2测试，刷新频率≥3840Hz；</w:t>
            </w:r>
            <w:r>
              <w:rPr>
                <w:rFonts w:hint="eastAsia" w:ascii="宋体" w:hAnsi="宋体" w:eastAsia="宋体" w:cs="宋体"/>
                <w:b/>
                <w:bCs/>
                <w:i w:val="0"/>
                <w:iCs w:val="0"/>
                <w:color w:val="000000"/>
                <w:kern w:val="0"/>
                <w:sz w:val="21"/>
                <w:szCs w:val="21"/>
                <w:u w:val="none"/>
                <w:lang w:val="en-US" w:eastAsia="zh-CN" w:bidi="ar"/>
              </w:rPr>
              <w:t>（报价时提供具有CNAS检测资质的检测单位出具的第三方专业检测报告并加盖原厂公章，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5EB2E0B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★5.亮度均匀性≥99%，色度均匀性：△X、△Y值≤0.003，对比度≥10000:1；</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399B70A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6.色温:色温(K):9300K,1000—15000可调，调节步长100K,色温为6500K时，100%、75%、50%、25%四档电平白场调节色温误差≤±100K</w:t>
            </w:r>
          </w:p>
          <w:p w14:paraId="31FC405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★7.为满足不同角度观看需求，显示屏视角:依据SJ/T11281第4.2.2测试，垂直≥140度，水平≥160度。</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253B2A1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8.换帧频率：支持20Hz-60Hz调节，支持裸眼3D显示 ；</w:t>
            </w:r>
          </w:p>
          <w:p w14:paraId="672926A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9.支持同步控制、支持电脑/手机/有线控制，控制方式稳定可靠；</w:t>
            </w:r>
          </w:p>
          <w:p w14:paraId="373956F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10.LED像素失控率:≤1/1000000；</w:t>
            </w:r>
          </w:p>
          <w:p w14:paraId="59EB46B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★11.低亮高灰特性：具备低亮高灰特性，在亮度150cd/m²时，对比度不低于8000:1 ；</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3CBC3EB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★12.防止刮蹭伤害屏幕，LED表面具备的硬度等级≥HRC 8级；</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63E749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13.保护功能:支持过流，过压，过温，短路等保护；</w:t>
            </w:r>
          </w:p>
          <w:p w14:paraId="5942AE1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HDR:支持HDR2.0高清显示，可同时支持HDR10和HLG功能，真实还原视频源所要表达的亮度范围和色彩空间，提升图像显示效果能力，使画面更加逼真；色域覆盖率显示符合广电级显示效果，高色域重合度，色域重合度≥ 99%;色域覆盖率：NTSC色域覆盖率≥110%；</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5810499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15.为观众有舒适的观感，VICO指数(人眼视觉舒适度)需达到0-1级；</w:t>
            </w:r>
          </w:p>
          <w:p w14:paraId="2832E21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★16.灰阶:支持22bit,64倍提升显示灰阶，采用全灰阶亮色度校正， 高亮、中灰、低灰能同时达到亮色度的均匀，画质清晰锐利，色彩纯正丰富，使显示屏的色彩呈现更精准；</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01A75C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17.智能节电:带有智能(黑屏)节电模式，开启智能节电模式比没有开启节能45%以上；</w:t>
            </w:r>
          </w:p>
          <w:p w14:paraId="5CF769B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18.除湿功能:长时间没有使用屏幕，屏幕可以通过屏体控制系统自动切入除湿模式，实现除湿操作，延长使用寿命;</w:t>
            </w:r>
          </w:p>
          <w:p w14:paraId="65BC53C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19.PCB设计：采用多层PCB设计， 一体化驱动控制，采用抗消隐设计，无 “毛毛虫”“鬼影”跟随现象，无隐亮，全黑场信号下无  灯管发光，显示画面无失真、变形、撕裂级不同步现象，画面流程无几何失真和非线性失真；</w:t>
            </w:r>
          </w:p>
          <w:p w14:paraId="2AF994F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★20.LED显示大屏蓝光辐射能量符合A级光生物安全及低蓝光：按 GB/T 20145-2006灯和灯系统的光生物安全性辐亮度无危险标准：辐亮度≤1W/（㎡×sr)符合RG0等级，属于无危害类；对视网膜蓝光危害LB≤1W.m-2.sr-1,属于蓝光无危害；</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409DF81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★21.实验按GBT2423.16-2008《电工电子产品环境试验第2部分试验方法试验J及导则：长霉》用营养液对样品预处理后，进行为期28天的培养确定样品表面长霉程度为0级；</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62017EC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★22.在维持实际的灰度位数不变的情况下，通过自研软件实现图像抖动的算法，提升显示屏4bit的灰度位数；</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5B52C4E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★23.功率因素:电源使用带有PFC功能的开关电源，功率因素≥0.95；</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6874BF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24.防护等级：箱体符合GB/T 4208-2017外壳防护等级IP65级防护；</w:t>
            </w:r>
          </w:p>
          <w:p w14:paraId="1D6FB01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★25.反光率：屏体正面哑黑处理，屏体正面反射比≤6.5%,反光率≤ 1.3%,表面光泽度≤30%,屏幕表面黑度≤30；墨色一致性：△Eab≤8.5</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0CC645F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 PCB工艺：PCB原材为母料，非回收料，且使用环保OSP表面处理工艺；</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5B389BD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★27.环保工艺：内部线材低烟无卤，显示屏核心原材料满足B级别防火。</w:t>
            </w:r>
            <w:r>
              <w:rPr>
                <w:rFonts w:hint="eastAsia" w:ascii="宋体" w:hAnsi="宋体" w:eastAsia="宋体" w:cs="宋体"/>
                <w:b/>
                <w:bCs/>
                <w:i w:val="0"/>
                <w:iCs w:val="0"/>
                <w:color w:val="000000"/>
                <w:kern w:val="0"/>
                <w:sz w:val="21"/>
                <w:szCs w:val="21"/>
                <w:u w:val="none"/>
                <w:lang w:val="en-US" w:eastAsia="zh-CN" w:bidi="ar"/>
              </w:rPr>
              <w:t>（报价时需提供具有CNAS检测资质的检测单位出具的第三方专业检测报告</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23FAA3B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28.震动测试：显示屏单箱体符合GB/T 17742-2008中9级地震烈度相关震害参数要求； </w:t>
            </w:r>
          </w:p>
          <w:p w14:paraId="2319478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29.连续工作时间：支持7*24H连续正常工作；画面延时：≤1ms；</w:t>
            </w:r>
          </w:p>
          <w:p w14:paraId="5791A27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sz w:val="21"/>
                <w:szCs w:val="21"/>
                <w:vertAlign w:val="baseline"/>
              </w:rPr>
            </w:pPr>
            <w:r>
              <w:rPr>
                <w:rFonts w:hint="eastAsia" w:ascii="宋体" w:hAnsi="宋体" w:eastAsia="宋体" w:cs="宋体"/>
                <w:i w:val="0"/>
                <w:iCs w:val="0"/>
                <w:color w:val="000000"/>
                <w:kern w:val="0"/>
                <w:sz w:val="21"/>
                <w:szCs w:val="21"/>
                <w:u w:val="none"/>
                <w:lang w:val="en-US" w:eastAsia="zh-CN" w:bidi="ar"/>
              </w:rPr>
              <w:t>30.包含所需接收卡、电源。</w:t>
            </w:r>
          </w:p>
        </w:tc>
        <w:tc>
          <w:tcPr>
            <w:tcW w:w="659" w:type="dxa"/>
            <w:vAlign w:val="center"/>
          </w:tcPr>
          <w:p w14:paraId="2796B0F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i w:val="0"/>
                <w:iCs w:val="0"/>
                <w:color w:val="000000"/>
                <w:kern w:val="0"/>
                <w:sz w:val="21"/>
                <w:szCs w:val="21"/>
                <w:u w:val="none"/>
                <w:lang w:val="en-US" w:eastAsia="zh-CN" w:bidi="ar"/>
              </w:rPr>
              <w:t>60.3136</w:t>
            </w:r>
          </w:p>
        </w:tc>
        <w:tc>
          <w:tcPr>
            <w:tcW w:w="705" w:type="dxa"/>
            <w:vAlign w:val="center"/>
          </w:tcPr>
          <w:p w14:paraId="0AF634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sz w:val="21"/>
                <w:szCs w:val="21"/>
                <w:vertAlign w:val="baseline"/>
              </w:rPr>
            </w:pPr>
            <w:r>
              <w:rPr>
                <w:rFonts w:hint="eastAsia" w:ascii="宋体" w:hAnsi="宋体" w:eastAsia="宋体" w:cs="宋体"/>
                <w:i w:val="0"/>
                <w:iCs w:val="0"/>
                <w:color w:val="000000"/>
                <w:kern w:val="0"/>
                <w:sz w:val="21"/>
                <w:szCs w:val="21"/>
                <w:u w:val="none"/>
                <w:lang w:val="en-US" w:eastAsia="zh-CN" w:bidi="ar"/>
              </w:rPr>
              <w:t>平方米</w:t>
            </w:r>
          </w:p>
        </w:tc>
        <w:tc>
          <w:tcPr>
            <w:tcW w:w="912" w:type="dxa"/>
            <w:vAlign w:val="center"/>
          </w:tcPr>
          <w:p w14:paraId="6EBA22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4500 </w:t>
            </w:r>
          </w:p>
        </w:tc>
        <w:tc>
          <w:tcPr>
            <w:tcW w:w="1124" w:type="dxa"/>
            <w:vAlign w:val="center"/>
          </w:tcPr>
          <w:p w14:paraId="0A5A9ED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271411.2 </w:t>
            </w:r>
          </w:p>
        </w:tc>
      </w:tr>
      <w:tr w14:paraId="46F0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EF45F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p>
        </w:tc>
        <w:tc>
          <w:tcPr>
            <w:tcW w:w="860" w:type="dxa"/>
            <w:vAlign w:val="center"/>
          </w:tcPr>
          <w:p w14:paraId="1B89E9A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简易箱体</w:t>
            </w:r>
          </w:p>
        </w:tc>
        <w:tc>
          <w:tcPr>
            <w:tcW w:w="5795" w:type="dxa"/>
            <w:vAlign w:val="center"/>
          </w:tcPr>
          <w:p w14:paraId="16267E7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1.箱体材质：钣金铁箱；</w:t>
            </w:r>
          </w:p>
          <w:p w14:paraId="5B6FA2A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2.定制尺寸，根据实际需求定制；</w:t>
            </w:r>
          </w:p>
          <w:p w14:paraId="6CEEA84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3、Q235 冷轧钢板；</w:t>
            </w:r>
          </w:p>
          <w:p w14:paraId="5840BD5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4、户外高温静电喷涂。</w:t>
            </w:r>
          </w:p>
        </w:tc>
        <w:tc>
          <w:tcPr>
            <w:tcW w:w="659" w:type="dxa"/>
            <w:vAlign w:val="center"/>
          </w:tcPr>
          <w:p w14:paraId="2542D9C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60.3136</w:t>
            </w:r>
          </w:p>
        </w:tc>
        <w:tc>
          <w:tcPr>
            <w:tcW w:w="705" w:type="dxa"/>
            <w:vAlign w:val="center"/>
          </w:tcPr>
          <w:p w14:paraId="626BDEB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平方米</w:t>
            </w:r>
          </w:p>
        </w:tc>
        <w:tc>
          <w:tcPr>
            <w:tcW w:w="912" w:type="dxa"/>
            <w:vAlign w:val="center"/>
          </w:tcPr>
          <w:p w14:paraId="39CC0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750 </w:t>
            </w:r>
          </w:p>
        </w:tc>
        <w:tc>
          <w:tcPr>
            <w:tcW w:w="1124" w:type="dxa"/>
            <w:vAlign w:val="center"/>
          </w:tcPr>
          <w:p w14:paraId="7581100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45235.2 </w:t>
            </w:r>
          </w:p>
        </w:tc>
      </w:tr>
      <w:tr w14:paraId="5142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184165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860" w:type="dxa"/>
            <w:vAlign w:val="center"/>
          </w:tcPr>
          <w:p w14:paraId="62AAF41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LED发送盒</w:t>
            </w:r>
          </w:p>
        </w:tc>
        <w:tc>
          <w:tcPr>
            <w:tcW w:w="5795" w:type="dxa"/>
            <w:vAlign w:val="center"/>
          </w:tcPr>
          <w:p w14:paraId="72FC118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1、采用标准 19 英寸金属结构机箱，机箱为后挂耳结构，上盖无螺钉安装:外壳防护等级符合GBIT 4280-2017中IP20的要求;采用纯硬件 FPGA 架构设计、运行稳定、可靠、高效；</w:t>
            </w:r>
          </w:p>
          <w:p w14:paraId="5C11CA9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2、输入接口包括1路HDMI2.0+LOOP,2路HDMI1.3，1路USB3.0，支持选配1路3G-SDI（IN+LOOP），最大支持4096*2160@60HZ信号输入；</w:t>
            </w:r>
          </w:p>
          <w:p w14:paraId="294FAD0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3、视频输出支持8个千兆网口输出，1路10G-OPT光口，最大带载高达520万像素，最宽支持10240,最高8192。</w:t>
            </w:r>
          </w:p>
          <w:p w14:paraId="5C8D231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4、音频输入支持视频口伴随音频输入及独立输入两种模式，音频输出支持网口扩展输出及3.5mm独立音频口输出，支持的音频编码 ：MPEG1/2 Layer I，MPEG1/2 Layer II，MPEG1/2 Layer III，AAC-LC，VORBIS，PCM 和 FLAC；</w:t>
            </w:r>
          </w:p>
          <w:p w14:paraId="6F464A8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5、支持输入源备份功能，主源丢失下，无需人为操作可自动切换至备源显示，切换过程无黑屏；</w:t>
            </w:r>
          </w:p>
          <w:p w14:paraId="090B630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6、最大支持144HZ高帧率输入输出，输出支持插帧、抽帧、倍频（2倍频、3倍频、4倍频）功能，可将30HZ信号，倍频至120HZ输出；</w:t>
            </w:r>
          </w:p>
          <w:p w14:paraId="236E87C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7、最大可支持6个2K图层或1个4K图层+2个2K图层，全部图层大小和位置可单独调节。4K接口输入2K图层，按2K图层计算图层资源；</w:t>
            </w:r>
          </w:p>
          <w:p w14:paraId="73E4605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通过上位机软件实现对显示屏的连接，控制，包括：输入源切换，窗口位置及大小调节，分辨率自定义等；软件端支持可视化呈现设备各接口实时状态，包括视频输入状态及分辨率、网口带载利用率、接屏体温度、电压、误码率、通讯状态等的检测；</w:t>
            </w:r>
          </w:p>
          <w:p w14:paraId="624428E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U盘即插即播功能，最大支持4K级（3840*2160@60fps）图片和视频的流畅播放，播放列表计切换效果支持自定义编排，最多支持27种图片切换特效，包括水波涟漪、镜头拉近、直接推出、立体翻转、百叶窗、左右擦除、上下擦除、立方体旋转、溶解转场、网格转场、扇扫转场、画卷转场、淡入淡出、旋转扭曲、心形转场、拉帘推出、透视三角、圆形消失、矩形弹跳、星形旋转；</w:t>
            </w:r>
          </w:p>
          <w:p w14:paraId="1D25251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10、标配全彩液晶，搭配实体按键，极大的方便了设备整体状态的监控及设备功能的控制；设备功能按键及丝印信息采用全中文提示，项目上无需粘贴额外的标签纸加以区分，清晰直观；</w:t>
            </w:r>
          </w:p>
          <w:p w14:paraId="3799B73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11、支持2种用户模式，标准模式和专业模式，满足不同角色对显示屏的分权管理，使用更加放心；</w:t>
            </w:r>
          </w:p>
          <w:p w14:paraId="6E2D1E2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12、支持微信小程序快捷控制，包括亮度调节、输出画质调节、待机模式、画面冻结、场景切换、U盘播放等功能；</w:t>
            </w:r>
          </w:p>
          <w:p w14:paraId="0C2A752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13、支持平板对控制器进行快捷控制，包括亮度调节、图层布局调节、画面冻结、黑屏、场景切换、音量大小等功能；</w:t>
            </w:r>
          </w:p>
          <w:p w14:paraId="5FFDE35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14、支持创建多个设备还原点，将当前设备的配屏，场景，输出等参数存储为还原点，当系统工作异常时，可根据还原点一键快速还原；</w:t>
            </w:r>
          </w:p>
          <w:p w14:paraId="04CFB5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15、支持控制设备白名单，可通过MAC地址限制控制设备，非白名单内设备无法控制设备，不允许对设备进行操作；</w:t>
            </w:r>
          </w:p>
          <w:p w14:paraId="5DF2FBC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16、MTBF≥150000小时，MTTR平均修复小于10分钟可用度大于 99%，整机寿命不小于150000小时。产品稳定性高、性能卓越、纯硬件结构，上电即可正常工作，无需做任何其它设置。</w:t>
            </w:r>
          </w:p>
        </w:tc>
        <w:tc>
          <w:tcPr>
            <w:tcW w:w="659" w:type="dxa"/>
            <w:vAlign w:val="center"/>
          </w:tcPr>
          <w:p w14:paraId="0CF0CD3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705" w:type="dxa"/>
            <w:vAlign w:val="center"/>
          </w:tcPr>
          <w:p w14:paraId="32EC561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912" w:type="dxa"/>
            <w:vAlign w:val="center"/>
          </w:tcPr>
          <w:p w14:paraId="47DB02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8500 </w:t>
            </w:r>
          </w:p>
        </w:tc>
        <w:tc>
          <w:tcPr>
            <w:tcW w:w="1124" w:type="dxa"/>
            <w:vAlign w:val="center"/>
          </w:tcPr>
          <w:p w14:paraId="7CE3CD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8500</w:t>
            </w:r>
          </w:p>
        </w:tc>
      </w:tr>
      <w:tr w14:paraId="78FD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40" w:type="dxa"/>
            <w:vAlign w:val="center"/>
          </w:tcPr>
          <w:p w14:paraId="323160F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860" w:type="dxa"/>
            <w:vAlign w:val="center"/>
          </w:tcPr>
          <w:p w14:paraId="7E774FA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配电柜</w:t>
            </w:r>
          </w:p>
        </w:tc>
        <w:tc>
          <w:tcPr>
            <w:tcW w:w="5795" w:type="dxa"/>
            <w:vAlign w:val="center"/>
          </w:tcPr>
          <w:p w14:paraId="034D35A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1.具备手动控制设备供电的开启和关闭；</w:t>
            </w:r>
          </w:p>
          <w:p w14:paraId="74083E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2.单组回路输出，标配为手动控制，可添加定时开关控制；</w:t>
            </w:r>
          </w:p>
          <w:p w14:paraId="0F7C16C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3.具备上电保护功能；</w:t>
            </w:r>
          </w:p>
          <w:p w14:paraId="521C1A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4.具有电源状态指示、运行状态指示；</w:t>
            </w:r>
          </w:p>
          <w:p w14:paraId="7944D7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5.内部线材采用正泰4平方国标纯铜导线；</w:t>
            </w:r>
          </w:p>
          <w:p w14:paraId="0A2CA68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6.不低于60kw。</w:t>
            </w:r>
          </w:p>
        </w:tc>
        <w:tc>
          <w:tcPr>
            <w:tcW w:w="659" w:type="dxa"/>
            <w:vAlign w:val="center"/>
          </w:tcPr>
          <w:p w14:paraId="372F3DE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705" w:type="dxa"/>
            <w:vAlign w:val="center"/>
          </w:tcPr>
          <w:p w14:paraId="4D42A2F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912" w:type="dxa"/>
            <w:vAlign w:val="center"/>
          </w:tcPr>
          <w:p w14:paraId="03F16C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5667.9</w:t>
            </w:r>
          </w:p>
        </w:tc>
        <w:tc>
          <w:tcPr>
            <w:tcW w:w="1124" w:type="dxa"/>
            <w:vAlign w:val="center"/>
          </w:tcPr>
          <w:p w14:paraId="6A9315C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5667.9 </w:t>
            </w:r>
          </w:p>
        </w:tc>
      </w:tr>
      <w:tr w14:paraId="63C9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80A68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5</w:t>
            </w:r>
          </w:p>
        </w:tc>
        <w:tc>
          <w:tcPr>
            <w:tcW w:w="860" w:type="dxa"/>
            <w:vAlign w:val="center"/>
          </w:tcPr>
          <w:p w14:paraId="67BE23A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分体式教学终端</w:t>
            </w:r>
          </w:p>
        </w:tc>
        <w:tc>
          <w:tcPr>
            <w:tcW w:w="5795" w:type="dxa"/>
            <w:vAlign w:val="center"/>
          </w:tcPr>
          <w:p w14:paraId="0BB46BC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一、硬件设计：</w:t>
            </w:r>
          </w:p>
          <w:p w14:paraId="6923D32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1、为保证办公、教学同时打开多个课件、浏览器网页、软件应用等多任务场景的流畅性，CPU采用Intel十二代 Core i5处理器或以上，处理器核数≥10，线程数≥12，主频≥1.3GHz，最大睿频≥4.4GHz 、三级缓存≥12MB。</w:t>
            </w:r>
          </w:p>
          <w:p w14:paraId="24E7692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2、GPU处理单元数≥80个，最大主频≥1.2GHz。</w:t>
            </w:r>
          </w:p>
          <w:p w14:paraId="217AC37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3、内存：≥8G DDR4 3200MT/s 内存或以上。</w:t>
            </w:r>
          </w:p>
          <w:p w14:paraId="646134F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4、硬盘：硬盘：≥256G M.2 SSD硬盘，支持机械硬盘拓展。</w:t>
            </w:r>
          </w:p>
          <w:p w14:paraId="7D7FFF5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★5、网络通信：为保证学生使用网络过程安全可控，提供双1000M以太网卡。网口支持wake on LAN。</w:t>
            </w:r>
          </w:p>
          <w:p w14:paraId="0B93CDD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6、集成标准声卡、USB键盘、鼠标；</w:t>
            </w:r>
          </w:p>
          <w:p w14:paraId="7C3C774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7、前置面板：USB2.0≥2个；USB3.0≥2个（支持USB 3.2 Gen1）；TypeC≥1个（支持USB 3.2 Gen1）；麦克风输入≥1个，音频输出≥1个；</w:t>
            </w:r>
          </w:p>
          <w:p w14:paraId="5E39B8D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8、后置面板：USB2.0≥2个；USB3.0≥2个（支持USB 3.2 Gen2）；HDMI输出≥1；VGA输出≥1；音频输出≥1；麦克风输入≥1；RJ45≥2；</w:t>
            </w:r>
          </w:p>
          <w:p w14:paraId="179B20A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9、内部插槽：PCIEX16≥1（支持拓展独立显卡）；PCIEX1≥1；</w:t>
            </w:r>
          </w:p>
          <w:p w14:paraId="2BC9806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10、机箱体积：≤7.5L；</w:t>
            </w:r>
          </w:p>
          <w:p w14:paraId="39D2C34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11、为达到节能减排的效果，电源功率≤100W 。</w:t>
            </w:r>
          </w:p>
          <w:p w14:paraId="3318FBD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二、配套专属显示器：</w:t>
            </w:r>
          </w:p>
          <w:p w14:paraId="609442A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1、显示器≥23.8英寸显示屏幕，分辨率≥1920*1080。</w:t>
            </w:r>
          </w:p>
          <w:p w14:paraId="3EB0A40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★2、屏幕亮度≥250nit，IPS屏。</w:t>
            </w:r>
          </w:p>
          <w:p w14:paraId="7474917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3、支持VGA≥1，HDMI≥1。</w:t>
            </w:r>
          </w:p>
          <w:p w14:paraId="5215783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★4、为保证屏幕色彩显示真实度，显示屏幕DCI-P3色域覆盖率≥ 90%。</w:t>
            </w:r>
            <w:r>
              <w:rPr>
                <w:rFonts w:hint="eastAsia" w:ascii="宋体" w:hAnsi="宋体" w:eastAsia="宋体" w:cs="宋体"/>
                <w:b/>
                <w:bCs/>
                <w:i w:val="0"/>
                <w:iCs w:val="0"/>
                <w:color w:val="000000"/>
                <w:kern w:val="0"/>
                <w:sz w:val="21"/>
                <w:szCs w:val="21"/>
                <w:u w:val="none"/>
                <w:lang w:val="en-US" w:eastAsia="zh-CN" w:bidi="ar"/>
              </w:rPr>
              <w:t>（报价时需提供国家认可的第三方检测机构出具的关于该功能的检测报告复印件</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0BB0F6B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5、对比度达到1000:1，屏幕刷新率达到75Hz，响应时间≤7ms，可视角度178/178。</w:t>
            </w:r>
          </w:p>
          <w:p w14:paraId="7C63F94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6、电源能效转换效率≥86%</w:t>
            </w:r>
          </w:p>
          <w:p w14:paraId="00CA24C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★7、为了适应日常使用和更好的视频播放体验，显示屏分别提供标准模式和炫彩模式选项。</w:t>
            </w:r>
            <w:r>
              <w:rPr>
                <w:rFonts w:hint="eastAsia" w:ascii="宋体" w:hAnsi="宋体" w:eastAsia="宋体" w:cs="宋体"/>
                <w:b/>
                <w:bCs/>
                <w:i w:val="0"/>
                <w:iCs w:val="0"/>
                <w:color w:val="000000"/>
                <w:kern w:val="0"/>
                <w:sz w:val="21"/>
                <w:szCs w:val="21"/>
                <w:u w:val="none"/>
                <w:lang w:val="en-US" w:eastAsia="zh-CN" w:bidi="ar"/>
              </w:rPr>
              <w:t>（报价时需提供国家认可的第三方检测机构出具的关于该功能的检测报告复印件</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3C51690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★8、为保证教师、学生的用眼舒适，显示屏幕提供护眼模式，护眼模式下，蓝光比例≤20%。</w:t>
            </w:r>
            <w:r>
              <w:rPr>
                <w:rFonts w:hint="eastAsia" w:ascii="宋体" w:hAnsi="宋体" w:eastAsia="宋体" w:cs="宋体"/>
                <w:b/>
                <w:bCs/>
                <w:i w:val="0"/>
                <w:iCs w:val="0"/>
                <w:color w:val="000000"/>
                <w:kern w:val="0"/>
                <w:sz w:val="21"/>
                <w:szCs w:val="21"/>
                <w:u w:val="none"/>
                <w:lang w:val="en-US" w:eastAsia="zh-CN" w:bidi="ar"/>
              </w:rPr>
              <w:t>（报价时需提供国家认可的第三方检测机构出具的关于该功能的检测报告复印件</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7BA5C7A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★9.显示器提供阅读模式，为长时间阅读提供舒适的用眼体验。</w:t>
            </w:r>
            <w:r>
              <w:rPr>
                <w:rFonts w:hint="eastAsia" w:ascii="宋体" w:hAnsi="宋体" w:eastAsia="宋体" w:cs="宋体"/>
                <w:b/>
                <w:bCs/>
                <w:i w:val="0"/>
                <w:iCs w:val="0"/>
                <w:color w:val="000000"/>
                <w:kern w:val="0"/>
                <w:sz w:val="21"/>
                <w:szCs w:val="21"/>
                <w:u w:val="none"/>
                <w:lang w:val="en-US" w:eastAsia="zh-CN" w:bidi="ar"/>
              </w:rPr>
              <w:t>（报价时需提供国家认可的第三方检测机构出具的关于该功能的检测报告复印件</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35EFBFE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10、显示屏幕采用窄边设计，上左右边框≤3.6mm，下边框≤16.5mm，屏占比≥92%。</w:t>
            </w:r>
          </w:p>
          <w:p w14:paraId="37EC65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11、为保护教师、学生视力健康，硬件具备硬件低蓝光，获得TUV硬件低蓝光认证。</w:t>
            </w:r>
          </w:p>
          <w:p w14:paraId="2BF8A25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12、为保护教师、学生视力健康，硬件具备无频闪，获得TUV无频闪认证。</w:t>
            </w:r>
          </w:p>
          <w:p w14:paraId="20FABF7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13、为保证兼容性，显示器与教学主机保持同一品牌。</w:t>
            </w:r>
          </w:p>
          <w:p w14:paraId="3819F93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三、教学配套软件设计：</w:t>
            </w:r>
          </w:p>
          <w:p w14:paraId="6AED1D0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1、教学平台为全校教师提供可扩展，易于学校管理，安全可靠的云存储空间，根据每名教师使用时长与教学资料制作频率提供可扩展升级至不小于200G的个人云空间。</w:t>
            </w:r>
          </w:p>
          <w:p w14:paraId="7035D6C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2、PPT小工具：支持小组端进入PPT放映模式后提供批注、黑板、橡皮、撤销、批注分享等工具，满足学生小组研讨的使用</w:t>
            </w:r>
          </w:p>
          <w:p w14:paraId="4F097E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14:paraId="32743BD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★4、一键开课：教师可一键开课生成课程海报；学生扫描课程海报微信二维码即可加入直播课堂，无需额外安装APP。</w:t>
            </w:r>
            <w:r>
              <w:rPr>
                <w:rFonts w:hint="eastAsia" w:ascii="宋体" w:hAnsi="宋体" w:eastAsia="宋体" w:cs="宋体"/>
                <w:b/>
                <w:bCs/>
                <w:i w:val="0"/>
                <w:iCs w:val="0"/>
                <w:color w:val="000000"/>
                <w:kern w:val="0"/>
                <w:sz w:val="21"/>
                <w:szCs w:val="21"/>
                <w:u w:val="none"/>
                <w:lang w:val="en-US" w:eastAsia="zh-CN" w:bidi="ar"/>
              </w:rPr>
              <w:t>（报价时需提供国家认可的第三方检测机构出具的检测报告复印件</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153B988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5、剪辑重录：支持按照课件页面片段剪辑和重录微课，支持一键上传至云端保存。</w:t>
            </w:r>
          </w:p>
          <w:p w14:paraId="41D7C39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★6、课程回放：课程结束后自动生成直播回放，报名课程的学生可反复学习；回放课程自动保存在云端，支持人工删除。</w:t>
            </w:r>
            <w:r>
              <w:rPr>
                <w:rFonts w:hint="eastAsia" w:ascii="宋体" w:hAnsi="宋体" w:eastAsia="宋体" w:cs="宋体"/>
                <w:b/>
                <w:bCs/>
                <w:i w:val="0"/>
                <w:iCs w:val="0"/>
                <w:color w:val="000000"/>
                <w:kern w:val="0"/>
                <w:sz w:val="21"/>
                <w:szCs w:val="21"/>
                <w:u w:val="none"/>
                <w:lang w:val="en-US" w:eastAsia="zh-CN" w:bidi="ar"/>
              </w:rPr>
              <w:t>（报价时需提供国家认可的第三方检测机构出具的检测报告复印件</w:t>
            </w:r>
            <w:r>
              <w:rPr>
                <w:rFonts w:hint="eastAsia" w:ascii="宋体" w:hAnsi="宋体" w:eastAsia="宋体" w:cs="宋体"/>
                <w:b/>
                <w:bCs/>
                <w:i w:val="0"/>
                <w:iCs w:val="0"/>
                <w:color w:val="000000"/>
                <w:kern w:val="0"/>
                <w:sz w:val="21"/>
                <w:szCs w:val="21"/>
                <w:u w:val="none"/>
                <w:lang w:val="en-US" w:eastAsia="zh-CN" w:bidi="ar"/>
              </w:rPr>
              <w:t>并加盖原厂公章，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i w:val="0"/>
                <w:iCs w:val="0"/>
                <w:color w:val="000000"/>
                <w:kern w:val="0"/>
                <w:sz w:val="21"/>
                <w:szCs w:val="21"/>
                <w:u w:val="none"/>
                <w:lang w:val="en-US" w:eastAsia="zh-CN" w:bidi="ar"/>
              </w:rPr>
              <w:t>）</w:t>
            </w:r>
          </w:p>
          <w:p w14:paraId="3E4100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7、发起集备：支持选择教案、课件、胶囊资源上传发起集备研讨，支持设置多重访问权限，通过手机号搜索即可邀请外校老师，可用于跨校教研场景。</w:t>
            </w:r>
          </w:p>
          <w:p w14:paraId="7A14D40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四、品质及服务：</w:t>
            </w:r>
          </w:p>
          <w:p w14:paraId="1D242CF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★1.为了保障设备品质及服务，设备生产厂家须通过以下认证，符合GB/T 27922-2011售后服务评价体系标准，不低于十星级售后服务认证，供货时须提供相关证明材料。</w:t>
            </w:r>
          </w:p>
          <w:p w14:paraId="2EFFE3D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★2.三年有限保修免费上门，可选2小时电话响应，第二日上门，365天全年无休。为保证设备的品质和服务，供货时需提供设备生产厂家针对此项目的售后服务承诺函原件；</w:t>
            </w:r>
          </w:p>
          <w:p w14:paraId="08BD0EB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★3.为了确保教育数据托付管理能力、存储能力及信息安全能力，所投产品生产厂家通过GB/T36073-2018《数</w:t>
            </w:r>
            <w:bookmarkStart w:id="0" w:name="_GoBack"/>
            <w:bookmarkEnd w:id="0"/>
            <w:r>
              <w:rPr>
                <w:rFonts w:hint="eastAsia" w:ascii="宋体" w:hAnsi="宋体" w:eastAsia="宋体" w:cs="宋体"/>
                <w:b w:val="0"/>
                <w:bCs w:val="0"/>
                <w:i w:val="0"/>
                <w:iCs w:val="0"/>
                <w:color w:val="000000"/>
                <w:kern w:val="0"/>
                <w:sz w:val="21"/>
                <w:szCs w:val="21"/>
                <w:u w:val="none"/>
                <w:lang w:val="en-US" w:eastAsia="zh-CN" w:bidi="ar"/>
              </w:rPr>
              <w:t>据管理能力成熟度评估模型》认定，供货时须提供相关证明材料。</w:t>
            </w:r>
          </w:p>
          <w:p w14:paraId="1DA2126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★4.根据市场需求持续进行软件开发、更新、维护，能出具SPCA软件能力成熟度模型等级3级或以上证书复印件的</w:t>
            </w:r>
            <w:r>
              <w:rPr>
                <w:rFonts w:hint="eastAsia" w:ascii="宋体" w:hAnsi="宋体" w:eastAsia="宋体" w:cs="宋体"/>
                <w:i w:val="0"/>
                <w:iCs w:val="0"/>
                <w:color w:val="000000"/>
                <w:kern w:val="0"/>
                <w:sz w:val="21"/>
                <w:szCs w:val="21"/>
                <w:u w:val="none"/>
                <w:lang w:val="en-US" w:eastAsia="zh-CN" w:bidi="ar"/>
              </w:rPr>
              <w:t>，供货时须提供相关证明材料。</w:t>
            </w:r>
          </w:p>
        </w:tc>
        <w:tc>
          <w:tcPr>
            <w:tcW w:w="659" w:type="dxa"/>
            <w:vAlign w:val="center"/>
          </w:tcPr>
          <w:p w14:paraId="49AFA5B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705" w:type="dxa"/>
            <w:vAlign w:val="center"/>
          </w:tcPr>
          <w:p w14:paraId="4DACBE7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台</w:t>
            </w:r>
          </w:p>
        </w:tc>
        <w:tc>
          <w:tcPr>
            <w:tcW w:w="912" w:type="dxa"/>
            <w:vAlign w:val="center"/>
          </w:tcPr>
          <w:p w14:paraId="6B6BC4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5000 </w:t>
            </w:r>
          </w:p>
        </w:tc>
        <w:tc>
          <w:tcPr>
            <w:tcW w:w="1124" w:type="dxa"/>
            <w:vAlign w:val="center"/>
          </w:tcPr>
          <w:p w14:paraId="569740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r>
      <w:tr w14:paraId="473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40" w:type="dxa"/>
            <w:shd w:val="clear" w:color="auto" w:fill="auto"/>
            <w:vAlign w:val="center"/>
          </w:tcPr>
          <w:p w14:paraId="4300010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60" w:type="dxa"/>
            <w:shd w:val="clear" w:color="auto" w:fill="auto"/>
            <w:vAlign w:val="center"/>
          </w:tcPr>
          <w:p w14:paraId="34228FA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空调</w:t>
            </w:r>
          </w:p>
        </w:tc>
        <w:tc>
          <w:tcPr>
            <w:tcW w:w="5795" w:type="dxa"/>
            <w:shd w:val="clear" w:color="auto" w:fill="auto"/>
            <w:vAlign w:val="center"/>
          </w:tcPr>
          <w:p w14:paraId="75FF55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能效等级: 1级</w:t>
            </w:r>
          </w:p>
          <w:p w14:paraId="35B59E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定频/变频: 变频</w:t>
            </w:r>
          </w:p>
          <w:p w14:paraId="021D434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匹数: 1.5匹</w:t>
            </w:r>
          </w:p>
          <w:p w14:paraId="3473AEC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单冷/冷暖: 冷暖</w:t>
            </w:r>
          </w:p>
          <w:p w14:paraId="50E73A3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能源消耗效率(APF):5.53(全年能源消耗效率）</w:t>
            </w:r>
          </w:p>
          <w:p w14:paraId="47C4E30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制冷量（W）: 3530</w:t>
            </w:r>
          </w:p>
          <w:p w14:paraId="01D0BCF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制冷功率（W）: 800</w:t>
            </w:r>
          </w:p>
          <w:p w14:paraId="68EB2A7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制热量(W): 5110</w:t>
            </w:r>
          </w:p>
          <w:p w14:paraId="695F0B2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制热功率(W): 1230</w:t>
            </w:r>
          </w:p>
          <w:p w14:paraId="4DB68FC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是否电辅加热:是</w:t>
            </w:r>
          </w:p>
          <w:p w14:paraId="0EF2A88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电辅加热功率（W）:850</w:t>
            </w:r>
          </w:p>
          <w:p w14:paraId="6167515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内机噪音dB(A): 高风档41</w:t>
            </w:r>
          </w:p>
          <w:p w14:paraId="50322A8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外机噪音dB(A): 高风档50</w:t>
            </w:r>
          </w:p>
          <w:p w14:paraId="76F1AEF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循环风量(m³/h):750</w:t>
            </w:r>
          </w:p>
          <w:p w14:paraId="4B185B3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电压/频率（V/Hz）:220V～/50Hz   支持上电自启功能 </w:t>
            </w:r>
          </w:p>
        </w:tc>
        <w:tc>
          <w:tcPr>
            <w:tcW w:w="659" w:type="dxa"/>
            <w:shd w:val="clear" w:color="auto" w:fill="auto"/>
            <w:vAlign w:val="center"/>
          </w:tcPr>
          <w:p w14:paraId="67532E3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05" w:type="dxa"/>
            <w:shd w:val="clear" w:color="auto" w:fill="auto"/>
            <w:vAlign w:val="center"/>
          </w:tcPr>
          <w:p w14:paraId="68753E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12" w:type="dxa"/>
            <w:shd w:val="clear" w:color="auto" w:fill="auto"/>
            <w:vAlign w:val="center"/>
          </w:tcPr>
          <w:p w14:paraId="27CE9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5000 </w:t>
            </w:r>
          </w:p>
        </w:tc>
        <w:tc>
          <w:tcPr>
            <w:tcW w:w="1124" w:type="dxa"/>
            <w:shd w:val="clear" w:color="auto" w:fill="auto"/>
            <w:vAlign w:val="center"/>
          </w:tcPr>
          <w:p w14:paraId="178151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15000 </w:t>
            </w:r>
          </w:p>
        </w:tc>
      </w:tr>
      <w:tr w14:paraId="1CFE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40" w:type="dxa"/>
            <w:vAlign w:val="center"/>
          </w:tcPr>
          <w:p w14:paraId="63C720B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860" w:type="dxa"/>
            <w:shd w:val="clear" w:color="auto" w:fill="auto"/>
            <w:vAlign w:val="center"/>
          </w:tcPr>
          <w:p w14:paraId="0B33D5F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屏体安装调试</w:t>
            </w:r>
          </w:p>
        </w:tc>
        <w:tc>
          <w:tcPr>
            <w:tcW w:w="5795" w:type="dxa"/>
            <w:shd w:val="clear" w:color="auto" w:fill="auto"/>
            <w:vAlign w:val="center"/>
          </w:tcPr>
          <w:p w14:paraId="77B299A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1、钢结构制作安装，含货物运输；</w:t>
            </w:r>
          </w:p>
          <w:p w14:paraId="72049A3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2、固定安装，按照国家钢结构设计规范，满足屏体安全承载需求定制；</w:t>
            </w:r>
          </w:p>
          <w:p w14:paraId="2CBFDBB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3、安装结构能满足LED高清显示屏的整体均匀平滑要求，结构便于安装和调试；支架颜色、质感、支撑结构同室内整体装修风格一致；</w:t>
            </w:r>
          </w:p>
          <w:p w14:paraId="30E2FEE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4、地面考虑承重；</w:t>
            </w:r>
          </w:p>
          <w:p w14:paraId="4A14622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5、不锈钢或同级别材质包边；</w:t>
            </w:r>
          </w:p>
          <w:p w14:paraId="29C1316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6、包含LED显示屏屏内综合布线施工；</w:t>
            </w:r>
          </w:p>
          <w:p w14:paraId="4A7245A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7、安装调试含维保；</w:t>
            </w:r>
          </w:p>
          <w:p w14:paraId="7E6C53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8、包含LED显示屏屏体，控制器，配电柜等设备和相关配套部件和线材的安装和部署；</w:t>
            </w:r>
          </w:p>
          <w:p w14:paraId="29DFD50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9、显示屏安装后表面平整度满足使用标准，表面平滑，过度自然；</w:t>
            </w:r>
          </w:p>
          <w:p w14:paraId="4A05ED5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10、整屏安装完成后，对屏幕效果综合调试，使屏幕颜色、画质、亮度、灰度和刷新等符合日常使用；</w:t>
            </w:r>
          </w:p>
          <w:p w14:paraId="2824D95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11、安装完成后，提供显示屏使用培训服务；</w:t>
            </w:r>
          </w:p>
          <w:p w14:paraId="10E10B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12、包含屏体-控制器网线，屏体-配电柜电缆线敷设。</w:t>
            </w:r>
          </w:p>
        </w:tc>
        <w:tc>
          <w:tcPr>
            <w:tcW w:w="659" w:type="dxa"/>
            <w:shd w:val="clear" w:color="auto" w:fill="auto"/>
            <w:vAlign w:val="center"/>
          </w:tcPr>
          <w:p w14:paraId="06843B4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60.3136</w:t>
            </w:r>
          </w:p>
        </w:tc>
        <w:tc>
          <w:tcPr>
            <w:tcW w:w="705" w:type="dxa"/>
            <w:shd w:val="clear" w:color="auto" w:fill="auto"/>
            <w:vAlign w:val="center"/>
          </w:tcPr>
          <w:p w14:paraId="02708D6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平方米</w:t>
            </w:r>
          </w:p>
        </w:tc>
        <w:tc>
          <w:tcPr>
            <w:tcW w:w="912" w:type="dxa"/>
            <w:shd w:val="clear" w:color="auto" w:fill="auto"/>
            <w:vAlign w:val="center"/>
          </w:tcPr>
          <w:p w14:paraId="4E315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2059 </w:t>
            </w:r>
          </w:p>
        </w:tc>
        <w:tc>
          <w:tcPr>
            <w:tcW w:w="1124" w:type="dxa"/>
            <w:shd w:val="clear" w:color="auto" w:fill="auto"/>
            <w:vAlign w:val="center"/>
          </w:tcPr>
          <w:p w14:paraId="359C769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124185.7</w:t>
            </w:r>
          </w:p>
        </w:tc>
      </w:tr>
      <w:tr w14:paraId="5F0B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0" w:type="dxa"/>
            <w:gridSpan w:val="2"/>
            <w:vAlign w:val="center"/>
          </w:tcPr>
          <w:p w14:paraId="280C25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合计人民币</w:t>
            </w:r>
          </w:p>
        </w:tc>
        <w:tc>
          <w:tcPr>
            <w:tcW w:w="7159" w:type="dxa"/>
            <w:gridSpan w:val="3"/>
            <w:shd w:val="clear" w:color="auto" w:fill="auto"/>
            <w:vAlign w:val="center"/>
          </w:tcPr>
          <w:p w14:paraId="15B4459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大写：肆拾柒万伍仟元整</w:t>
            </w:r>
          </w:p>
        </w:tc>
        <w:tc>
          <w:tcPr>
            <w:tcW w:w="2036" w:type="dxa"/>
            <w:gridSpan w:val="2"/>
            <w:shd w:val="clear" w:color="auto" w:fill="auto"/>
            <w:vAlign w:val="center"/>
          </w:tcPr>
          <w:p w14:paraId="10440F0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475000</w:t>
            </w:r>
          </w:p>
        </w:tc>
      </w:tr>
      <w:tr w14:paraId="303E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595" w:type="dxa"/>
            <w:gridSpan w:val="7"/>
            <w:shd w:val="clear" w:color="auto" w:fill="auto"/>
            <w:vAlign w:val="center"/>
          </w:tcPr>
          <w:p w14:paraId="2DB0D84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商务要求</w:t>
            </w:r>
          </w:p>
        </w:tc>
      </w:tr>
      <w:tr w14:paraId="2A95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gridSpan w:val="2"/>
            <w:shd w:val="clear" w:color="auto" w:fill="auto"/>
            <w:vAlign w:val="center"/>
          </w:tcPr>
          <w:p w14:paraId="0AEF68F9">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商务响应要求</w:t>
            </w:r>
          </w:p>
        </w:tc>
        <w:tc>
          <w:tcPr>
            <w:tcW w:w="9195" w:type="dxa"/>
            <w:gridSpan w:val="5"/>
            <w:shd w:val="clear" w:color="auto" w:fill="auto"/>
            <w:vAlign w:val="center"/>
          </w:tcPr>
          <w:p w14:paraId="4727D3C2">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1、本项目采购需求</w:t>
            </w:r>
            <w:r>
              <w:rPr>
                <w:rFonts w:hint="eastAsia" w:ascii="宋体" w:hAnsi="宋体" w:eastAsia="宋体" w:cs="宋体"/>
                <w:b w:val="0"/>
                <w:bCs w:val="0"/>
                <w:kern w:val="0"/>
                <w:sz w:val="21"/>
                <w:szCs w:val="21"/>
                <w:highlight w:val="none"/>
                <w:lang w:val="en-US" w:eastAsia="zh-CN"/>
              </w:rPr>
              <w:t>均</w:t>
            </w:r>
            <w:r>
              <w:rPr>
                <w:rFonts w:hint="eastAsia" w:ascii="宋体" w:hAnsi="宋体" w:eastAsia="宋体" w:cs="宋体"/>
                <w:b w:val="0"/>
                <w:bCs w:val="0"/>
                <w:kern w:val="0"/>
                <w:sz w:val="21"/>
                <w:szCs w:val="21"/>
                <w:highlight w:val="none"/>
              </w:rPr>
              <w:t>为实质性要求，</w:t>
            </w:r>
            <w:r>
              <w:rPr>
                <w:rFonts w:hint="eastAsia" w:ascii="宋体" w:hAnsi="宋体" w:eastAsia="宋体" w:cs="宋体"/>
                <w:b w:val="0"/>
                <w:bCs w:val="0"/>
                <w:kern w:val="0"/>
                <w:sz w:val="21"/>
                <w:szCs w:val="21"/>
                <w:highlight w:val="none"/>
                <w:lang w:val="en-US" w:eastAsia="zh-CN"/>
              </w:rPr>
              <w:t>若有任意一项负偏离或不满足</w:t>
            </w:r>
            <w:r>
              <w:rPr>
                <w:rFonts w:hint="eastAsia" w:ascii="宋体" w:hAnsi="宋体" w:eastAsia="宋体" w:cs="宋体"/>
                <w:b w:val="0"/>
                <w:bCs w:val="0"/>
                <w:kern w:val="0"/>
                <w:sz w:val="21"/>
                <w:szCs w:val="21"/>
                <w:highlight w:val="none"/>
              </w:rPr>
              <w:t>，视为无效报价，其</w:t>
            </w:r>
            <w:r>
              <w:rPr>
                <w:rFonts w:hint="eastAsia" w:ascii="宋体" w:hAnsi="宋体" w:eastAsia="宋体" w:cs="宋体"/>
                <w:b w:val="0"/>
                <w:bCs w:val="0"/>
                <w:kern w:val="0"/>
                <w:sz w:val="21"/>
                <w:szCs w:val="21"/>
                <w:highlight w:val="none"/>
                <w:lang w:eastAsia="zh-CN"/>
              </w:rPr>
              <w:t>报价</w:t>
            </w:r>
            <w:r>
              <w:rPr>
                <w:rFonts w:hint="eastAsia" w:ascii="宋体" w:hAnsi="宋体" w:eastAsia="宋体" w:cs="宋体"/>
                <w:b w:val="0"/>
                <w:bCs w:val="0"/>
                <w:kern w:val="0"/>
                <w:sz w:val="21"/>
                <w:szCs w:val="21"/>
                <w:highlight w:val="none"/>
              </w:rPr>
              <w:t>无效。</w:t>
            </w:r>
          </w:p>
          <w:p w14:paraId="7D44CD45">
            <w:pPr>
              <w:pStyle w:val="2"/>
              <w:keepNext w:val="0"/>
              <w:keepLines w:val="0"/>
              <w:pageBreakBefore w:val="0"/>
              <w:kinsoku/>
              <w:wordWrap/>
              <w:overflowPunct/>
              <w:topLinePunct w:val="0"/>
              <w:autoSpaceDE/>
              <w:autoSpaceDN/>
              <w:bidi w:val="0"/>
              <w:adjustRightInd/>
              <w:snapToGrid/>
              <w:spacing w:line="288" w:lineRule="auto"/>
              <w:jc w:val="left"/>
              <w:rPr>
                <w:rFonts w:hint="default" w:eastAsia="宋体"/>
                <w:highlight w:val="none"/>
                <w:lang w:val="en-US" w:eastAsia="zh-CN"/>
              </w:rPr>
            </w:pPr>
            <w:r>
              <w:rPr>
                <w:rFonts w:hint="eastAsia" w:ascii="宋体" w:hAnsi="宋体" w:cs="宋体"/>
                <w:b w:val="0"/>
                <w:bCs w:val="0"/>
                <w:kern w:val="0"/>
                <w:sz w:val="21"/>
                <w:szCs w:val="21"/>
                <w:highlight w:val="none"/>
                <w:lang w:val="en-US" w:eastAsia="zh-CN"/>
              </w:rPr>
              <w:t>2、上传采购需求文件中要求提供的检测检验报告等要求必须提供的证明材料，</w:t>
            </w:r>
            <w:r>
              <w:rPr>
                <w:rFonts w:hint="eastAsia" w:ascii="宋体" w:hAnsi="宋体" w:eastAsia="宋体" w:cs="宋体"/>
                <w:b w:val="0"/>
                <w:bCs/>
                <w:sz w:val="21"/>
                <w:szCs w:val="21"/>
                <w:highlight w:val="none"/>
                <w:lang w:val="en-US" w:eastAsia="zh-CN"/>
              </w:rPr>
              <w:t>否则视为无效响应。</w:t>
            </w:r>
          </w:p>
          <w:p w14:paraId="0C98A03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kern w:val="0"/>
                <w:sz w:val="21"/>
                <w:szCs w:val="21"/>
                <w:highlight w:val="none"/>
                <w:lang w:val="en-US" w:eastAsia="zh-CN"/>
              </w:rPr>
              <w:t>3、为确保货物正品来源及服务质量，成交供应商在签订合同时必须提供</w:t>
            </w:r>
            <w:r>
              <w:rPr>
                <w:rFonts w:hint="default" w:ascii="宋体" w:hAnsi="宋体" w:eastAsia="宋体" w:cs="宋体"/>
                <w:b w:val="0"/>
                <w:bCs w:val="0"/>
                <w:kern w:val="0"/>
                <w:sz w:val="21"/>
                <w:szCs w:val="21"/>
                <w:highlight w:val="none"/>
                <w:lang w:val="en-US" w:eastAsia="zh-CN"/>
              </w:rPr>
              <w:t>LED</w:t>
            </w:r>
            <w:r>
              <w:rPr>
                <w:rFonts w:hint="eastAsia" w:ascii="宋体" w:hAnsi="宋体" w:eastAsia="宋体" w:cs="宋体"/>
                <w:b w:val="0"/>
                <w:bCs w:val="0"/>
                <w:kern w:val="0"/>
                <w:sz w:val="21"/>
                <w:szCs w:val="21"/>
                <w:highlight w:val="none"/>
                <w:lang w:val="en-US" w:eastAsia="zh-CN"/>
              </w:rPr>
              <w:t>显示屏、分体式教学终端厂家针对此项目的原厂授权书原件、售后服务承诺函原件并加盖生产厂家公章，如不能提供，视为“虚假竞标”，将上报财政监管部门按有关规定处理。</w:t>
            </w:r>
          </w:p>
        </w:tc>
      </w:tr>
      <w:tr w14:paraId="2D77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gridSpan w:val="2"/>
            <w:shd w:val="clear" w:color="auto" w:fill="auto"/>
            <w:vAlign w:val="center"/>
          </w:tcPr>
          <w:p w14:paraId="13DB8E81">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color w:val="auto"/>
                <w:kern w:val="0"/>
                <w:szCs w:val="21"/>
                <w:highlight w:val="none"/>
              </w:rPr>
              <w:t>售后服务要求</w:t>
            </w:r>
          </w:p>
        </w:tc>
        <w:tc>
          <w:tcPr>
            <w:tcW w:w="9195" w:type="dxa"/>
            <w:gridSpan w:val="5"/>
            <w:shd w:val="clear" w:color="auto" w:fill="auto"/>
            <w:vAlign w:val="center"/>
          </w:tcPr>
          <w:p w14:paraId="0E2BC75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一、合同签订：</w:t>
            </w:r>
            <w:r>
              <w:rPr>
                <w:rFonts w:hint="eastAsia" w:ascii="宋体" w:hAnsi="宋体" w:eastAsia="宋体" w:cs="宋体"/>
                <w:b w:val="0"/>
                <w:bCs w:val="0"/>
                <w:kern w:val="0"/>
                <w:sz w:val="21"/>
                <w:szCs w:val="21"/>
                <w:highlight w:val="none"/>
                <w:lang w:val="en-US" w:eastAsia="zh-CN"/>
              </w:rPr>
              <w:t>自</w:t>
            </w:r>
            <w:r>
              <w:rPr>
                <w:rFonts w:hint="eastAsia" w:ascii="宋体" w:hAnsi="宋体" w:eastAsia="宋体" w:cs="宋体"/>
                <w:b w:val="0"/>
                <w:bCs w:val="0"/>
                <w:kern w:val="0"/>
                <w:sz w:val="21"/>
                <w:szCs w:val="21"/>
                <w:highlight w:val="none"/>
              </w:rPr>
              <w:t>成交公告</w:t>
            </w:r>
            <w:r>
              <w:rPr>
                <w:rFonts w:hint="eastAsia" w:ascii="宋体" w:hAnsi="宋体" w:eastAsia="宋体" w:cs="宋体"/>
                <w:b w:val="0"/>
                <w:bCs w:val="0"/>
                <w:kern w:val="0"/>
                <w:sz w:val="21"/>
                <w:szCs w:val="21"/>
                <w:highlight w:val="none"/>
                <w:lang w:val="en-US" w:eastAsia="zh-CN"/>
              </w:rPr>
              <w:t>发出之日起</w:t>
            </w:r>
            <w:r>
              <w:rPr>
                <w:rFonts w:hint="eastAsia" w:ascii="宋体" w:hAnsi="宋体" w:eastAsia="宋体" w:cs="宋体"/>
                <w:b w:val="0"/>
                <w:bCs w:val="0"/>
                <w:kern w:val="0"/>
                <w:sz w:val="21"/>
                <w:szCs w:val="21"/>
                <w:highlight w:val="none"/>
              </w:rPr>
              <w:t>3日内签订合同</w:t>
            </w:r>
            <w:r>
              <w:rPr>
                <w:rFonts w:hint="eastAsia" w:ascii="宋体" w:hAnsi="宋体" w:eastAsia="宋体" w:cs="宋体"/>
                <w:b w:val="0"/>
                <w:bCs w:val="0"/>
                <w:kern w:val="0"/>
                <w:sz w:val="21"/>
                <w:szCs w:val="21"/>
                <w:highlight w:val="none"/>
                <w:lang w:eastAsia="zh-CN"/>
              </w:rPr>
              <w:t>。</w:t>
            </w:r>
          </w:p>
          <w:p w14:paraId="759541F3">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二、</w:t>
            </w:r>
            <w:r>
              <w:rPr>
                <w:rFonts w:hint="eastAsia" w:ascii="宋体" w:hAnsi="宋体" w:eastAsia="宋体" w:cs="宋体"/>
                <w:b w:val="0"/>
                <w:bCs w:val="0"/>
                <w:kern w:val="0"/>
                <w:sz w:val="21"/>
                <w:szCs w:val="21"/>
                <w:highlight w:val="none"/>
              </w:rPr>
              <w:t>交付使用期</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自签订合同之日起</w:t>
            </w:r>
            <w:r>
              <w:rPr>
                <w:rFonts w:hint="eastAsia" w:ascii="宋体" w:hAnsi="宋体" w:eastAsia="宋体" w:cs="宋体"/>
                <w:b w:val="0"/>
                <w:bCs w:val="0"/>
                <w:kern w:val="0"/>
                <w:sz w:val="21"/>
                <w:szCs w:val="21"/>
                <w:highlight w:val="none"/>
                <w:lang w:val="en-US" w:eastAsia="zh-CN"/>
              </w:rPr>
              <w:t>20</w:t>
            </w:r>
            <w:r>
              <w:rPr>
                <w:rFonts w:hint="eastAsia" w:ascii="宋体" w:hAnsi="宋体" w:eastAsia="宋体" w:cs="宋体"/>
                <w:b w:val="0"/>
                <w:bCs w:val="0"/>
                <w:kern w:val="0"/>
                <w:sz w:val="21"/>
                <w:szCs w:val="21"/>
                <w:highlight w:val="none"/>
              </w:rPr>
              <w:t>个日历日内到货并全部安装调试完毕。</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lang w:val="en-US" w:eastAsia="zh-CN"/>
              </w:rPr>
              <w:t>三、</w:t>
            </w:r>
            <w:r>
              <w:rPr>
                <w:rFonts w:hint="eastAsia" w:ascii="宋体" w:hAnsi="宋体" w:eastAsia="宋体" w:cs="宋体"/>
                <w:b w:val="0"/>
                <w:bCs w:val="0"/>
                <w:kern w:val="0"/>
                <w:sz w:val="21"/>
                <w:szCs w:val="21"/>
                <w:highlight w:val="none"/>
              </w:rPr>
              <w:t>交货地点：采购人指定地点。</w:t>
            </w:r>
          </w:p>
          <w:p w14:paraId="00BD3770">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四、售后服务内容：</w:t>
            </w:r>
          </w:p>
          <w:p w14:paraId="50FCA143">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1、按国家有关产品“三包”规定执行“三包”,免费保修期不少于一年，(免费保修期自验收合格之日起计算)提供免费上门保修服务。</w:t>
            </w:r>
          </w:p>
          <w:p w14:paraId="059A0B1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kern w:val="0"/>
                <w:sz w:val="21"/>
                <w:szCs w:val="21"/>
                <w:highlight w:val="none"/>
                <w:lang w:val="en-US" w:eastAsia="zh-CN"/>
              </w:rPr>
              <w:t>2、对于故障处理，要求中标人在质保期内提供7*24小时提供免费提供维护服务。接到故障通知后中标供应商应在30分钟内电话服务应答，1个小时内现场维护响应，4小时内提供解决方案，24小时未解决故障的，要求提供性能不低于所供产品的备机。考虑到售后服务方便，成交供应商成交后须在桂林市设有售后服务点或办事处，以便能及时提供本地化服务。</w:t>
            </w:r>
          </w:p>
        </w:tc>
      </w:tr>
      <w:tr w14:paraId="296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gridSpan w:val="2"/>
            <w:shd w:val="clear" w:color="auto" w:fill="auto"/>
            <w:vAlign w:val="center"/>
          </w:tcPr>
          <w:p w14:paraId="4A951FFC">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bCs/>
                <w:kern w:val="0"/>
                <w:sz w:val="21"/>
                <w:szCs w:val="21"/>
                <w:highlight w:val="none"/>
              </w:rPr>
              <w:t>验收要求</w:t>
            </w:r>
          </w:p>
        </w:tc>
        <w:tc>
          <w:tcPr>
            <w:tcW w:w="9195" w:type="dxa"/>
            <w:gridSpan w:val="5"/>
            <w:shd w:val="clear" w:color="auto" w:fill="auto"/>
            <w:vAlign w:val="center"/>
          </w:tcPr>
          <w:p w14:paraId="1E2C6A5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初步验收：货物运抵采购人指定地点后，采购人对成交供应商提交的货物依据本合同及在线询价文件上的技术规格要求和国家有关质量标准进行现场初步验收，外观、说明书符合在线询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10日内予以补救，所产生的费用及法律后果由成交供应商承担。</w:t>
            </w:r>
          </w:p>
          <w:p w14:paraId="7DABB29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kern w:val="0"/>
                <w:sz w:val="21"/>
                <w:szCs w:val="21"/>
                <w:highlight w:val="none"/>
                <w:lang w:val="en-US" w:eastAsia="zh-CN"/>
              </w:rPr>
              <w:t>2、最终验收：货物经安装完成且符合技术要求后，采购人进行最终验收。验收时成交供应商必须在现场。货物符合合同约定的技术规范要求和验收标准的，采购人签署验收合格证明。如货物不符合合同约定要求的，成交供应商应当在10日内采取措施消除缺陷后重新申请终验，并承担由此产生的费用。</w:t>
            </w:r>
          </w:p>
        </w:tc>
      </w:tr>
      <w:tr w14:paraId="42C0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gridSpan w:val="2"/>
            <w:shd w:val="clear" w:color="auto" w:fill="auto"/>
            <w:vAlign w:val="center"/>
          </w:tcPr>
          <w:p w14:paraId="224A3FBC">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付款方式</w:t>
            </w:r>
          </w:p>
        </w:tc>
        <w:tc>
          <w:tcPr>
            <w:tcW w:w="9195" w:type="dxa"/>
            <w:gridSpan w:val="5"/>
            <w:shd w:val="clear" w:color="auto" w:fill="auto"/>
            <w:vAlign w:val="center"/>
          </w:tcPr>
          <w:p w14:paraId="6E0114C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kern w:val="0"/>
                <w:sz w:val="21"/>
                <w:szCs w:val="21"/>
                <w:highlight w:val="none"/>
                <w:lang w:val="en-US" w:eastAsia="zh-CN"/>
              </w:rPr>
              <w:t>货物验收完成后30个工作日内付清全部货款。</w:t>
            </w:r>
          </w:p>
        </w:tc>
      </w:tr>
      <w:tr w14:paraId="22E4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gridSpan w:val="2"/>
            <w:shd w:val="clear" w:color="auto" w:fill="auto"/>
            <w:vAlign w:val="center"/>
          </w:tcPr>
          <w:p w14:paraId="46E8544B">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其他要求</w:t>
            </w:r>
          </w:p>
        </w:tc>
        <w:tc>
          <w:tcPr>
            <w:tcW w:w="9195" w:type="dxa"/>
            <w:gridSpan w:val="5"/>
            <w:shd w:val="clear" w:color="auto" w:fill="auto"/>
            <w:vAlign w:val="center"/>
          </w:tcPr>
          <w:p w14:paraId="78F18F9D">
            <w:pPr>
              <w:pStyle w:val="2"/>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b w:val="0"/>
                <w:bCs w:val="0"/>
                <w:kern w:val="0"/>
                <w:sz w:val="21"/>
                <w:szCs w:val="21"/>
                <w:highlight w:val="none"/>
              </w:rPr>
            </w:pPr>
            <w:r>
              <w:rPr>
                <w:rFonts w:hint="eastAsia" w:ascii="宋体" w:hAnsi="宋体"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rPr>
              <w:t>本项目报价包含采购范围内货物、货物标准附件、备品配件、专用工具、包装、运输</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装卸、保险、税金、货到就位和安装、调试、培训、保修等费用的总和。</w:t>
            </w:r>
          </w:p>
          <w:p w14:paraId="54464BAD">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2、本项目货物不接受进口产品（即通过中国海关报关验放进入中国境内且产自关境外的产品）参与竞价，如有此类产品参与竞价的作无效竞价处理。</w:t>
            </w:r>
          </w:p>
          <w:p w14:paraId="20CC8431">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对在“信用中国”网站、中国政府采购网被列入失信被执行人、重大税收违法案件当事人名单、政府采购严重违法失信行为记录名单及其他不符合《中华人民共和国政府采购法》第二十二条规定的供应商，不得参与投标报价。</w:t>
            </w:r>
          </w:p>
          <w:p w14:paraId="39266D6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val="0"/>
                <w:bCs w:val="0"/>
                <w:kern w:val="0"/>
                <w:sz w:val="21"/>
                <w:szCs w:val="21"/>
                <w:highlight w:val="none"/>
                <w:lang w:val="en-US" w:eastAsia="zh-CN"/>
              </w:rPr>
              <w:t>4、报价人应充分考虑供货成本及参数要求再进行报价，如报价人低价恶意竞价、且成交后无法按要求提供货物或者所供货物及资质要求无法满足参数要求的，采购人将按虚假竞标处理，并保留因耽误采购人使用时间造成的损失进行赔偿的权利，通过报备政府采购云平台及财政厅监管部门，并按规定对报价人公司予以处罚和进行网上通报处理，追究报价人的法律责任，由此引发的一切后果由报价人承担。</w:t>
            </w:r>
          </w:p>
        </w:tc>
      </w:tr>
    </w:tbl>
    <w:p w14:paraId="567C0BB5">
      <w:pPr>
        <w:rPr>
          <w:rFonts w:hint="eastAsia" w:ascii="宋体" w:hAnsi="宋体" w:cs="宋体"/>
          <w:b/>
          <w:bCs/>
          <w:sz w:val="28"/>
          <w:szCs w:val="36"/>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67E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B332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3B332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6E0E"/>
    <w:rsid w:val="0170246F"/>
    <w:rsid w:val="019F1004"/>
    <w:rsid w:val="0433224A"/>
    <w:rsid w:val="0504258A"/>
    <w:rsid w:val="05726C3F"/>
    <w:rsid w:val="0F976F59"/>
    <w:rsid w:val="11001986"/>
    <w:rsid w:val="12110198"/>
    <w:rsid w:val="12834636"/>
    <w:rsid w:val="143D55B7"/>
    <w:rsid w:val="14C76DFC"/>
    <w:rsid w:val="161E1AEC"/>
    <w:rsid w:val="1AE822A7"/>
    <w:rsid w:val="1CE02090"/>
    <w:rsid w:val="1D7B601D"/>
    <w:rsid w:val="22302F27"/>
    <w:rsid w:val="226211D5"/>
    <w:rsid w:val="280B73AA"/>
    <w:rsid w:val="2B5C5333"/>
    <w:rsid w:val="2C6425E2"/>
    <w:rsid w:val="2DFC2F3E"/>
    <w:rsid w:val="2E7C306A"/>
    <w:rsid w:val="2FC61A75"/>
    <w:rsid w:val="32016F71"/>
    <w:rsid w:val="35ED19A9"/>
    <w:rsid w:val="37556A20"/>
    <w:rsid w:val="396D7435"/>
    <w:rsid w:val="3B131370"/>
    <w:rsid w:val="3CD64F45"/>
    <w:rsid w:val="3E5527E2"/>
    <w:rsid w:val="41DB10C5"/>
    <w:rsid w:val="450F48DA"/>
    <w:rsid w:val="45970D32"/>
    <w:rsid w:val="470C4453"/>
    <w:rsid w:val="47141DF1"/>
    <w:rsid w:val="48BE0390"/>
    <w:rsid w:val="4C185D38"/>
    <w:rsid w:val="50F87728"/>
    <w:rsid w:val="51E1562D"/>
    <w:rsid w:val="520420FD"/>
    <w:rsid w:val="557A0360"/>
    <w:rsid w:val="56602D9E"/>
    <w:rsid w:val="58287E01"/>
    <w:rsid w:val="59F353CD"/>
    <w:rsid w:val="5B80134A"/>
    <w:rsid w:val="5BC24BC4"/>
    <w:rsid w:val="5D726F48"/>
    <w:rsid w:val="5D7C348F"/>
    <w:rsid w:val="5E104418"/>
    <w:rsid w:val="62723A5C"/>
    <w:rsid w:val="646B39F5"/>
    <w:rsid w:val="647D2E6D"/>
    <w:rsid w:val="6A5D6751"/>
    <w:rsid w:val="6B9977B6"/>
    <w:rsid w:val="6C8574C7"/>
    <w:rsid w:val="6D685E5A"/>
    <w:rsid w:val="6E51050D"/>
    <w:rsid w:val="6EBF574F"/>
    <w:rsid w:val="701B0230"/>
    <w:rsid w:val="71AA286D"/>
    <w:rsid w:val="72216C4D"/>
    <w:rsid w:val="72D8187A"/>
    <w:rsid w:val="749B3284"/>
    <w:rsid w:val="7B2E5D41"/>
    <w:rsid w:val="7C1D2862"/>
    <w:rsid w:val="7D345976"/>
    <w:rsid w:val="7E610A4C"/>
    <w:rsid w:val="7EE750D0"/>
    <w:rsid w:val="7FCB6C5B"/>
    <w:rsid w:val="FF3FA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keepNext/>
      <w:keepLines/>
      <w:spacing w:before="340" w:after="330" w:line="240" w:lineRule="auto"/>
      <w:outlineLvl w:val="0"/>
    </w:pPr>
    <w:rPr>
      <w:rFonts w:ascii="Tahoma" w:hAnsi="Tahoma" w:eastAsia="宋体"/>
      <w:b/>
      <w:bCs/>
      <w:kern w:val="44"/>
      <w:sz w:val="44"/>
      <w:szCs w:val="44"/>
    </w:rPr>
  </w:style>
  <w:style w:type="paragraph" w:styleId="2">
    <w:name w:val="heading 2"/>
    <w:basedOn w:val="1"/>
    <w:next w:val="1"/>
    <w:link w:val="14"/>
    <w:semiHidden/>
    <w:unhideWhenUsed/>
    <w:qFormat/>
    <w:uiPriority w:val="0"/>
    <w:pPr>
      <w:jc w:val="both"/>
      <w:outlineLvl w:val="1"/>
    </w:pPr>
    <w:rPr>
      <w:rFonts w:ascii="Cambria" w:hAnsi="Cambria" w:eastAsia="宋体" w:cs="Times New Roman"/>
      <w:b/>
      <w:sz w:val="32"/>
    </w:rPr>
  </w:style>
  <w:style w:type="paragraph" w:styleId="4">
    <w:name w:val="heading 3"/>
    <w:basedOn w:val="1"/>
    <w:next w:val="1"/>
    <w:link w:val="16"/>
    <w:semiHidden/>
    <w:unhideWhenUsed/>
    <w:qFormat/>
    <w:uiPriority w:val="0"/>
    <w:pPr>
      <w:keepNext/>
      <w:keepLines/>
      <w:spacing w:before="260" w:after="260" w:line="416" w:lineRule="auto"/>
      <w:outlineLvl w:val="2"/>
    </w:pPr>
    <w:rPr>
      <w:rFonts w:ascii="Times New Roman" w:hAnsi="Times New Roman" w:eastAsia="宋体"/>
      <w:b/>
      <w:bCs/>
      <w:sz w:val="24"/>
      <w:szCs w:val="32"/>
    </w:rPr>
  </w:style>
  <w:style w:type="paragraph" w:styleId="5">
    <w:name w:val="heading 4"/>
    <w:basedOn w:val="1"/>
    <w:next w:val="1"/>
    <w:link w:val="17"/>
    <w:semiHidden/>
    <w:unhideWhenUsed/>
    <w:qFormat/>
    <w:uiPriority w:val="0"/>
    <w:pPr>
      <w:keepNext/>
      <w:spacing w:before="240" w:after="60"/>
      <w:outlineLvl w:val="3"/>
    </w:pPr>
    <w:rPr>
      <w:rFonts w:ascii="Times New Roman" w:hAnsi="Times New Roman" w:eastAsia="宋体"/>
      <w:b/>
      <w:bCs/>
      <w:sz w:val="24"/>
      <w:szCs w:val="28"/>
    </w:rPr>
  </w:style>
  <w:style w:type="paragraph" w:styleId="6">
    <w:name w:val="heading 5"/>
    <w:basedOn w:val="1"/>
    <w:next w:val="1"/>
    <w:semiHidden/>
    <w:unhideWhenUsed/>
    <w:qFormat/>
    <w:uiPriority w:val="0"/>
    <w:pPr>
      <w:keepNext/>
      <w:keepLines/>
      <w:spacing w:before="160" w:beforeLines="0" w:beforeAutospacing="0" w:after="170" w:afterLines="0" w:afterAutospacing="0" w:line="240" w:lineRule="auto"/>
      <w:outlineLvl w:val="4"/>
    </w:pPr>
    <w:rPr>
      <w:rFonts w:ascii="宋体" w:hAnsi="宋体" w:eastAsia="宋体" w:cs="宋体"/>
      <w:b/>
      <w:sz w:val="24"/>
      <w:szCs w:val="2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Plain Text"/>
    <w:basedOn w:val="1"/>
    <w:next w:val="7"/>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link w:val="2"/>
    <w:qFormat/>
    <w:uiPriority w:val="0"/>
    <w:rPr>
      <w:rFonts w:ascii="Cambria" w:hAnsi="Cambria" w:eastAsia="宋体" w:cs="Times New Roman"/>
      <w:b/>
      <w:sz w:val="30"/>
      <w:szCs w:val="22"/>
    </w:rPr>
  </w:style>
  <w:style w:type="character" w:customStyle="1" w:styleId="15">
    <w:name w:val="标题 1 字符"/>
    <w:link w:val="3"/>
    <w:qFormat/>
    <w:uiPriority w:val="9"/>
    <w:rPr>
      <w:rFonts w:ascii="Tahoma" w:hAnsi="Tahoma" w:eastAsia="宋体"/>
      <w:b/>
      <w:bCs/>
      <w:kern w:val="44"/>
      <w:sz w:val="44"/>
      <w:szCs w:val="44"/>
    </w:rPr>
  </w:style>
  <w:style w:type="character" w:customStyle="1" w:styleId="16">
    <w:name w:val="标题 3 字符"/>
    <w:link w:val="4"/>
    <w:qFormat/>
    <w:uiPriority w:val="0"/>
    <w:rPr>
      <w:rFonts w:ascii="Times New Roman" w:hAnsi="Times New Roman" w:eastAsia="宋体"/>
      <w:b/>
      <w:bCs/>
      <w:kern w:val="2"/>
      <w:sz w:val="24"/>
      <w:szCs w:val="32"/>
      <w:lang w:val="en-US" w:eastAsia="zh-CN" w:bidi="ar-SA"/>
    </w:rPr>
  </w:style>
  <w:style w:type="character" w:customStyle="1" w:styleId="17">
    <w:name w:val="标题 4 Char"/>
    <w:link w:val="5"/>
    <w:qFormat/>
    <w:uiPriority w:val="0"/>
    <w:rPr>
      <w:rFonts w:ascii="Times New Roman" w:hAnsi="Times New Roman" w:eastAsia="宋体"/>
      <w:b/>
      <w:bCs/>
      <w:sz w:val="24"/>
      <w:szCs w:val="28"/>
    </w:rPr>
  </w:style>
  <w:style w:type="paragraph" w:customStyle="1" w:styleId="1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5610</Words>
  <Characters>6647</Characters>
  <Lines>0</Lines>
  <Paragraphs>0</Paragraphs>
  <TotalTime>4</TotalTime>
  <ScaleCrop>false</ScaleCrop>
  <LinksUpToDate>false</LinksUpToDate>
  <CharactersWithSpaces>6724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2024-08-01T14:49:00Z</dcterms:created>
  <dc:creator>Administrator</dc:creator>
  <cp:lastModifiedBy>A-Lin ࿐遇见美 </cp:lastModifiedBy>
  <dcterms:modified xsi:type="dcterms:W3CDTF">2025-07-11T09:39:56Z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C1842E98FC9FC5AD64987068C7815B56_43</vt:lpwstr>
  </property>
  <property fmtid="{D5CDD505-2E9C-101B-9397-08002B2CF9AE}" pid="4" name="KSOTemplateDocerSaveRecord">
    <vt:lpwstr>eyJoZGlkIjoiZGYxMWU4NzkxMmYxODcyYTNjNWVkYWE1YjQyMmY3ZmUiLCJ1c2VySWQiOiIzNzgwMDAxOTYifQ==</vt:lpwstr>
  </property>
</Properties>
</file>