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EE83A">
      <w:pPr>
        <w:jc w:val="center"/>
        <w:rPr>
          <w:rFonts w:hint="eastAsia"/>
          <w:sz w:val="32"/>
          <w:szCs w:val="40"/>
          <w:lang w:eastAsia="zh-CN"/>
        </w:rPr>
      </w:pPr>
      <w:r>
        <w:rPr>
          <w:rFonts w:hint="eastAsia"/>
          <w:sz w:val="32"/>
          <w:szCs w:val="40"/>
          <w:lang w:eastAsia="zh-CN"/>
        </w:rPr>
        <w:t>铁架床和课桌椅在线询价</w:t>
      </w:r>
    </w:p>
    <w:p w14:paraId="08196F76">
      <w:pPr>
        <w:bidi w:val="0"/>
        <w:rPr>
          <w:rFonts w:hint="eastAsia" w:asciiTheme="minorHAnsi" w:hAnsiTheme="minorHAnsi" w:eastAsiaTheme="minorEastAsia" w:cstheme="minorBidi"/>
          <w:kern w:val="2"/>
          <w:sz w:val="21"/>
          <w:szCs w:val="24"/>
          <w:lang w:val="en-US" w:eastAsia="zh-CN" w:bidi="ar-SA"/>
        </w:rPr>
      </w:pPr>
    </w:p>
    <w:tbl>
      <w:tblPr>
        <w:tblStyle w:val="4"/>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533"/>
        <w:gridCol w:w="6217"/>
        <w:gridCol w:w="901"/>
        <w:gridCol w:w="702"/>
        <w:gridCol w:w="1113"/>
      </w:tblGrid>
      <w:tr w14:paraId="2AD1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4" w:type="dxa"/>
            <w:noWrap w:val="0"/>
            <w:vAlign w:val="center"/>
          </w:tcPr>
          <w:p w14:paraId="40544BBC">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533" w:type="dxa"/>
            <w:noWrap w:val="0"/>
            <w:vAlign w:val="center"/>
          </w:tcPr>
          <w:p w14:paraId="50510B44">
            <w:pPr>
              <w:widowControl/>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名称</w:t>
            </w:r>
          </w:p>
        </w:tc>
        <w:tc>
          <w:tcPr>
            <w:tcW w:w="6217" w:type="dxa"/>
            <w:noWrap w:val="0"/>
            <w:vAlign w:val="center"/>
          </w:tcPr>
          <w:p w14:paraId="24630C25">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参考品牌、型号或技术参数</w:t>
            </w:r>
          </w:p>
        </w:tc>
        <w:tc>
          <w:tcPr>
            <w:tcW w:w="901" w:type="dxa"/>
            <w:noWrap w:val="0"/>
            <w:vAlign w:val="center"/>
          </w:tcPr>
          <w:p w14:paraId="4AE752FC">
            <w:pPr>
              <w:widowControl/>
              <w:jc w:val="center"/>
              <w:rPr>
                <w:rFonts w:hint="eastAsia" w:asciiTheme="minorEastAsia" w:hAnsiTheme="minorEastAsia" w:eastAsiaTheme="minorEastAsia" w:cstheme="minorEastAsia"/>
                <w:b/>
                <w:bCs/>
                <w:color w:val="000000"/>
                <w:kern w:val="0"/>
                <w:sz w:val="24"/>
                <w:szCs w:val="24"/>
                <w:lang w:eastAsia="zh-CN"/>
              </w:rPr>
            </w:pPr>
            <w:r>
              <w:rPr>
                <w:rFonts w:hint="eastAsia" w:asciiTheme="minorEastAsia" w:hAnsiTheme="minorEastAsia" w:eastAsiaTheme="minorEastAsia" w:cstheme="minorEastAsia"/>
                <w:b/>
                <w:bCs/>
                <w:color w:val="000000"/>
                <w:kern w:val="0"/>
                <w:sz w:val="24"/>
                <w:szCs w:val="24"/>
              </w:rPr>
              <w:t>数量</w:t>
            </w:r>
            <w:r>
              <w:rPr>
                <w:rFonts w:hint="eastAsia" w:asciiTheme="minorEastAsia" w:hAnsiTheme="minorEastAsia" w:eastAsiaTheme="minorEastAsia" w:cstheme="minorEastAsia"/>
                <w:b/>
                <w:bCs/>
                <w:color w:val="000000"/>
                <w:kern w:val="0"/>
                <w:sz w:val="24"/>
                <w:szCs w:val="24"/>
                <w:lang w:eastAsia="zh-CN"/>
              </w:rPr>
              <w:t>（套）</w:t>
            </w:r>
          </w:p>
        </w:tc>
        <w:tc>
          <w:tcPr>
            <w:tcW w:w="702" w:type="dxa"/>
            <w:noWrap w:val="0"/>
            <w:vAlign w:val="center"/>
          </w:tcPr>
          <w:p w14:paraId="0925D0C7">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单价</w:t>
            </w:r>
          </w:p>
        </w:tc>
        <w:tc>
          <w:tcPr>
            <w:tcW w:w="1113" w:type="dxa"/>
            <w:noWrap w:val="0"/>
            <w:vAlign w:val="center"/>
          </w:tcPr>
          <w:p w14:paraId="26B81969">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金额（元）</w:t>
            </w:r>
          </w:p>
        </w:tc>
      </w:tr>
      <w:tr w14:paraId="6322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34" w:type="dxa"/>
            <w:shd w:val="clear" w:color="auto" w:fill="auto"/>
            <w:noWrap w:val="0"/>
            <w:vAlign w:val="center"/>
          </w:tcPr>
          <w:p w14:paraId="30A35F53">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533" w:type="dxa"/>
            <w:shd w:val="clear" w:color="auto" w:fill="auto"/>
            <w:noWrap w:val="0"/>
            <w:vAlign w:val="center"/>
          </w:tcPr>
          <w:p w14:paraId="18A8B406">
            <w:pPr>
              <w:bidi w:val="0"/>
              <w:jc w:val="center"/>
              <w:rPr>
                <w:rFonts w:hint="eastAsia" w:asciiTheme="minorEastAsia" w:hAnsiTheme="minorEastAsia" w:eastAsiaTheme="minorEastAsia" w:cstheme="minorEastAsia"/>
                <w:color w:val="000000"/>
                <w:szCs w:val="24"/>
                <w:lang w:eastAsia="zh-CN"/>
              </w:rPr>
            </w:pPr>
            <w:r>
              <w:rPr>
                <w:rFonts w:hint="eastAsia"/>
                <w:lang w:eastAsia="zh-CN"/>
              </w:rPr>
              <w:t>双层床</w:t>
            </w:r>
          </w:p>
        </w:tc>
        <w:tc>
          <w:tcPr>
            <w:tcW w:w="6217" w:type="dxa"/>
            <w:shd w:val="clear" w:color="auto" w:fill="auto"/>
            <w:noWrap w:val="0"/>
            <w:vAlign w:val="center"/>
          </w:tcPr>
          <w:p w14:paraId="04BD66ED">
            <w:pPr>
              <w:bidi w:val="0"/>
              <w:rPr>
                <w:rFonts w:hint="eastAsia" w:eastAsiaTheme="minorEastAsia"/>
                <w:lang w:val="en-US" w:eastAsia="zh-CN"/>
              </w:rPr>
            </w:pPr>
            <w:r>
              <w:rPr>
                <w:rFonts w:hint="eastAsia"/>
              </w:rPr>
              <w:t>1.</w:t>
            </w:r>
            <w:r>
              <w:rPr>
                <w:rFonts w:hint="eastAsia"/>
                <w:lang w:eastAsia="zh-CN"/>
              </w:rPr>
              <w:t>双层床</w:t>
            </w:r>
            <w:r>
              <w:rPr>
                <w:rFonts w:hint="eastAsia"/>
              </w:rPr>
              <w:t>规格（㎜）：长 </w:t>
            </w:r>
            <w:r>
              <w:rPr>
                <w:rFonts w:hint="eastAsia"/>
                <w:lang w:val="en-US" w:eastAsia="zh-CN"/>
              </w:rPr>
              <w:t>200</w:t>
            </w:r>
            <w:r>
              <w:rPr>
                <w:rFonts w:hint="eastAsia"/>
              </w:rPr>
              <w:t>0× 宽900 ×高</w:t>
            </w:r>
            <w:r>
              <w:rPr>
                <w:rFonts w:hint="eastAsia"/>
                <w:lang w:val="en-US" w:eastAsia="zh-CN"/>
              </w:rPr>
              <w:t>18</w:t>
            </w:r>
            <w:r>
              <w:rPr>
                <w:rFonts w:hint="eastAsia"/>
              </w:rPr>
              <w:t>00</w:t>
            </w:r>
            <w:r>
              <w:rPr>
                <w:rFonts w:hint="eastAsia"/>
                <w:lang w:val="en-US" w:eastAsia="zh-CN"/>
              </w:rPr>
              <w:t>mm</w:t>
            </w:r>
            <w:r>
              <w:rPr>
                <w:rFonts w:hint="eastAsia"/>
              </w:rPr>
              <w:t>；</w:t>
            </w:r>
            <w:r>
              <w:rPr>
                <w:rFonts w:hint="eastAsia"/>
                <w:color w:val="auto"/>
                <w:highlight w:val="none"/>
              </w:rPr>
              <w:t>（</w:t>
            </w:r>
            <w:r>
              <w:rPr>
                <w:rFonts w:hint="eastAsia"/>
                <w:color w:val="auto"/>
                <w:highlight w:val="none"/>
                <w:lang w:eastAsia="zh-CN"/>
              </w:rPr>
              <w:t>以上尺寸允许偏差</w:t>
            </w:r>
            <w:r>
              <w:rPr>
                <w:rFonts w:hint="eastAsia"/>
                <w:color w:val="auto"/>
                <w:highlight w:val="none"/>
              </w:rPr>
              <w:t>±5mm）</w:t>
            </w:r>
            <w:r>
              <w:rPr>
                <w:rFonts w:hint="eastAsia"/>
              </w:rPr>
              <w:br w:type="textWrapping"/>
            </w:r>
            <w:r>
              <w:rPr>
                <w:rFonts w:hint="eastAsia"/>
              </w:rPr>
              <w:t>（</w:t>
            </w:r>
            <w:r>
              <w:rPr>
                <w:rFonts w:hint="eastAsia"/>
                <w:lang w:val="en-US" w:eastAsia="zh-CN"/>
              </w:rPr>
              <w:t>一</w:t>
            </w:r>
            <w:r>
              <w:rPr>
                <w:rFonts w:hint="eastAsia"/>
              </w:rPr>
              <w:t>）工艺技术、试验方法、检验程序、检验规则应符合GB/T 3325-2017《金属家具通用技术条件》的标准。</w:t>
            </w:r>
            <w:r>
              <w:rPr>
                <w:rFonts w:hint="eastAsia"/>
                <w:lang w:val="en-US" w:eastAsia="zh-CN"/>
              </w:rPr>
              <w:t xml:space="preserve"> </w:t>
            </w:r>
          </w:p>
          <w:p w14:paraId="5CD729C7">
            <w:pPr>
              <w:bidi w:val="0"/>
              <w:rPr>
                <w:rFonts w:hint="eastAsia"/>
              </w:rPr>
            </w:pPr>
            <w:r>
              <w:rPr>
                <w:rFonts w:hint="eastAsia"/>
              </w:rPr>
              <w:t>（</w:t>
            </w:r>
            <w:r>
              <w:rPr>
                <w:rFonts w:hint="eastAsia"/>
                <w:lang w:val="en-US" w:eastAsia="zh-CN"/>
              </w:rPr>
              <w:t>二</w:t>
            </w:r>
            <w:r>
              <w:rPr>
                <w:rFonts w:hint="eastAsia"/>
              </w:rPr>
              <w:t>）材料及材质等相关要求：</w:t>
            </w:r>
          </w:p>
          <w:p w14:paraId="330EB692">
            <w:pPr>
              <w:bidi w:val="0"/>
              <w:rPr>
                <w:rFonts w:hint="eastAsia"/>
              </w:rPr>
            </w:pPr>
            <w:r>
              <w:rPr>
                <w:rFonts w:hint="eastAsia"/>
              </w:rPr>
              <w:t>1.钢制部分：</w:t>
            </w:r>
          </w:p>
          <w:p w14:paraId="008771F3">
            <w:pPr>
              <w:bidi w:val="0"/>
              <w:rPr>
                <w:rFonts w:hint="eastAsia"/>
              </w:rPr>
            </w:pPr>
            <w:r>
              <w:rPr>
                <w:rFonts w:hint="eastAsia"/>
              </w:rPr>
              <w:t>①材料：钢材采用国家标准钢材，高频焊接冷轧钢材，各钢件经除锈、酸洗、磷化等工序，除油脱脂磷化处理静电喷粉，高温固化，颜色为灰白色，焊接表面光滑无毛刺，焊接处无夹渣、气孔、焊瘤、焊丝头咬边飞溅，并保证无脱焊、虚焊及焊穿等现象,成品不带刺激性气味，长期不脱落、生锈。</w:t>
            </w:r>
          </w:p>
          <w:p w14:paraId="205AC8AB">
            <w:pPr>
              <w:bidi w:val="0"/>
              <w:rPr>
                <w:rFonts w:hint="eastAsia"/>
              </w:rPr>
            </w:pPr>
            <w:r>
              <w:rPr>
                <w:rFonts w:hint="eastAsia"/>
                <w:b w:val="0"/>
                <w:bCs w:val="0"/>
                <w:color w:val="auto"/>
                <w:lang w:val="en-US" w:eastAsia="zh-CN"/>
              </w:rPr>
              <w:t>②塑粉要求：</w:t>
            </w:r>
            <w:r>
              <w:rPr>
                <w:rFonts w:hint="eastAsia"/>
                <w:b w:val="0"/>
                <w:bCs w:val="0"/>
                <w:color w:val="auto"/>
                <w:lang w:eastAsia="zh-CN"/>
              </w:rPr>
              <w:t>HG/T2006</w:t>
            </w:r>
            <w:r>
              <w:rPr>
                <w:rFonts w:hint="eastAsia"/>
                <w:b w:val="0"/>
                <w:bCs w:val="0"/>
                <w:color w:val="auto"/>
                <w:lang w:val="en-US" w:eastAsia="zh-CN"/>
              </w:rPr>
              <w:t>-2022</w:t>
            </w:r>
            <w:r>
              <w:rPr>
                <w:rFonts w:hint="eastAsia"/>
                <w:b w:val="0"/>
                <w:bCs w:val="0"/>
                <w:color w:val="auto"/>
                <w:lang w:eastAsia="zh-CN"/>
              </w:rPr>
              <w:t xml:space="preserve"> 《热固性</w:t>
            </w:r>
            <w:r>
              <w:rPr>
                <w:rFonts w:hint="eastAsia"/>
                <w:b w:val="0"/>
                <w:bCs w:val="0"/>
                <w:color w:val="auto"/>
                <w:lang w:val="en-US" w:eastAsia="zh-CN"/>
              </w:rPr>
              <w:t>和热塑性</w:t>
            </w:r>
            <w:r>
              <w:rPr>
                <w:rFonts w:hint="eastAsia"/>
                <w:b w:val="0"/>
                <w:bCs w:val="0"/>
                <w:color w:val="auto"/>
                <w:lang w:eastAsia="zh-CN"/>
              </w:rPr>
              <w:t>粉末涂料》、</w:t>
            </w:r>
            <w:r>
              <w:rPr>
                <w:rFonts w:hint="eastAsia"/>
                <w:b w:val="0"/>
                <w:bCs w:val="0"/>
                <w:color w:val="auto"/>
                <w:lang w:val="en-US" w:eastAsia="zh-CN"/>
              </w:rPr>
              <w:t>GB/T21866-2008《抗菌涂料（漆膜）抗菌性测定法和抗菌效果》等检测</w:t>
            </w:r>
            <w:r>
              <w:rPr>
                <w:rFonts w:hint="eastAsia"/>
                <w:b w:val="0"/>
                <w:bCs w:val="0"/>
                <w:color w:val="auto"/>
                <w:lang w:eastAsia="zh-CN"/>
              </w:rPr>
              <w:t>标准：</w:t>
            </w:r>
            <w:r>
              <w:rPr>
                <w:rFonts w:hint="eastAsia"/>
                <w:b w:val="0"/>
                <w:bCs w:val="0"/>
                <w:color w:val="auto"/>
                <w:lang w:val="en-US" w:eastAsia="zh-CN"/>
              </w:rPr>
              <w:t>铅笔硬度≥2H；附着力为0级；耐碱性≥360h无异常符合要求、耐酸性≥360h无异常符合要求、耐湿性≥360h无异常符合要求；总铅含量未检出；可溶性重金属含量【镉、铬、汞】未检出；抗细菌性能【白色念珠菌抗、表皮葡萄球菌】＞99%</w:t>
            </w:r>
            <w:r>
              <w:rPr>
                <w:rFonts w:hint="eastAsia"/>
                <w:b w:val="0"/>
                <w:bCs w:val="0"/>
                <w:color w:val="auto"/>
                <w:lang w:eastAsia="zh-CN"/>
              </w:rPr>
              <w:t>。</w:t>
            </w:r>
            <w:r>
              <w:rPr>
                <w:b/>
                <w:bCs/>
                <w:color w:val="auto"/>
              </w:rPr>
              <w:t>（</w:t>
            </w:r>
            <w:r>
              <w:rPr>
                <w:rFonts w:hint="eastAsia"/>
                <w:b/>
                <w:bCs/>
                <w:lang w:eastAsia="zh-CN"/>
              </w:rPr>
              <w:t>报价时</w:t>
            </w:r>
            <w:r>
              <w:rPr>
                <w:rFonts w:hint="eastAsia"/>
                <w:b/>
                <w:bCs/>
                <w:color w:val="auto"/>
              </w:rPr>
              <w:t>提供塑粉</w:t>
            </w:r>
            <w:r>
              <w:rPr>
                <w:rFonts w:hint="eastAsia"/>
                <w:b/>
                <w:bCs/>
                <w:color w:val="auto"/>
                <w:lang w:eastAsia="zh-CN"/>
              </w:rPr>
              <w:t>具有</w:t>
            </w:r>
            <w:r>
              <w:rPr>
                <w:rFonts w:hint="eastAsia"/>
                <w:b/>
                <w:bCs/>
                <w:color w:val="auto"/>
              </w:rPr>
              <w:t>CMA标识的国家认可的第三方检测机构出具的检测报告复印件并加盖公章，检测内容需满足以上参数，使用方有权查验检测报告的真实性，末提供及不符合要求的报价无效，提供虚假的按政府采购法处理</w:t>
            </w:r>
            <w:r>
              <w:rPr>
                <w:b/>
                <w:bCs/>
                <w:color w:val="auto"/>
              </w:rPr>
              <w:t>）</w:t>
            </w:r>
          </w:p>
          <w:p w14:paraId="5E570F0D">
            <w:pPr>
              <w:bidi w:val="0"/>
              <w:rPr>
                <w:rFonts w:hint="eastAsia" w:eastAsiaTheme="minorEastAsia"/>
                <w:lang w:val="en-US" w:eastAsia="zh-CN"/>
              </w:rPr>
            </w:pPr>
            <w:r>
              <w:rPr>
                <w:rFonts w:hint="eastAsia"/>
              </w:rPr>
              <w:t>2.材质说明：（1）</w:t>
            </w:r>
            <w:r>
              <w:rPr>
                <w:rFonts w:hint="eastAsia"/>
                <w:lang w:val="en-US" w:eastAsia="zh-CN"/>
              </w:rPr>
              <w:t>铁</w:t>
            </w:r>
            <w:r>
              <w:rPr>
                <w:rFonts w:hint="eastAsia"/>
              </w:rPr>
              <w:t>床立柱：采用冷轧钢板经特制成型线轧制而成，其立面为中空异形（方便双面喷涂，防止内部生锈），立柱正面为圆弧形，起到防撞伤作用，同时可形成不少于4条凹凸加强筋；立面成型后尺寸为6</w:t>
            </w:r>
            <w:r>
              <w:rPr>
                <w:rFonts w:hint="eastAsia"/>
                <w:lang w:val="en-US" w:eastAsia="zh-CN"/>
              </w:rPr>
              <w:t>8</w:t>
            </w:r>
            <w:r>
              <w:rPr>
                <w:rFonts w:hint="eastAsia"/>
              </w:rPr>
              <w:t>mm×6</w:t>
            </w:r>
            <w:r>
              <w:rPr>
                <w:rFonts w:hint="eastAsia"/>
                <w:lang w:val="en-US" w:eastAsia="zh-CN"/>
              </w:rPr>
              <w:t>8mm（允许偏差2mm）厚≥</w:t>
            </w:r>
            <w:r>
              <w:rPr>
                <w:rFonts w:hint="eastAsia"/>
              </w:rPr>
              <w:t>1.</w:t>
            </w:r>
            <w:r>
              <w:rPr>
                <w:rFonts w:hint="eastAsia"/>
                <w:lang w:val="en-US" w:eastAsia="zh-CN"/>
              </w:rPr>
              <w:t>2</w:t>
            </w:r>
            <w:r>
              <w:rPr>
                <w:rFonts w:hint="eastAsia"/>
              </w:rPr>
              <w:t>mm外角弧度R23mm；</w:t>
            </w:r>
          </w:p>
          <w:p w14:paraId="729C30AB">
            <w:pPr>
              <w:bidi w:val="0"/>
              <w:rPr>
                <w:rFonts w:hint="eastAsia"/>
              </w:rPr>
            </w:pPr>
            <w:r>
              <w:rPr>
                <w:rFonts w:hint="eastAsia"/>
              </w:rPr>
              <w:t>（2）</w:t>
            </w:r>
            <w:r>
              <w:rPr>
                <w:rFonts w:hint="eastAsia"/>
                <w:lang w:val="en-US" w:eastAsia="zh-CN"/>
              </w:rPr>
              <w:t>铁床长横梁</w:t>
            </w:r>
            <w:r>
              <w:rPr>
                <w:rFonts w:hint="eastAsia"/>
              </w:rPr>
              <w:t>：采用冷轧钢板经特制成型线轧制而成，其立面为中空异形（方便双面喷涂，防止内部生锈），下部圆弧，起到防撞伤作用，同时可形成不少于3条凹凸加强筋；立面成型后尺寸为42mm×86</w:t>
            </w:r>
            <w:r>
              <w:rPr>
                <w:rFonts w:hint="eastAsia"/>
                <w:lang w:val="en-US" w:eastAsia="zh-CN"/>
              </w:rPr>
              <w:t>mm（允许偏差2mm）厚≥</w:t>
            </w:r>
            <w:r>
              <w:rPr>
                <w:rFonts w:hint="eastAsia"/>
              </w:rPr>
              <w:t>1.</w:t>
            </w:r>
            <w:r>
              <w:rPr>
                <w:rFonts w:hint="eastAsia"/>
                <w:lang w:val="en-US" w:eastAsia="zh-CN"/>
              </w:rPr>
              <w:t>2</w:t>
            </w:r>
            <w:r>
              <w:rPr>
                <w:rFonts w:hint="eastAsia"/>
              </w:rPr>
              <w:t>mm下两角弧度8mm ；梅花无缝钢管。</w:t>
            </w:r>
          </w:p>
          <w:p w14:paraId="4EFD0988">
            <w:pPr>
              <w:bidi w:val="0"/>
              <w:rPr>
                <w:rFonts w:hint="eastAsia"/>
                <w:lang w:eastAsia="zh-CN"/>
              </w:rPr>
            </w:pPr>
            <w:r>
              <w:rPr>
                <w:rFonts w:hint="eastAsia"/>
              </w:rPr>
              <w:t>（</w:t>
            </w:r>
            <w:r>
              <w:rPr>
                <w:rFonts w:hint="eastAsia"/>
                <w:lang w:val="en-US" w:eastAsia="zh-CN"/>
              </w:rPr>
              <w:t>3</w:t>
            </w:r>
            <w:r>
              <w:rPr>
                <w:rFonts w:hint="eastAsia"/>
              </w:rPr>
              <w:t>）</w:t>
            </w:r>
            <w:r>
              <w:rPr>
                <w:rFonts w:hint="eastAsia"/>
                <w:lang w:val="en-US" w:eastAsia="zh-CN"/>
              </w:rPr>
              <w:t>铁床短横梁</w:t>
            </w:r>
            <w:r>
              <w:rPr>
                <w:rFonts w:hint="eastAsia"/>
              </w:rPr>
              <w:t>：</w:t>
            </w:r>
            <w:r>
              <w:rPr>
                <w:rFonts w:hint="eastAsia"/>
                <w:lang w:val="en-US" w:eastAsia="zh-CN"/>
              </w:rPr>
              <w:t>25</w:t>
            </w:r>
            <w:r>
              <w:rPr>
                <w:rFonts w:hint="eastAsia"/>
              </w:rPr>
              <w:t>mm×</w:t>
            </w:r>
            <w:r>
              <w:rPr>
                <w:rFonts w:hint="eastAsia"/>
                <w:lang w:val="en-US" w:eastAsia="zh-CN"/>
              </w:rPr>
              <w:t>5</w:t>
            </w:r>
            <w:r>
              <w:rPr>
                <w:rFonts w:hint="eastAsia"/>
              </w:rPr>
              <w:t>0</w:t>
            </w:r>
            <w:r>
              <w:rPr>
                <w:rFonts w:hint="eastAsia"/>
                <w:lang w:val="en-US" w:eastAsia="zh-CN"/>
              </w:rPr>
              <w:t>mm（允许偏差2mm）厚≥</w:t>
            </w:r>
            <w:r>
              <w:rPr>
                <w:rFonts w:hint="eastAsia"/>
              </w:rPr>
              <w:t>1.2mm；立柱竖拉杆：</w:t>
            </w:r>
            <w:r>
              <w:rPr>
                <w:rFonts w:hint="eastAsia"/>
                <w:lang w:val="en-US" w:eastAsia="zh-CN"/>
              </w:rPr>
              <w:t>20mm圆管厚≥</w:t>
            </w:r>
            <w:r>
              <w:rPr>
                <w:rFonts w:hint="eastAsia"/>
              </w:rPr>
              <w:t>1.2mm</w:t>
            </w:r>
            <w:r>
              <w:rPr>
                <w:rFonts w:hint="eastAsia"/>
                <w:lang w:eastAsia="zh-CN"/>
              </w:rPr>
              <w:t>。</w:t>
            </w:r>
            <w:r>
              <w:rPr>
                <w:rFonts w:hint="eastAsia"/>
              </w:rPr>
              <w:br w:type="textWrapping"/>
            </w:r>
            <w:r>
              <w:rPr>
                <w:rFonts w:hint="eastAsia"/>
              </w:rPr>
              <w:t>（4）</w:t>
            </w:r>
            <w:r>
              <w:rPr>
                <w:rFonts w:hint="eastAsia"/>
                <w:lang w:val="en-US" w:eastAsia="zh-CN"/>
              </w:rPr>
              <w:t>铁床床桓</w:t>
            </w:r>
            <w:r>
              <w:rPr>
                <w:rFonts w:hint="eastAsia"/>
              </w:rPr>
              <w:t>：2</w:t>
            </w:r>
            <w:r>
              <w:rPr>
                <w:rFonts w:hint="eastAsia"/>
                <w:lang w:val="en-US" w:eastAsia="zh-CN"/>
              </w:rPr>
              <w:t>0mm</w:t>
            </w:r>
            <w:r>
              <w:rPr>
                <w:rFonts w:hint="eastAsia"/>
              </w:rPr>
              <w:t>×</w:t>
            </w:r>
            <w:r>
              <w:rPr>
                <w:rFonts w:hint="eastAsia"/>
                <w:lang w:val="en-US" w:eastAsia="zh-CN"/>
              </w:rPr>
              <w:t>40mm（允许偏差2mm）厚≥</w:t>
            </w:r>
            <w:r>
              <w:rPr>
                <w:rFonts w:hint="eastAsia"/>
              </w:rPr>
              <w:t>1.</w:t>
            </w:r>
            <w:r>
              <w:rPr>
                <w:rFonts w:hint="eastAsia"/>
                <w:lang w:val="en-US" w:eastAsia="zh-CN"/>
              </w:rPr>
              <w:t>0</w:t>
            </w:r>
            <w:r>
              <w:rPr>
                <w:rFonts w:hint="eastAsia"/>
              </w:rPr>
              <w:t>形管材；</w:t>
            </w:r>
            <w:r>
              <w:rPr>
                <w:rFonts w:hint="eastAsia"/>
              </w:rPr>
              <w:br w:type="textWrapping"/>
            </w:r>
            <w:r>
              <w:rPr>
                <w:rFonts w:hint="eastAsia"/>
              </w:rPr>
              <w:t>（5）</w:t>
            </w:r>
            <w:r>
              <w:rPr>
                <w:rFonts w:hint="eastAsia"/>
                <w:lang w:val="en-US" w:eastAsia="zh-CN"/>
              </w:rPr>
              <w:t>铁床</w:t>
            </w:r>
            <w:r>
              <w:rPr>
                <w:rFonts w:hint="eastAsia"/>
              </w:rPr>
              <w:t>爬梯</w:t>
            </w:r>
            <w:r>
              <w:rPr>
                <w:rFonts w:hint="eastAsia"/>
                <w:lang w:val="en-US" w:eastAsia="zh-CN"/>
              </w:rPr>
              <w:t>主管</w:t>
            </w:r>
            <w:r>
              <w:rPr>
                <w:rFonts w:hint="eastAsia"/>
              </w:rPr>
              <w:t>采用25mm×25</w:t>
            </w:r>
            <w:r>
              <w:rPr>
                <w:rFonts w:hint="eastAsia"/>
                <w:lang w:val="en-US" w:eastAsia="zh-CN"/>
              </w:rPr>
              <w:t>mm（允许偏差2mm）厚≥</w:t>
            </w:r>
            <w:r>
              <w:rPr>
                <w:rFonts w:hint="eastAsia"/>
              </w:rPr>
              <w:t>1.2方管焊接</w:t>
            </w:r>
            <w:r>
              <w:rPr>
                <w:rFonts w:hint="eastAsia"/>
                <w:lang w:eastAsia="zh-CN"/>
              </w:rPr>
              <w:t>。</w:t>
            </w:r>
          </w:p>
          <w:p w14:paraId="7857AE5A">
            <w:pPr>
              <w:bidi w:val="0"/>
              <w:rPr>
                <w:rFonts w:hint="eastAsia"/>
              </w:rPr>
            </w:pPr>
            <w:r>
              <w:rPr>
                <w:rFonts w:hint="eastAsia"/>
              </w:rPr>
              <w:t>（6）</w:t>
            </w:r>
            <w:r>
              <w:rPr>
                <w:rFonts w:hint="eastAsia"/>
                <w:lang w:val="en-US" w:eastAsia="zh-CN"/>
              </w:rPr>
              <w:t>铁床前</w:t>
            </w:r>
            <w:r>
              <w:rPr>
                <w:rFonts w:hint="eastAsia"/>
              </w:rPr>
              <w:t>护栏</w:t>
            </w:r>
            <w:r>
              <w:rPr>
                <w:rFonts w:hint="eastAsia"/>
                <w:lang w:eastAsia="zh-CN"/>
              </w:rPr>
              <w:t>主管</w:t>
            </w:r>
            <w:r>
              <w:rPr>
                <w:rFonts w:hint="eastAsia"/>
              </w:rPr>
              <w:t>：采用20mm</w:t>
            </w:r>
            <w:r>
              <w:rPr>
                <w:rFonts w:hint="eastAsia"/>
                <w:lang w:val="en-US" w:eastAsia="zh-CN"/>
              </w:rPr>
              <w:t>厚≥</w:t>
            </w:r>
            <w:r>
              <w:rPr>
                <w:rFonts w:hint="eastAsia"/>
              </w:rPr>
              <w:t>1.2圆管，</w:t>
            </w:r>
            <w:r>
              <w:rPr>
                <w:rFonts w:hint="eastAsia"/>
                <w:lang w:val="en-US" w:eastAsia="zh-CN"/>
              </w:rPr>
              <w:t>铁床前</w:t>
            </w:r>
            <w:r>
              <w:rPr>
                <w:rFonts w:hint="eastAsia"/>
              </w:rPr>
              <w:t>护栏</w:t>
            </w:r>
            <w:r>
              <w:rPr>
                <w:rFonts w:hint="eastAsia"/>
                <w:lang w:eastAsia="zh-CN"/>
              </w:rPr>
              <w:t>竖管</w:t>
            </w:r>
            <w:r>
              <w:rPr>
                <w:rFonts w:hint="eastAsia"/>
              </w:rPr>
              <w:t>采用20mm</w:t>
            </w:r>
            <w:r>
              <w:rPr>
                <w:rFonts w:hint="eastAsia"/>
                <w:lang w:val="en-US" w:eastAsia="zh-CN"/>
              </w:rPr>
              <w:t>厚≥</w:t>
            </w:r>
            <w:r>
              <w:rPr>
                <w:rFonts w:hint="eastAsia"/>
              </w:rPr>
              <w:t>1.2圆管</w:t>
            </w:r>
            <w:r>
              <w:rPr>
                <w:rFonts w:hint="eastAsia"/>
                <w:lang w:eastAsia="zh-CN"/>
              </w:rPr>
              <w:t>，</w:t>
            </w:r>
            <w:r>
              <w:rPr>
                <w:rFonts w:hint="eastAsia"/>
              </w:rPr>
              <w:t>栏杆宽1100</w:t>
            </w:r>
            <w:r>
              <w:rPr>
                <w:rFonts w:hint="eastAsia"/>
                <w:lang w:val="en-US" w:eastAsia="zh-CN"/>
              </w:rPr>
              <w:t>mm</w:t>
            </w:r>
            <w:r>
              <w:rPr>
                <w:rFonts w:hint="eastAsia"/>
              </w:rPr>
              <w:t>×高</w:t>
            </w:r>
            <w:r>
              <w:rPr>
                <w:rFonts w:hint="eastAsia"/>
                <w:lang w:val="en-US" w:eastAsia="zh-CN"/>
              </w:rPr>
              <w:t>25</w:t>
            </w:r>
            <w:r>
              <w:rPr>
                <w:rFonts w:hint="eastAsia"/>
              </w:rPr>
              <w:t>0</w:t>
            </w:r>
            <w:r>
              <w:rPr>
                <w:rFonts w:hint="eastAsia"/>
                <w:lang w:val="en-US" w:eastAsia="zh-CN"/>
              </w:rPr>
              <w:t>mm</w:t>
            </w:r>
            <w:r>
              <w:rPr>
                <w:rFonts w:hint="eastAsia"/>
              </w:rPr>
              <w:t>；</w:t>
            </w:r>
          </w:p>
          <w:p w14:paraId="5AB2F263">
            <w:pPr>
              <w:bidi w:val="0"/>
              <w:rPr>
                <w:rFonts w:hint="eastAsia"/>
              </w:rPr>
            </w:pPr>
            <w:r>
              <w:rPr>
                <w:rFonts w:hint="eastAsia"/>
              </w:rPr>
              <w:t>（</w:t>
            </w:r>
            <w:r>
              <w:rPr>
                <w:rFonts w:hint="eastAsia"/>
                <w:lang w:val="en-US" w:eastAsia="zh-CN"/>
              </w:rPr>
              <w:t>7</w:t>
            </w:r>
            <w:r>
              <w:rPr>
                <w:rFonts w:hint="eastAsia"/>
              </w:rPr>
              <w:t>）</w:t>
            </w:r>
            <w:r>
              <w:t>床板：</w:t>
            </w:r>
            <w:r>
              <w:rPr>
                <w:rFonts w:hint="eastAsia"/>
                <w:lang w:val="en-US" w:eastAsia="zh-CN"/>
              </w:rPr>
              <w:t>采用厚度≥15mm杉木板制作，成型后约14.5mm，长、宽按设计要求，整幅床板制作牢固可靠，床板应无钝棱；木材经干燥防腐、防蛀。含水率8%~(产品所在地区年平均木材平衡含水率+1%)</w:t>
            </w:r>
            <w:r>
              <w:rPr>
                <w:rFonts w:hint="eastAsia"/>
              </w:rPr>
              <w:t>；</w:t>
            </w:r>
          </w:p>
          <w:p w14:paraId="3B441456">
            <w:pPr>
              <w:bidi w:val="0"/>
              <w:rPr>
                <w:rFonts w:hint="eastAsia"/>
              </w:rPr>
            </w:pPr>
            <w:r>
              <w:rPr>
                <w:rFonts w:hint="eastAsia"/>
              </w:rPr>
              <w:t>（</w:t>
            </w:r>
            <w:r>
              <w:rPr>
                <w:rFonts w:hint="eastAsia"/>
                <w:lang w:val="en-US" w:eastAsia="zh-CN"/>
              </w:rPr>
              <w:t>8</w:t>
            </w:r>
            <w:r>
              <w:rPr>
                <w:rFonts w:hint="eastAsia"/>
              </w:rPr>
              <w:t>）</w:t>
            </w:r>
            <w:r>
              <w:rPr>
                <w:rFonts w:hint="eastAsia"/>
                <w:lang w:eastAsia="zh-CN"/>
              </w:rPr>
              <w:t>铁床</w:t>
            </w:r>
            <w:r>
              <w:rPr>
                <w:rFonts w:hint="eastAsia"/>
              </w:rPr>
              <w:t>蚊帐杆高度为</w:t>
            </w:r>
            <w:r>
              <w:rPr>
                <w:rFonts w:hint="eastAsia"/>
                <w:lang w:val="en-US" w:eastAsia="zh-CN"/>
              </w:rPr>
              <w:t>9</w:t>
            </w:r>
            <w:r>
              <w:rPr>
                <w:rFonts w:hint="eastAsia"/>
              </w:rPr>
              <w:t>00mm，1</w:t>
            </w:r>
            <w:r>
              <w:rPr>
                <w:rFonts w:hint="eastAsia"/>
                <w:lang w:val="en-US" w:eastAsia="zh-CN"/>
              </w:rPr>
              <w:t>9</w:t>
            </w:r>
            <w:r>
              <w:rPr>
                <w:rFonts w:hint="eastAsia"/>
              </w:rPr>
              <w:t>mm圆管管壁厚≥1.0mm。</w:t>
            </w:r>
          </w:p>
          <w:p w14:paraId="3F16F485">
            <w:pPr>
              <w:bidi w:val="0"/>
              <w:rPr>
                <w:rFonts w:hint="eastAsia"/>
                <w:lang w:val="en-US" w:eastAsia="zh-CN"/>
              </w:rPr>
            </w:pPr>
            <w:r>
              <w:rPr>
                <w:rFonts w:hint="eastAsia"/>
                <w:lang w:val="en-US" w:eastAsia="zh-CN"/>
              </w:rPr>
              <w:t>3.各部件要求：</w:t>
            </w:r>
          </w:p>
          <w:p w14:paraId="29ABE07B">
            <w:pPr>
              <w:bidi w:val="0"/>
              <w:rPr>
                <w:rFonts w:hint="default" w:eastAsiaTheme="minorEastAsia"/>
                <w:b w:val="0"/>
                <w:bCs w:val="0"/>
                <w:color w:val="auto"/>
                <w:highlight w:val="none"/>
                <w:lang w:val="en-US" w:eastAsia="zh-CN"/>
              </w:rPr>
            </w:pPr>
            <w:r>
              <w:rPr>
                <w:rFonts w:hint="eastAsia"/>
                <w:lang w:val="en-US" w:eastAsia="zh-CN"/>
              </w:rPr>
              <w:t>（1）</w:t>
            </w:r>
            <w:r>
              <w:rPr>
                <w:rFonts w:hint="eastAsia"/>
                <w:b w:val="0"/>
                <w:bCs w:val="0"/>
                <w:color w:val="auto"/>
                <w:highlight w:val="none"/>
                <w:lang w:eastAsia="zh-CN"/>
              </w:rPr>
              <w:t>防虫床板应符合GB 18580-2017《室内装饰装修材料人造板及其制品中甲醛释放限量》、GB/T 1927.5-2021《无疵小试样木材物理力学性质试验方法 第5部分:密度测定》、QB/T 4371-2012《家具抗菌性能的评价》、JC/T2039-2010《抗菌防霉木质装饰板》、GB 8624-2012《建筑材料及制品燃烧性能分级》等标准；甲醛释放量（</w:t>
            </w:r>
            <w:r>
              <w:rPr>
                <w:rFonts w:hint="eastAsia"/>
                <w:b w:val="0"/>
                <w:bCs w:val="0"/>
                <w:color w:val="auto"/>
                <w:highlight w:val="none"/>
                <w:lang w:val="en-US" w:eastAsia="zh-CN"/>
              </w:rPr>
              <w:t>1m³气候箱法</w:t>
            </w:r>
            <w:r>
              <w:rPr>
                <w:rFonts w:hint="eastAsia"/>
                <w:b w:val="0"/>
                <w:bCs w:val="0"/>
                <w:color w:val="auto"/>
                <w:highlight w:val="none"/>
                <w:lang w:eastAsia="zh-CN"/>
              </w:rPr>
              <w:t>）为未检出、抗菌性能金黄色葡萄球菌≥</w:t>
            </w:r>
            <w:r>
              <w:rPr>
                <w:rFonts w:hint="eastAsia"/>
                <w:b w:val="0"/>
                <w:bCs w:val="0"/>
                <w:color w:val="auto"/>
                <w:highlight w:val="none"/>
                <w:lang w:val="en-US" w:eastAsia="zh-CN"/>
              </w:rPr>
              <w:t>99.48%</w:t>
            </w:r>
            <w:r>
              <w:rPr>
                <w:rFonts w:hint="eastAsia"/>
                <w:b w:val="0"/>
                <w:bCs w:val="0"/>
                <w:color w:val="auto"/>
                <w:highlight w:val="none"/>
                <w:lang w:eastAsia="zh-CN"/>
              </w:rPr>
              <w:t>、枯草芽孢杆菌≥</w:t>
            </w:r>
            <w:r>
              <w:rPr>
                <w:rFonts w:hint="eastAsia"/>
                <w:b w:val="0"/>
                <w:bCs w:val="0"/>
                <w:color w:val="auto"/>
                <w:highlight w:val="none"/>
                <w:lang w:val="en-US" w:eastAsia="zh-CN"/>
              </w:rPr>
              <w:t>99.29%、痤疮丙酸杆菌≥99.60%、宋内志贺氏菌≥99.34%、大肠埃希氏菌≥99.46%、乙型副伤寒沙门氏菌≥99.27%、洋葱伯克霍尔德氏菌≥99.56%、防霉菌等级黑曲霉、宛氏拟青霉、绳状青霉、出芽短梗霉、产黄青霉、链格孢、绿粘帚霍均为0级。</w:t>
            </w:r>
            <w:r>
              <w:rPr>
                <w:b/>
                <w:bCs/>
                <w:color w:val="auto"/>
                <w:spacing w:val="-3"/>
                <w:highlight w:val="none"/>
              </w:rPr>
              <w:t>（</w:t>
            </w:r>
            <w:r>
              <w:rPr>
                <w:rFonts w:hint="eastAsia"/>
                <w:b/>
                <w:bCs/>
                <w:lang w:eastAsia="zh-CN"/>
              </w:rPr>
              <w:t>报价时</w:t>
            </w:r>
            <w:r>
              <w:rPr>
                <w:rFonts w:hint="eastAsia"/>
                <w:b/>
                <w:bCs/>
                <w:color w:val="auto"/>
              </w:rPr>
              <w:t>提供防虫床板</w:t>
            </w:r>
            <w:r>
              <w:rPr>
                <w:rFonts w:hint="eastAsia"/>
                <w:b/>
                <w:bCs/>
                <w:color w:val="auto"/>
                <w:lang w:eastAsia="zh-CN"/>
              </w:rPr>
              <w:t>具有</w:t>
            </w:r>
            <w:r>
              <w:rPr>
                <w:rFonts w:hint="eastAsia"/>
                <w:b/>
                <w:bCs/>
                <w:color w:val="auto"/>
              </w:rPr>
              <w:t>CMA标识的国家认可的第三方检测机构出具的检测报告复印件并加盖公章，检测内容需满足以上参数，使用方有权查验检测报告的真实性，末提供及不符合要求的报价无效，提供虚假的按政府采购法处理</w:t>
            </w:r>
            <w:r>
              <w:rPr>
                <w:b/>
                <w:bCs/>
                <w:color w:val="auto"/>
                <w:spacing w:val="6"/>
                <w:highlight w:val="none"/>
              </w:rPr>
              <w:t>）</w:t>
            </w:r>
          </w:p>
          <w:p w14:paraId="608CDE9D">
            <w:pPr>
              <w:pStyle w:val="3"/>
              <w:ind w:left="0" w:leftChars="0" w:firstLine="0" w:firstLineChars="0"/>
              <w:rPr>
                <w:b w:val="0"/>
                <w:bCs w:val="0"/>
                <w:color w:val="auto"/>
                <w:spacing w:val="6"/>
                <w:highlight w:val="none"/>
              </w:rPr>
            </w:pPr>
            <w:r>
              <w:rPr>
                <w:rFonts w:hint="eastAsia"/>
                <w:lang w:val="en-US" w:eastAsia="zh-CN"/>
              </w:rPr>
              <w:t>（2）</w:t>
            </w:r>
            <w:r>
              <w:rPr>
                <w:rFonts w:hint="eastAsia"/>
                <w:b w:val="0"/>
                <w:bCs w:val="0"/>
                <w:color w:val="auto"/>
                <w:highlight w:val="none"/>
                <w:lang w:val="en-US" w:eastAsia="zh-CN"/>
              </w:rPr>
              <w:t>止退防松螺丝应符合 GB/T3325-2017《金属家具通用技术 条件》，GB/T11253-2019《碳素结构钢冷轧钢板及钢带》等 检测标准：QB/T4371-2012《家具抗菌性能的评价》等检测标准，外观性能要求合格；中性盐雾试验≥1030H，镀（涂）层对基体的保护等级≥9 级，镀（涂）层本身耐腐蚀等级≥9 级；拉抗强度≥520MPa；抗菌性能：对 4 种或以上菌的抗 菌性能达到 99%以上；防霉菌性能：对 5 种或以上霉类防霉 等级为 0 级。</w:t>
            </w:r>
            <w:r>
              <w:rPr>
                <w:b/>
                <w:bCs/>
                <w:color w:val="auto"/>
                <w:spacing w:val="-3"/>
                <w:highlight w:val="none"/>
              </w:rPr>
              <w:t>（</w:t>
            </w:r>
            <w:r>
              <w:rPr>
                <w:rFonts w:hint="eastAsia"/>
                <w:b/>
                <w:bCs/>
                <w:lang w:eastAsia="zh-CN"/>
              </w:rPr>
              <w:t>报价时</w:t>
            </w:r>
            <w:r>
              <w:rPr>
                <w:rFonts w:hint="eastAsia"/>
                <w:b/>
                <w:bCs/>
                <w:color w:val="auto"/>
              </w:rPr>
              <w:t>提供止退防松螺丝</w:t>
            </w:r>
            <w:r>
              <w:rPr>
                <w:rFonts w:hint="eastAsia"/>
                <w:b/>
                <w:bCs/>
                <w:color w:val="auto"/>
                <w:lang w:eastAsia="zh-CN"/>
              </w:rPr>
              <w:t>具有</w:t>
            </w:r>
            <w:r>
              <w:rPr>
                <w:rFonts w:hint="eastAsia"/>
                <w:b/>
                <w:bCs/>
                <w:color w:val="auto"/>
              </w:rPr>
              <w:t>CMA标识的国家认可的第三方检测机构出具的检测报告复印件并加盖公章，检测内容需满足以上参数，使用方有权查验检测报告的真实性，末提供及不符合要求的报价无效，提供虚假的按政府采购法处理</w:t>
            </w:r>
            <w:r>
              <w:rPr>
                <w:b/>
                <w:bCs/>
                <w:color w:val="auto"/>
                <w:spacing w:val="6"/>
                <w:highlight w:val="none"/>
              </w:rPr>
              <w:t>）</w:t>
            </w:r>
          </w:p>
          <w:p w14:paraId="65098BF0">
            <w:pPr>
              <w:pStyle w:val="3"/>
              <w:ind w:left="0" w:leftChars="0" w:firstLine="0" w:firstLineChars="0"/>
              <w:rPr>
                <w:rFonts w:hint="default" w:eastAsiaTheme="minorEastAsia"/>
                <w:b w:val="0"/>
                <w:bCs w:val="0"/>
                <w:color w:val="auto"/>
                <w:lang w:val="en-US" w:eastAsia="zh-CN"/>
              </w:rPr>
            </w:pPr>
            <w:r>
              <w:rPr>
                <w:rFonts w:hint="eastAsia"/>
                <w:lang w:val="en-US" w:eastAsia="zh-CN"/>
              </w:rPr>
              <w:t>（3）</w:t>
            </w:r>
            <w:r>
              <w:rPr>
                <w:rFonts w:hint="eastAsia"/>
                <w:b w:val="0"/>
                <w:bCs w:val="0"/>
                <w:color w:val="auto"/>
                <w:spacing w:val="6"/>
                <w:highlight w:val="none"/>
                <w:lang w:val="en-US" w:eastAsia="zh-CN"/>
              </w:rPr>
              <w:t>钢管应符合GB/T3325-2017《金属家具通用技术条件》、 QB/T3826-1999《轻工产品金属镀层和化学处理层的耐腐蚀  试验方法中性盐雾性试验(NSS)法》、GB/T35607-2017《绿色产品评价 家具》、QB/3832-1999《轻工产品金属镀层腐蚀试验结果评价》等检测标准：金属喷漆（塑）涂层理化性能中硬度＞4H；耐腐蚀（1：委托方要求1000h内，观察溶液中样板上划道两侧3mm以外，应无鼓泡产生。2：委托方要求1000h内，观察溶液中样板上划道两侧3mm以外，应无锈蚀、剥落、起皱、变色和失光等现象）符合要求；附着力为0级；品质属性产品有害物质【铅、镉、铬、汞、锑、钡、硒、砷】＜5mg/kg。金属表面耐腐蚀【中性盐雾≥1100小时涂层本身的耐腐蚀等级为10级，涂层对基体的保护等级为10级】。</w:t>
            </w:r>
            <w:r>
              <w:rPr>
                <w:b/>
                <w:bCs/>
                <w:color w:val="auto"/>
                <w:spacing w:val="-3"/>
                <w:highlight w:val="none"/>
              </w:rPr>
              <w:t>（</w:t>
            </w:r>
            <w:r>
              <w:rPr>
                <w:rFonts w:hint="eastAsia"/>
                <w:b/>
                <w:bCs/>
                <w:lang w:eastAsia="zh-CN"/>
              </w:rPr>
              <w:t>报价时</w:t>
            </w:r>
            <w:r>
              <w:rPr>
                <w:rFonts w:hint="eastAsia"/>
                <w:b/>
                <w:bCs/>
                <w:color w:val="auto"/>
              </w:rPr>
              <w:t>提供钢管</w:t>
            </w:r>
            <w:r>
              <w:rPr>
                <w:rFonts w:hint="eastAsia"/>
                <w:b/>
                <w:bCs/>
                <w:color w:val="auto"/>
                <w:lang w:eastAsia="zh-CN"/>
              </w:rPr>
              <w:t>具有</w:t>
            </w:r>
            <w:r>
              <w:rPr>
                <w:rFonts w:hint="eastAsia"/>
                <w:b/>
                <w:bCs/>
                <w:color w:val="auto"/>
              </w:rPr>
              <w:t>CMA标识的国家认可的第三方检测机构出具的检测报告复印件并加盖公章，检测内容需满足以上参数，使用方有权查验检测报告的真实性，末提供及不符合要求的报价无效，提供虚假的按政府采购法处理</w:t>
            </w:r>
            <w:r>
              <w:rPr>
                <w:b/>
                <w:bCs/>
                <w:color w:val="auto"/>
                <w:spacing w:val="6"/>
                <w:highlight w:val="none"/>
              </w:rPr>
              <w:t>）</w:t>
            </w:r>
          </w:p>
          <w:p w14:paraId="4E6D8F6A">
            <w:pPr>
              <w:pStyle w:val="3"/>
              <w:ind w:left="0" w:leftChars="0" w:firstLine="0" w:firstLineChars="0"/>
              <w:rPr>
                <w:rFonts w:hint="eastAsia" w:ascii="宋体" w:hAnsi="宋体" w:eastAsia="宋体" w:cs="宋体"/>
                <w:b/>
                <w:bCs/>
                <w:color w:val="000000"/>
                <w:kern w:val="0"/>
                <w:szCs w:val="21"/>
              </w:rPr>
            </w:pPr>
            <w:r>
              <w:rPr>
                <w:rFonts w:hint="eastAsia"/>
                <w:lang w:val="en-US" w:eastAsia="zh-CN"/>
              </w:rPr>
              <w:t>（4）</w:t>
            </w:r>
            <w:r>
              <w:rPr>
                <w:b w:val="0"/>
                <w:bCs w:val="0"/>
                <w:color w:val="auto"/>
                <w:spacing w:val="11"/>
              </w:rPr>
              <w:t>冷轧钢板应符合</w:t>
            </w:r>
            <w:r>
              <w:rPr>
                <w:b w:val="0"/>
                <w:bCs w:val="0"/>
                <w:color w:val="auto"/>
              </w:rPr>
              <w:t>GB</w:t>
            </w:r>
            <w:r>
              <w:rPr>
                <w:b w:val="0"/>
                <w:bCs w:val="0"/>
                <w:color w:val="auto"/>
                <w:spacing w:val="11"/>
              </w:rPr>
              <w:t>/T3325-2017《金属家具通用技术条</w:t>
            </w:r>
            <w:r>
              <w:rPr>
                <w:b w:val="0"/>
                <w:bCs w:val="0"/>
                <w:color w:val="auto"/>
                <w:spacing w:val="10"/>
              </w:rPr>
              <w:t>件》、</w:t>
            </w:r>
            <w:r>
              <w:rPr>
                <w:b w:val="0"/>
                <w:bCs w:val="0"/>
                <w:color w:val="auto"/>
              </w:rPr>
              <w:t>QB</w:t>
            </w:r>
            <w:r>
              <w:rPr>
                <w:b w:val="0"/>
                <w:bCs w:val="0"/>
                <w:color w:val="auto"/>
                <w:spacing w:val="10"/>
              </w:rPr>
              <w:t>/T3826-1999《轻工产品金属镀层和化学处理</w:t>
            </w:r>
            <w:r>
              <w:rPr>
                <w:b w:val="0"/>
                <w:bCs w:val="0"/>
                <w:color w:val="auto"/>
                <w:spacing w:val="9"/>
              </w:rPr>
              <w:t>层的</w:t>
            </w:r>
            <w:r>
              <w:rPr>
                <w:b w:val="0"/>
                <w:bCs w:val="0"/>
                <w:color w:val="auto"/>
                <w:spacing w:val="3"/>
              </w:rPr>
              <w:t>耐腐蚀试验方法中性盐雾性试验(</w:t>
            </w:r>
            <w:r>
              <w:rPr>
                <w:b w:val="0"/>
                <w:bCs w:val="0"/>
                <w:color w:val="auto"/>
              </w:rPr>
              <w:t>NSS</w:t>
            </w:r>
            <w:r>
              <w:rPr>
                <w:b w:val="0"/>
                <w:bCs w:val="0"/>
                <w:color w:val="auto"/>
                <w:spacing w:val="3"/>
              </w:rPr>
              <w:t>)法》、</w:t>
            </w:r>
            <w:r>
              <w:rPr>
                <w:b w:val="0"/>
                <w:bCs w:val="0"/>
                <w:color w:val="auto"/>
              </w:rPr>
              <w:t>GB</w:t>
            </w:r>
            <w:r>
              <w:rPr>
                <w:b w:val="0"/>
                <w:bCs w:val="0"/>
                <w:color w:val="auto"/>
                <w:spacing w:val="3"/>
              </w:rPr>
              <w:t>/T35607-2017</w:t>
            </w:r>
            <w:r>
              <w:rPr>
                <w:b w:val="0"/>
                <w:bCs w:val="0"/>
                <w:color w:val="auto"/>
                <w:spacing w:val="10"/>
              </w:rPr>
              <w:t>《绿色产品评价家具》、</w:t>
            </w:r>
            <w:r>
              <w:rPr>
                <w:b w:val="0"/>
                <w:bCs w:val="0"/>
                <w:color w:val="auto"/>
              </w:rPr>
              <w:t>QB</w:t>
            </w:r>
            <w:r>
              <w:rPr>
                <w:b w:val="0"/>
                <w:bCs w:val="0"/>
                <w:color w:val="auto"/>
                <w:spacing w:val="10"/>
              </w:rPr>
              <w:t>/3832-1999《轻工产品金属镀</w:t>
            </w:r>
            <w:r>
              <w:rPr>
                <w:b w:val="0"/>
                <w:bCs w:val="0"/>
                <w:color w:val="auto"/>
                <w:spacing w:val="7"/>
              </w:rPr>
              <w:t>层腐蚀试验结果评价》等检测标准：金属喷漆（塑）涂层理化性能中硬度＞4H；耐腐蚀（1：委托方要求</w:t>
            </w:r>
            <w:r>
              <w:rPr>
                <w:b w:val="0"/>
                <w:bCs w:val="0"/>
                <w:color w:val="auto"/>
                <w:spacing w:val="-11"/>
              </w:rPr>
              <w:t xml:space="preserve"> </w:t>
            </w:r>
            <w:r>
              <w:rPr>
                <w:b w:val="0"/>
                <w:bCs w:val="0"/>
                <w:color w:val="auto"/>
                <w:spacing w:val="7"/>
              </w:rPr>
              <w:t>1000h内，观</w:t>
            </w:r>
            <w:r>
              <w:rPr>
                <w:b w:val="0"/>
                <w:bCs w:val="0"/>
                <w:color w:val="auto"/>
                <w:spacing w:val="9"/>
              </w:rPr>
              <w:t>察溶液中样板上划道两侧3</w:t>
            </w:r>
            <w:r>
              <w:rPr>
                <w:b w:val="0"/>
                <w:bCs w:val="0"/>
                <w:color w:val="auto"/>
              </w:rPr>
              <w:t>mm</w:t>
            </w:r>
            <w:r>
              <w:rPr>
                <w:b w:val="0"/>
                <w:bCs w:val="0"/>
                <w:color w:val="auto"/>
                <w:spacing w:val="-14"/>
              </w:rPr>
              <w:t xml:space="preserve"> </w:t>
            </w:r>
            <w:r>
              <w:rPr>
                <w:b w:val="0"/>
                <w:bCs w:val="0"/>
                <w:color w:val="auto"/>
                <w:spacing w:val="9"/>
              </w:rPr>
              <w:t>以外，应无鼓泡产生。2：委</w:t>
            </w:r>
            <w:r>
              <w:rPr>
                <w:b w:val="0"/>
                <w:bCs w:val="0"/>
                <w:color w:val="auto"/>
                <w:spacing w:val="4"/>
              </w:rPr>
              <w:t>托方要求1000h内，观察溶液中样板上划道两侧</w:t>
            </w:r>
            <w:r>
              <w:rPr>
                <w:b w:val="0"/>
                <w:bCs w:val="0"/>
                <w:color w:val="auto"/>
                <w:spacing w:val="-35"/>
              </w:rPr>
              <w:t xml:space="preserve"> </w:t>
            </w:r>
            <w:r>
              <w:rPr>
                <w:b w:val="0"/>
                <w:bCs w:val="0"/>
                <w:color w:val="auto"/>
                <w:spacing w:val="4"/>
              </w:rPr>
              <w:t>3</w:t>
            </w:r>
            <w:r>
              <w:rPr>
                <w:b w:val="0"/>
                <w:bCs w:val="0"/>
                <w:color w:val="auto"/>
              </w:rPr>
              <w:t>mm</w:t>
            </w:r>
            <w:r>
              <w:rPr>
                <w:b w:val="0"/>
                <w:bCs w:val="0"/>
                <w:color w:val="auto"/>
                <w:spacing w:val="4"/>
              </w:rPr>
              <w:t>以外，</w:t>
            </w:r>
            <w:r>
              <w:rPr>
                <w:b w:val="0"/>
                <w:bCs w:val="0"/>
                <w:color w:val="auto"/>
                <w:spacing w:val="7"/>
              </w:rPr>
              <w:t>应无锈蚀、剥落、起皱、变色和失光等现象）符合要求；附</w:t>
            </w:r>
            <w:r>
              <w:rPr>
                <w:b w:val="0"/>
                <w:bCs w:val="0"/>
                <w:color w:val="auto"/>
                <w:spacing w:val="4"/>
              </w:rPr>
              <w:t>着力为</w:t>
            </w:r>
            <w:r>
              <w:rPr>
                <w:b w:val="0"/>
                <w:bCs w:val="0"/>
                <w:color w:val="auto"/>
                <w:spacing w:val="-37"/>
              </w:rPr>
              <w:t xml:space="preserve"> </w:t>
            </w:r>
            <w:r>
              <w:rPr>
                <w:b w:val="0"/>
                <w:bCs w:val="0"/>
                <w:color w:val="auto"/>
                <w:spacing w:val="4"/>
              </w:rPr>
              <w:t>0</w:t>
            </w:r>
            <w:r>
              <w:rPr>
                <w:b w:val="0"/>
                <w:bCs w:val="0"/>
                <w:color w:val="auto"/>
                <w:spacing w:val="-35"/>
              </w:rPr>
              <w:t xml:space="preserve"> </w:t>
            </w:r>
            <w:r>
              <w:rPr>
                <w:b w:val="0"/>
                <w:bCs w:val="0"/>
                <w:color w:val="auto"/>
                <w:spacing w:val="4"/>
              </w:rPr>
              <w:t>级；金属表面耐腐蚀【中性盐雾≥11</w:t>
            </w:r>
            <w:r>
              <w:rPr>
                <w:b w:val="0"/>
                <w:bCs w:val="0"/>
                <w:color w:val="auto"/>
                <w:spacing w:val="3"/>
              </w:rPr>
              <w:t>00</w:t>
            </w:r>
            <w:r>
              <w:rPr>
                <w:b w:val="0"/>
                <w:bCs w:val="0"/>
                <w:color w:val="auto"/>
                <w:spacing w:val="-34"/>
              </w:rPr>
              <w:t xml:space="preserve"> </w:t>
            </w:r>
            <w:r>
              <w:rPr>
                <w:b w:val="0"/>
                <w:bCs w:val="0"/>
                <w:color w:val="auto"/>
                <w:spacing w:val="3"/>
              </w:rPr>
              <w:t>小时涂层本</w:t>
            </w:r>
            <w:r>
              <w:rPr>
                <w:b w:val="0"/>
                <w:bCs w:val="0"/>
                <w:color w:val="auto"/>
              </w:rPr>
              <w:t>身的耐腐蚀等级为10</w:t>
            </w:r>
            <w:r>
              <w:rPr>
                <w:b w:val="0"/>
                <w:bCs w:val="0"/>
                <w:color w:val="auto"/>
                <w:spacing w:val="-37"/>
              </w:rPr>
              <w:t xml:space="preserve"> </w:t>
            </w:r>
            <w:r>
              <w:rPr>
                <w:b w:val="0"/>
                <w:bCs w:val="0"/>
                <w:color w:val="auto"/>
              </w:rPr>
              <w:t>级，涂层对基体的保护等级为10</w:t>
            </w:r>
            <w:r>
              <w:rPr>
                <w:b w:val="0"/>
                <w:bCs w:val="0"/>
                <w:color w:val="auto"/>
                <w:spacing w:val="-37"/>
              </w:rPr>
              <w:t xml:space="preserve"> </w:t>
            </w:r>
            <w:r>
              <w:rPr>
                <w:b w:val="0"/>
                <w:bCs w:val="0"/>
                <w:color w:val="auto"/>
              </w:rPr>
              <w:t>级】；</w:t>
            </w:r>
            <w:r>
              <w:rPr>
                <w:rFonts w:hint="eastAsia" w:ascii="宋体" w:hAnsi="宋体" w:eastAsia="宋体" w:cs="宋体"/>
                <w:b/>
                <w:bCs/>
                <w:color w:val="000000"/>
                <w:kern w:val="0"/>
                <w:szCs w:val="21"/>
              </w:rPr>
              <w:t>（报价时提供</w:t>
            </w:r>
            <w:r>
              <w:rPr>
                <w:b/>
                <w:bCs/>
                <w:color w:val="auto"/>
                <w:spacing w:val="11"/>
              </w:rPr>
              <w:t>冷轧钢板</w:t>
            </w:r>
            <w:r>
              <w:rPr>
                <w:rFonts w:hint="eastAsia" w:ascii="宋体" w:hAnsi="宋体" w:eastAsia="宋体" w:cs="宋体"/>
                <w:b/>
                <w:bCs/>
                <w:color w:val="000000"/>
                <w:kern w:val="0"/>
                <w:szCs w:val="21"/>
              </w:rPr>
              <w:t>首页具有CMA标识的第三方检测报告并加盖公章，检测内容需满足以上参数，使用方有权查验检测报告的真实性，末提供及不符合要求的报价无效，提供虚假的按政府采购法处理）</w:t>
            </w:r>
          </w:p>
          <w:p w14:paraId="3C801A2F">
            <w:pPr>
              <w:pStyle w:val="3"/>
              <w:ind w:left="0" w:leftChars="0" w:firstLine="0" w:firstLineChars="0"/>
              <w:rPr>
                <w:rFonts w:hint="eastAsia" w:eastAsia="宋体" w:asciiTheme="minorEastAsia" w:hAnsiTheme="minorEastAsia" w:cstheme="minorEastAsia"/>
                <w:color w:val="000000"/>
                <w:kern w:val="0"/>
                <w:sz w:val="24"/>
                <w:szCs w:val="24"/>
                <w:lang w:eastAsia="zh-CN" w:bidi="ar"/>
              </w:rPr>
            </w:pPr>
            <w:r>
              <w:rPr>
                <w:rFonts w:hint="eastAsia" w:ascii="宋体" w:hAnsi="宋体" w:eastAsia="宋体" w:cs="宋体"/>
                <w:b w:val="0"/>
                <w:bCs w:val="0"/>
                <w:color w:val="000000"/>
                <w:kern w:val="0"/>
                <w:szCs w:val="21"/>
                <w:lang w:eastAsia="zh-CN"/>
              </w:rPr>
              <w:t>（</w:t>
            </w:r>
            <w:r>
              <w:rPr>
                <w:rFonts w:hint="eastAsia" w:ascii="宋体" w:hAnsi="宋体" w:eastAsia="宋体" w:cs="宋体"/>
                <w:b w:val="0"/>
                <w:bCs w:val="0"/>
                <w:color w:val="000000"/>
                <w:kern w:val="0"/>
                <w:szCs w:val="21"/>
                <w:lang w:val="en-US" w:eastAsia="zh-CN"/>
              </w:rPr>
              <w:t>5</w:t>
            </w:r>
            <w:r>
              <w:rPr>
                <w:rFonts w:hint="eastAsia" w:ascii="宋体" w:hAnsi="宋体" w:eastAsia="宋体" w:cs="宋体"/>
                <w:b w:val="0"/>
                <w:bCs w:val="0"/>
                <w:color w:val="000000"/>
                <w:kern w:val="0"/>
                <w:szCs w:val="21"/>
                <w:lang w:eastAsia="zh-CN"/>
              </w:rPr>
              <w:t>）铁床立柱、</w:t>
            </w:r>
            <w:r>
              <w:rPr>
                <w:rFonts w:hint="eastAsia"/>
                <w:lang w:val="en-US" w:eastAsia="zh-CN"/>
              </w:rPr>
              <w:t>铁床长横梁、铁床床桓、铁床前</w:t>
            </w:r>
            <w:r>
              <w:rPr>
                <w:rFonts w:hint="eastAsia"/>
              </w:rPr>
              <w:t>护栏</w:t>
            </w:r>
            <w:r>
              <w:rPr>
                <w:rFonts w:hint="eastAsia"/>
                <w:lang w:eastAsia="zh-CN"/>
              </w:rPr>
              <w:t>主管、</w:t>
            </w:r>
            <w:r>
              <w:rPr>
                <w:rFonts w:hint="eastAsia"/>
                <w:lang w:val="en-US" w:eastAsia="zh-CN"/>
              </w:rPr>
              <w:t>铁床前</w:t>
            </w:r>
            <w:r>
              <w:rPr>
                <w:rFonts w:hint="eastAsia"/>
              </w:rPr>
              <w:t>护栏</w:t>
            </w:r>
            <w:r>
              <w:rPr>
                <w:rFonts w:hint="eastAsia"/>
                <w:lang w:eastAsia="zh-CN"/>
              </w:rPr>
              <w:t>竖管、铁床</w:t>
            </w:r>
            <w:r>
              <w:rPr>
                <w:rFonts w:hint="eastAsia"/>
              </w:rPr>
              <w:t>蚊帐杆</w:t>
            </w:r>
            <w:r>
              <w:rPr>
                <w:rFonts w:hint="eastAsia"/>
                <w:lang w:val="en-US" w:eastAsia="zh-CN"/>
              </w:rPr>
              <w:t>应符合：GB/T1740-2007漆膜耐湿热测定法、GBT3325-2017金属家具通用技术条件等标准；耐腐蚀≥500h、耐湿热≥500h。</w:t>
            </w:r>
            <w:r>
              <w:rPr>
                <w:rFonts w:hint="eastAsia" w:ascii="宋体" w:hAnsi="宋体" w:eastAsia="宋体" w:cs="宋体"/>
                <w:b/>
                <w:bCs/>
                <w:color w:val="000000"/>
                <w:kern w:val="0"/>
                <w:szCs w:val="21"/>
              </w:rPr>
              <w:t>（报价时提供</w:t>
            </w:r>
            <w:r>
              <w:rPr>
                <w:rFonts w:hint="eastAsia" w:ascii="宋体" w:hAnsi="宋体" w:eastAsia="宋体" w:cs="宋体"/>
                <w:b/>
                <w:bCs/>
                <w:color w:val="000000"/>
                <w:kern w:val="0"/>
                <w:szCs w:val="21"/>
                <w:lang w:eastAsia="zh-CN"/>
              </w:rPr>
              <w:t>铁床立柱、</w:t>
            </w:r>
            <w:r>
              <w:rPr>
                <w:rFonts w:hint="eastAsia"/>
                <w:b/>
                <w:bCs/>
                <w:lang w:val="en-US" w:eastAsia="zh-CN"/>
              </w:rPr>
              <w:t>铁床长横梁、铁床床桓、铁床前</w:t>
            </w:r>
            <w:r>
              <w:rPr>
                <w:rFonts w:hint="eastAsia"/>
                <w:b/>
                <w:bCs/>
              </w:rPr>
              <w:t>护栏</w:t>
            </w:r>
            <w:r>
              <w:rPr>
                <w:rFonts w:hint="eastAsia"/>
                <w:b/>
                <w:bCs/>
                <w:lang w:eastAsia="zh-CN"/>
              </w:rPr>
              <w:t>主管、</w:t>
            </w:r>
            <w:r>
              <w:rPr>
                <w:rFonts w:hint="eastAsia"/>
                <w:b/>
                <w:bCs/>
                <w:lang w:val="en-US" w:eastAsia="zh-CN"/>
              </w:rPr>
              <w:t>铁床前</w:t>
            </w:r>
            <w:r>
              <w:rPr>
                <w:rFonts w:hint="eastAsia"/>
                <w:b/>
                <w:bCs/>
              </w:rPr>
              <w:t>护栏</w:t>
            </w:r>
            <w:r>
              <w:rPr>
                <w:rFonts w:hint="eastAsia"/>
                <w:b/>
                <w:bCs/>
                <w:lang w:eastAsia="zh-CN"/>
              </w:rPr>
              <w:t>竖管、铁床</w:t>
            </w:r>
            <w:r>
              <w:rPr>
                <w:rFonts w:hint="eastAsia"/>
                <w:b/>
                <w:bCs/>
              </w:rPr>
              <w:t>蚊帐杆</w:t>
            </w:r>
            <w:r>
              <w:rPr>
                <w:rFonts w:hint="eastAsia" w:ascii="宋体" w:hAnsi="宋体" w:eastAsia="宋体" w:cs="宋体"/>
                <w:b/>
                <w:bCs/>
                <w:color w:val="000000"/>
                <w:kern w:val="0"/>
                <w:szCs w:val="21"/>
              </w:rPr>
              <w:t>首页具有CMA标识的第三方检测报告并加盖公章，检测内容需满足以上参数，使用方有权查验检测报告的真实性，末提供及不符合要求的报价无效，提供虚假的按政府采购法处理）</w:t>
            </w:r>
          </w:p>
        </w:tc>
        <w:tc>
          <w:tcPr>
            <w:tcW w:w="901" w:type="dxa"/>
            <w:shd w:val="clear" w:color="auto" w:fill="auto"/>
            <w:noWrap w:val="0"/>
            <w:vAlign w:val="center"/>
          </w:tcPr>
          <w:p w14:paraId="01BCC6A4">
            <w:pPr>
              <w:widowControl/>
              <w:spacing w:line="300" w:lineRule="exact"/>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440</w:t>
            </w:r>
          </w:p>
        </w:tc>
        <w:tc>
          <w:tcPr>
            <w:tcW w:w="702" w:type="dxa"/>
            <w:shd w:val="clear" w:color="auto" w:fill="auto"/>
            <w:noWrap w:val="0"/>
            <w:vAlign w:val="center"/>
          </w:tcPr>
          <w:p w14:paraId="77F5F55A">
            <w:pPr>
              <w:widowControl/>
              <w:spacing w:line="300" w:lineRule="exact"/>
              <w:jc w:val="center"/>
              <w:textAlignment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1182</w:t>
            </w:r>
          </w:p>
        </w:tc>
        <w:tc>
          <w:tcPr>
            <w:tcW w:w="1113" w:type="dxa"/>
            <w:shd w:val="clear" w:color="auto" w:fill="auto"/>
            <w:noWrap w:val="0"/>
            <w:vAlign w:val="center"/>
          </w:tcPr>
          <w:p w14:paraId="661EECC9">
            <w:pPr>
              <w:widowControl/>
              <w:spacing w:line="300" w:lineRule="exact"/>
              <w:jc w:val="center"/>
              <w:textAlignment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520080</w:t>
            </w:r>
          </w:p>
        </w:tc>
      </w:tr>
      <w:tr w14:paraId="1AB0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34" w:type="dxa"/>
            <w:shd w:val="clear" w:color="auto" w:fill="auto"/>
            <w:noWrap w:val="0"/>
            <w:vAlign w:val="center"/>
          </w:tcPr>
          <w:p w14:paraId="7A6D13A8">
            <w:pPr>
              <w:widowControl/>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w:t>
            </w:r>
          </w:p>
        </w:tc>
        <w:tc>
          <w:tcPr>
            <w:tcW w:w="533" w:type="dxa"/>
            <w:shd w:val="clear" w:color="auto" w:fill="auto"/>
            <w:noWrap w:val="0"/>
            <w:vAlign w:val="center"/>
          </w:tcPr>
          <w:p w14:paraId="51725584">
            <w:pPr>
              <w:bidi w:val="0"/>
              <w:jc w:val="center"/>
              <w:rPr>
                <w:rFonts w:hint="eastAsia"/>
                <w:lang w:eastAsia="zh-CN"/>
              </w:rPr>
            </w:pPr>
            <w:r>
              <w:rPr>
                <w:rFonts w:hint="eastAsia"/>
                <w:lang w:eastAsia="zh-CN"/>
              </w:rPr>
              <w:t>实木课桌椅</w:t>
            </w:r>
          </w:p>
        </w:tc>
        <w:tc>
          <w:tcPr>
            <w:tcW w:w="6217" w:type="dxa"/>
            <w:shd w:val="clear" w:color="auto" w:fill="auto"/>
            <w:noWrap w:val="0"/>
            <w:vAlign w:val="center"/>
          </w:tcPr>
          <w:p w14:paraId="34DF371E">
            <w:pPr>
              <w:keepNext w:val="0"/>
              <w:keepLines w:val="0"/>
              <w:pageBreakBefore w:val="0"/>
              <w:widowControl w:val="0"/>
              <w:kinsoku/>
              <w:wordWrap/>
              <w:overflowPunct/>
              <w:topLinePunct w:val="0"/>
              <w:autoSpaceDE/>
              <w:autoSpaceDN/>
              <w:bidi w:val="0"/>
              <w:adjustRightInd/>
              <w:spacing w:line="0" w:lineRule="atLeas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课桌椅应符合</w:t>
            </w:r>
            <w:r>
              <w:rPr>
                <w:rFonts w:hint="eastAsia" w:ascii="宋体" w:hAnsi="宋体" w:eastAsia="宋体" w:cs="宋体"/>
                <w:color w:val="000000"/>
                <w:kern w:val="0"/>
                <w:szCs w:val="21"/>
                <w:lang w:val="en-US" w:eastAsia="zh-CN"/>
              </w:rPr>
              <w:t>环保要求</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2、课桌外观规格尺寸：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长650mm×宽450mm×高7</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0mm（尺寸允许偏差±5mm）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课桌脚料3</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mm×4</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mm，方料3</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mm×</w:t>
            </w:r>
            <w:r>
              <w:rPr>
                <w:rFonts w:hint="eastAsia" w:ascii="宋体" w:hAnsi="宋体" w:eastAsia="宋体" w:cs="宋体"/>
                <w:color w:val="000000"/>
                <w:kern w:val="0"/>
                <w:szCs w:val="21"/>
                <w:lang w:val="en-US" w:eastAsia="zh-CN"/>
              </w:rPr>
              <w:t>26</w:t>
            </w:r>
            <w:r>
              <w:rPr>
                <w:rFonts w:hint="eastAsia" w:ascii="宋体" w:hAnsi="宋体" w:eastAsia="宋体" w:cs="宋体"/>
                <w:color w:val="000000"/>
                <w:kern w:val="0"/>
                <w:szCs w:val="21"/>
              </w:rPr>
              <w:t>mm，（以上允许尺寸偏差±1mm）课桌面板厚度≥</w:t>
            </w:r>
            <w:r>
              <w:rPr>
                <w:rFonts w:hint="eastAsia" w:ascii="宋体" w:hAnsi="宋体" w:eastAsia="宋体" w:cs="宋体"/>
                <w:color w:val="000000"/>
                <w:kern w:val="0"/>
                <w:szCs w:val="21"/>
                <w:lang w:val="en-US" w:eastAsia="zh-CN"/>
              </w:rPr>
              <w:t>18</w:t>
            </w:r>
            <w:r>
              <w:rPr>
                <w:rFonts w:hint="eastAsia" w:ascii="宋体" w:hAnsi="宋体" w:eastAsia="宋体" w:cs="宋体"/>
                <w:color w:val="000000"/>
                <w:kern w:val="0"/>
                <w:szCs w:val="21"/>
              </w:rPr>
              <w:t>mm。</w:t>
            </w:r>
          </w:p>
          <w:p w14:paraId="7954A9B0">
            <w:pPr>
              <w:widowControl/>
              <w:numPr>
                <w:ilvl w:val="0"/>
                <w:numId w:val="0"/>
              </w:numPr>
              <w:jc w:val="left"/>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桌斗尺寸：长600mm×深400×高</w:t>
            </w:r>
            <w:r>
              <w:rPr>
                <w:rFonts w:hint="eastAsia" w:ascii="宋体" w:hAnsi="宋体" w:eastAsia="宋体" w:cs="宋体"/>
                <w:color w:val="000000"/>
                <w:kern w:val="0"/>
                <w:szCs w:val="21"/>
                <w:lang w:val="en-US" w:eastAsia="zh-CN"/>
              </w:rPr>
              <w:t>195</w:t>
            </w:r>
            <w:r>
              <w:rPr>
                <w:rFonts w:hint="eastAsia" w:ascii="宋体" w:hAnsi="宋体" w:eastAsia="宋体" w:cs="宋体"/>
                <w:color w:val="000000"/>
                <w:kern w:val="0"/>
                <w:szCs w:val="21"/>
              </w:rPr>
              <w:t>mm（以上尺寸允许偏离±5mm）</w:t>
            </w:r>
          </w:p>
          <w:p w14:paraId="51220FE5">
            <w:pPr>
              <w:widowControl/>
              <w:numPr>
                <w:ilvl w:val="0"/>
                <w:numId w:val="0"/>
              </w:numPr>
              <w:jc w:val="left"/>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课桌下书柜</w:t>
            </w:r>
            <w:r>
              <w:rPr>
                <w:rFonts w:hint="eastAsia" w:ascii="宋体" w:hAnsi="宋体" w:eastAsia="宋体" w:cs="宋体"/>
                <w:color w:val="000000"/>
                <w:kern w:val="0"/>
                <w:szCs w:val="21"/>
                <w:lang w:val="en-US" w:eastAsia="zh-CN"/>
              </w:rPr>
              <w:t>长</w:t>
            </w:r>
            <w:r>
              <w:rPr>
                <w:rFonts w:hint="eastAsia" w:ascii="宋体" w:hAnsi="宋体" w:eastAsia="宋体" w:cs="宋体"/>
                <w:color w:val="000000"/>
                <w:kern w:val="0"/>
                <w:szCs w:val="21"/>
              </w:rPr>
              <w:t>度5</w:t>
            </w:r>
            <w:r>
              <w:rPr>
                <w:rFonts w:hint="eastAsia" w:ascii="宋体" w:hAnsi="宋体" w:eastAsia="宋体" w:cs="宋体"/>
                <w:color w:val="000000"/>
                <w:kern w:val="0"/>
                <w:szCs w:val="21"/>
                <w:lang w:val="en-US" w:eastAsia="zh-CN"/>
              </w:rPr>
              <w:t>95</w:t>
            </w:r>
            <w:r>
              <w:rPr>
                <w:rFonts w:hint="eastAsia" w:ascii="宋体" w:hAnsi="宋体" w:eastAsia="宋体" w:cs="宋体"/>
                <w:color w:val="000000"/>
                <w:kern w:val="0"/>
                <w:szCs w:val="21"/>
              </w:rPr>
              <w:t>mm</w:t>
            </w:r>
            <w:r>
              <w:rPr>
                <w:rFonts w:hint="eastAsia" w:ascii="宋体" w:hAnsi="宋体" w:eastAsia="宋体" w:cs="宋体"/>
                <w:color w:val="000000"/>
                <w:kern w:val="0"/>
                <w:szCs w:val="21"/>
                <w:lang w:val="en-US" w:eastAsia="zh-CN"/>
              </w:rPr>
              <w:t>±5mm</w:t>
            </w:r>
            <w:r>
              <w:rPr>
                <w:rFonts w:hint="eastAsia" w:ascii="宋体" w:hAnsi="宋体" w:eastAsia="宋体" w:cs="宋体"/>
                <w:color w:val="000000"/>
                <w:kern w:val="0"/>
                <w:szCs w:val="21"/>
              </w:rPr>
              <w:t>，宽度2</w:t>
            </w:r>
            <w:r>
              <w:rPr>
                <w:rFonts w:hint="eastAsia" w:ascii="宋体" w:hAnsi="宋体" w:eastAsia="宋体" w:cs="宋体"/>
                <w:color w:val="000000"/>
                <w:kern w:val="0"/>
                <w:szCs w:val="21"/>
                <w:lang w:val="en-US" w:eastAsia="zh-CN"/>
              </w:rPr>
              <w:t>15</w:t>
            </w:r>
            <w:r>
              <w:rPr>
                <w:rFonts w:hint="eastAsia" w:ascii="宋体" w:hAnsi="宋体" w:eastAsia="宋体" w:cs="宋体"/>
                <w:color w:val="000000"/>
                <w:kern w:val="0"/>
                <w:szCs w:val="21"/>
              </w:rPr>
              <w:t>mm</w:t>
            </w:r>
            <w:r>
              <w:rPr>
                <w:rFonts w:hint="eastAsia" w:ascii="宋体" w:hAnsi="宋体" w:eastAsia="宋体" w:cs="宋体"/>
                <w:color w:val="000000"/>
                <w:kern w:val="0"/>
                <w:szCs w:val="21"/>
                <w:lang w:val="en-US" w:eastAsia="zh-CN"/>
              </w:rPr>
              <w:t>±5mm</w:t>
            </w:r>
            <w:r>
              <w:rPr>
                <w:rFonts w:hint="eastAsia" w:ascii="宋体" w:hAnsi="宋体" w:eastAsia="宋体" w:cs="宋体"/>
                <w:color w:val="000000"/>
                <w:kern w:val="0"/>
                <w:szCs w:val="21"/>
              </w:rPr>
              <w:t>，高度</w:t>
            </w:r>
            <w:r>
              <w:rPr>
                <w:rFonts w:hint="eastAsia" w:ascii="宋体" w:hAnsi="宋体" w:eastAsia="宋体" w:cs="宋体"/>
                <w:color w:val="000000"/>
                <w:kern w:val="0"/>
                <w:szCs w:val="21"/>
                <w:lang w:val="en-US" w:eastAsia="zh-CN"/>
              </w:rPr>
              <w:t>325</w:t>
            </w:r>
            <w:r>
              <w:rPr>
                <w:rFonts w:hint="eastAsia" w:ascii="宋体" w:hAnsi="宋体" w:eastAsia="宋体" w:cs="宋体"/>
                <w:color w:val="000000"/>
                <w:kern w:val="0"/>
                <w:szCs w:val="21"/>
              </w:rPr>
              <w:t>mm</w:t>
            </w:r>
            <w:r>
              <w:rPr>
                <w:rFonts w:hint="eastAsia" w:ascii="宋体" w:hAnsi="宋体" w:eastAsia="宋体" w:cs="宋体"/>
                <w:color w:val="000000"/>
                <w:kern w:val="0"/>
                <w:szCs w:val="21"/>
                <w:lang w:val="en-US" w:eastAsia="zh-CN"/>
              </w:rPr>
              <w:t>±5mm</w:t>
            </w:r>
            <w:r>
              <w:rPr>
                <w:rFonts w:hint="eastAsia" w:ascii="宋体" w:hAnsi="宋体" w:eastAsia="宋体" w:cs="宋体"/>
                <w:color w:val="000000"/>
                <w:kern w:val="0"/>
                <w:szCs w:val="21"/>
              </w:rPr>
              <w:t>；书柜背板和侧板采用</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厘米实木多层板，挡板采用长570mm*宽185mm</w:t>
            </w:r>
            <w:r>
              <w:rPr>
                <w:rFonts w:hint="eastAsia" w:ascii="宋体" w:hAnsi="宋体" w:eastAsia="宋体" w:cs="宋体"/>
                <w:color w:val="000000"/>
                <w:kern w:val="0"/>
                <w:szCs w:val="21"/>
                <w:lang w:eastAsia="zh-CN"/>
              </w:rPr>
              <w:t>厚≥</w:t>
            </w: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mm；</w:t>
            </w:r>
          </w:p>
          <w:p w14:paraId="0F049AB8">
            <w:pPr>
              <w:widowControl/>
              <w:numPr>
                <w:ilvl w:val="0"/>
                <w:numId w:val="0"/>
              </w:numPr>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4.1、</w:t>
            </w:r>
            <w:r>
              <w:rPr>
                <w:rFonts w:hint="eastAsia" w:ascii="宋体" w:hAnsi="宋体" w:eastAsia="宋体" w:cs="宋体"/>
                <w:color w:val="000000"/>
                <w:kern w:val="0"/>
                <w:szCs w:val="21"/>
              </w:rPr>
              <w:t>多层实木板要求：GB/T 34722-2017《浸渍胶膜纸饰面胶合板和细木工板》、GB 18580-2017《室内装饰装修材料人造板及其制品中甲醛释放限量》、JC/T 2039-2010《抗菌防番木质装饰板》、GB/T 1741-2020《漆膜耐莓菌性测定法》标准；理化性能要求：含水率8%~(产品所在地区年平均木材平衡含水率+1%）、表面耐划痕≥1.5N表面无大于90%的连续划痕、表面耐冷热循环，无裂纹、鼓泡、变色、起皱等；甲醛释放量E1≤0.025mg/m³；抗细菌性能、抗细菌率：大肠埃希氏菌（大肠杆菌）、金黄色葡萄球菌均≥99%；耐霉菌性等级：黑曲霉、黄曲霉、腊叶芽枝霉、宛氏拟青霉、桔青霉、绿色木霉、出芽短梗霉均为0级（0级最好4级最差）。</w:t>
            </w:r>
            <w:r>
              <w:rPr>
                <w:rFonts w:hint="eastAsia" w:ascii="宋体" w:hAnsi="宋体" w:eastAsia="宋体" w:cs="宋体"/>
                <w:b/>
                <w:bCs/>
                <w:color w:val="000000"/>
                <w:kern w:val="0"/>
                <w:szCs w:val="21"/>
              </w:rPr>
              <w:t>（报价时提供多层实木板首页具有CMA标识的第三方检测报告并加盖公章，检测内容需满足以上参数，使用方有权查验检测报告的真实性，末提供及不符合要求的报价无效，提供虚假的按政府采购法处理）</w:t>
            </w:r>
          </w:p>
          <w:p w14:paraId="4D98D4E8">
            <w:pPr>
              <w:pStyle w:val="3"/>
              <w:ind w:left="0" w:leftChars="0" w:firstLine="0" w:firstLine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、课椅规格：椅子后面高度780mm，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椅子座面高度4</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0mm，椅子面板前面宽度</w:t>
            </w:r>
            <w:r>
              <w:rPr>
                <w:rFonts w:hint="eastAsia" w:ascii="宋体" w:hAnsi="宋体" w:eastAsia="宋体" w:cs="宋体"/>
                <w:color w:val="000000"/>
                <w:kern w:val="0"/>
                <w:szCs w:val="21"/>
                <w:lang w:val="en-US" w:eastAsia="zh-CN"/>
              </w:rPr>
              <w:t>38</w:t>
            </w:r>
            <w:r>
              <w:rPr>
                <w:rFonts w:hint="eastAsia" w:ascii="宋体" w:hAnsi="宋体" w:eastAsia="宋体" w:cs="宋体"/>
                <w:color w:val="000000"/>
                <w:kern w:val="0"/>
                <w:szCs w:val="21"/>
              </w:rPr>
              <w:t>0mm，椅子面板后面宽度3</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0mm，（以上允许尺寸偏差±5mm）。脚料4</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mm×3</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mm，方料 3</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mm×</w:t>
            </w:r>
            <w:r>
              <w:rPr>
                <w:rFonts w:hint="eastAsia" w:ascii="宋体" w:hAnsi="宋体" w:eastAsia="宋体" w:cs="宋体"/>
                <w:color w:val="000000"/>
                <w:kern w:val="0"/>
                <w:szCs w:val="21"/>
                <w:lang w:val="en-US" w:eastAsia="zh-CN"/>
              </w:rPr>
              <w:t>26</w:t>
            </w:r>
            <w:r>
              <w:rPr>
                <w:rFonts w:hint="eastAsia" w:ascii="宋体" w:hAnsi="宋体" w:eastAsia="宋体" w:cs="宋体"/>
                <w:color w:val="000000"/>
                <w:kern w:val="0"/>
                <w:szCs w:val="21"/>
              </w:rPr>
              <w:t>mm，（以上允许尺寸偏差±1mm）座板采用厚度≥</w:t>
            </w:r>
            <w:r>
              <w:rPr>
                <w:rFonts w:hint="eastAsia" w:ascii="宋体" w:hAnsi="宋体" w:eastAsia="宋体" w:cs="宋体"/>
                <w:color w:val="000000"/>
                <w:kern w:val="0"/>
                <w:szCs w:val="21"/>
                <w:lang w:val="en-US" w:eastAsia="zh-CN"/>
              </w:rPr>
              <w:t>18</w:t>
            </w:r>
            <w:r>
              <w:rPr>
                <w:rFonts w:hint="eastAsia" w:ascii="宋体" w:hAnsi="宋体" w:eastAsia="宋体" w:cs="宋体"/>
                <w:color w:val="000000"/>
                <w:kern w:val="0"/>
                <w:szCs w:val="21"/>
              </w:rPr>
              <w:t>mm橡胶木齿接板。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、课桌椅应符合 GB /T 3324-2017 木家具通用技术条件和GB 18584-2001 室内装饰装修材料木家具中有害物质限量两项标准。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、外观规格尺寸：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①650mm×450mm×7</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0mm（尺寸允许偏差±5mm）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课桌脚料3</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mm×4</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mm，方料3</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mm×</w:t>
            </w:r>
            <w:r>
              <w:rPr>
                <w:rFonts w:hint="eastAsia" w:ascii="宋体" w:hAnsi="宋体" w:eastAsia="宋体" w:cs="宋体"/>
                <w:color w:val="000000"/>
                <w:kern w:val="0"/>
                <w:szCs w:val="21"/>
                <w:lang w:val="en-US" w:eastAsia="zh-CN"/>
              </w:rPr>
              <w:t>26</w:t>
            </w:r>
            <w:r>
              <w:rPr>
                <w:rFonts w:hint="eastAsia" w:ascii="宋体" w:hAnsi="宋体" w:eastAsia="宋体" w:cs="宋体"/>
                <w:color w:val="000000"/>
                <w:kern w:val="0"/>
                <w:szCs w:val="21"/>
              </w:rPr>
              <w:t>mm，（以上允许尺寸偏差±1mm）课桌面板厚度≥</w:t>
            </w:r>
            <w:r>
              <w:rPr>
                <w:rFonts w:hint="eastAsia" w:ascii="宋体" w:hAnsi="宋体" w:eastAsia="宋体" w:cs="宋体"/>
                <w:color w:val="000000"/>
                <w:kern w:val="0"/>
                <w:szCs w:val="21"/>
                <w:lang w:val="en-US" w:eastAsia="zh-CN"/>
              </w:rPr>
              <w:t>18</w:t>
            </w:r>
            <w:r>
              <w:rPr>
                <w:rFonts w:hint="eastAsia" w:ascii="宋体" w:hAnsi="宋体" w:eastAsia="宋体" w:cs="宋体"/>
                <w:color w:val="000000"/>
                <w:kern w:val="0"/>
                <w:szCs w:val="21"/>
              </w:rPr>
              <w:t>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、课椅规格：椅子后面高度780mm，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①椅子座面高度4</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0mm，椅子面板前面宽度</w:t>
            </w:r>
            <w:r>
              <w:rPr>
                <w:rFonts w:hint="eastAsia" w:ascii="宋体" w:hAnsi="宋体" w:eastAsia="宋体" w:cs="宋体"/>
                <w:color w:val="000000"/>
                <w:kern w:val="0"/>
                <w:szCs w:val="21"/>
                <w:lang w:val="en-US" w:eastAsia="zh-CN"/>
              </w:rPr>
              <w:t>38</w:t>
            </w:r>
            <w:r>
              <w:rPr>
                <w:rFonts w:hint="eastAsia" w:ascii="宋体" w:hAnsi="宋体" w:eastAsia="宋体" w:cs="宋体"/>
                <w:color w:val="000000"/>
                <w:kern w:val="0"/>
                <w:szCs w:val="21"/>
              </w:rPr>
              <w:t>0mm，椅子面板后面宽度3</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0mm， （以上允许尺寸偏差±5mm）。脚料4</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mm×</w:t>
            </w:r>
            <w:r>
              <w:rPr>
                <w:rFonts w:hint="eastAsia" w:ascii="宋体" w:hAnsi="宋体" w:eastAsia="宋体" w:cs="宋体"/>
                <w:color w:val="000000"/>
                <w:kern w:val="0"/>
                <w:szCs w:val="21"/>
                <w:lang w:val="en-US" w:eastAsia="zh-CN"/>
              </w:rPr>
              <w:t>32</w:t>
            </w:r>
            <w:r>
              <w:rPr>
                <w:rFonts w:hint="eastAsia" w:ascii="宋体" w:hAnsi="宋体" w:eastAsia="宋体" w:cs="宋体"/>
                <w:color w:val="000000"/>
                <w:kern w:val="0"/>
                <w:szCs w:val="21"/>
              </w:rPr>
              <w:t>mm，方料 3</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mm×</w:t>
            </w:r>
            <w:r>
              <w:rPr>
                <w:rFonts w:hint="eastAsia" w:ascii="宋体" w:hAnsi="宋体" w:eastAsia="宋体" w:cs="宋体"/>
                <w:color w:val="000000"/>
                <w:kern w:val="0"/>
                <w:szCs w:val="21"/>
                <w:lang w:val="en-US" w:eastAsia="zh-CN"/>
              </w:rPr>
              <w:t>26</w:t>
            </w:r>
            <w:r>
              <w:rPr>
                <w:rFonts w:hint="eastAsia" w:ascii="宋体" w:hAnsi="宋体" w:eastAsia="宋体" w:cs="宋体"/>
                <w:color w:val="000000"/>
                <w:kern w:val="0"/>
                <w:szCs w:val="21"/>
              </w:rPr>
              <w:t>mm，（以上允许尺寸偏差±1mm）座板采用厚度≥</w:t>
            </w:r>
            <w:r>
              <w:rPr>
                <w:rFonts w:hint="eastAsia" w:ascii="宋体" w:hAnsi="宋体" w:eastAsia="宋体" w:cs="宋体"/>
                <w:color w:val="000000"/>
                <w:kern w:val="0"/>
                <w:szCs w:val="21"/>
                <w:lang w:val="en-US" w:eastAsia="zh-CN"/>
              </w:rPr>
              <w:t>18</w:t>
            </w:r>
            <w:r>
              <w:rPr>
                <w:rFonts w:hint="eastAsia" w:ascii="宋体" w:hAnsi="宋体" w:eastAsia="宋体" w:cs="宋体"/>
                <w:color w:val="000000"/>
                <w:kern w:val="0"/>
                <w:szCs w:val="21"/>
              </w:rPr>
              <w:t>mm橡胶木齿接板。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、课桌椅面板采用厚度≥</w:t>
            </w:r>
            <w:r>
              <w:rPr>
                <w:rFonts w:hint="eastAsia" w:ascii="宋体" w:hAnsi="宋体" w:eastAsia="宋体" w:cs="宋体"/>
                <w:color w:val="000000"/>
                <w:kern w:val="0"/>
                <w:szCs w:val="21"/>
                <w:lang w:val="en-US" w:eastAsia="zh-CN"/>
              </w:rPr>
              <w:t>18</w:t>
            </w:r>
            <w:r>
              <w:rPr>
                <w:rFonts w:hint="eastAsia" w:ascii="宋体" w:hAnsi="宋体" w:eastAsia="宋体" w:cs="宋体"/>
                <w:color w:val="000000"/>
                <w:kern w:val="0"/>
                <w:szCs w:val="21"/>
              </w:rPr>
              <w:t>mm橡胶木齿接板。</w:t>
            </w:r>
            <w:r>
              <w:rPr>
                <w:rFonts w:hint="eastAsia" w:ascii="宋体" w:hAnsi="宋体" w:eastAsia="宋体" w:cs="宋体"/>
                <w:b w:val="0"/>
                <w:bCs w:val="0"/>
                <w:color w:val="000000"/>
                <w:kern w:val="0"/>
                <w:szCs w:val="21"/>
              </w:rPr>
              <w:t>橡胶木齿接板要求：含水率：含水率8%~(产品所在地区年平均木材平衡含水率+1%）；甲醛释放量≤1.5mg/L。</w:t>
            </w:r>
            <w:r>
              <w:rPr>
                <w:rFonts w:hint="eastAsia" w:ascii="宋体" w:hAnsi="宋体" w:eastAsia="宋体" w:cs="宋体"/>
                <w:b/>
                <w:bCs/>
                <w:color w:val="000000"/>
                <w:kern w:val="0"/>
                <w:szCs w:val="21"/>
              </w:rPr>
              <w:t>（报价时提供橡胶木齿接板首页具有CMA标识的第三方检测报告并加盖公章，检测内容需满足以上参数，使用方有权查验检测报告的真实性，末提供及不符合要求的报价无效，提供虚假的按政府采购法处理）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、课桌层板、侧板采用厚度≥</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mm优质</w:t>
            </w:r>
            <w:r>
              <w:rPr>
                <w:rFonts w:hint="eastAsia" w:ascii="宋体" w:hAnsi="宋体" w:eastAsia="宋体" w:cs="宋体"/>
                <w:color w:val="000000"/>
                <w:kern w:val="0"/>
                <w:szCs w:val="21"/>
                <w:lang w:val="en-US" w:eastAsia="zh-CN"/>
              </w:rPr>
              <w:t>多层板</w:t>
            </w:r>
            <w:r>
              <w:rPr>
                <w:rFonts w:hint="eastAsia" w:ascii="宋体" w:hAnsi="宋体" w:eastAsia="宋体" w:cs="宋体"/>
                <w:color w:val="000000"/>
                <w:kern w:val="0"/>
                <w:szCs w:val="21"/>
              </w:rPr>
              <w:t>：要求：含水率8%~(产品所在地区年平均木材平衡含水率+1%）。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lang w:val="en-US" w:eastAsia="zh-CN"/>
              </w:rPr>
              <w:t>11</w:t>
            </w:r>
            <w:r>
              <w:rPr>
                <w:rFonts w:hint="eastAsia" w:ascii="宋体" w:hAnsi="宋体" w:eastAsia="宋体" w:cs="宋体"/>
                <w:color w:val="000000"/>
                <w:kern w:val="0"/>
                <w:szCs w:val="21"/>
              </w:rPr>
              <w:t>、桌椅脚架及横方采用脚架4</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mm×3</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mm，横方 3</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mm×</w:t>
            </w:r>
            <w:r>
              <w:rPr>
                <w:rFonts w:hint="eastAsia" w:ascii="宋体" w:hAnsi="宋体" w:eastAsia="宋体" w:cs="宋体"/>
                <w:color w:val="000000"/>
                <w:kern w:val="0"/>
                <w:szCs w:val="21"/>
                <w:lang w:val="en-US" w:eastAsia="zh-CN"/>
              </w:rPr>
              <w:t>26</w:t>
            </w:r>
            <w:r>
              <w:rPr>
                <w:rFonts w:hint="eastAsia" w:ascii="宋体" w:hAnsi="宋体" w:eastAsia="宋体" w:cs="宋体"/>
                <w:color w:val="000000"/>
                <w:kern w:val="0"/>
                <w:szCs w:val="21"/>
              </w:rPr>
              <w:t>mm（以上允许尺寸偏差±1mm）的优质株木实木方，经干燥、防虫、防腐 处理，木材含水率8%~(产品所在地区年平均木材平衡含水率+1%），不翘曲、变形，无虫眼， 无鼓包、起泡。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lang w:val="en-US" w:eastAsia="zh-CN"/>
              </w:rPr>
              <w:t>12</w:t>
            </w:r>
            <w:r>
              <w:rPr>
                <w:rFonts w:hint="eastAsia" w:ascii="宋体" w:hAnsi="宋体" w:eastAsia="宋体" w:cs="宋体"/>
                <w:color w:val="000000"/>
                <w:kern w:val="0"/>
                <w:szCs w:val="21"/>
              </w:rPr>
              <w:t>、课桌椅整体采用榫卯结构，保证结构牢固，结实耐用；课椅框架采用≥四个座椅角码固定：选用七字型角码T3.0mm不锈钢板经模具一次焊接成型；课椅框架与课椅橡木面板采用自攻防松螺丝加固。</w:t>
            </w:r>
          </w:p>
          <w:p w14:paraId="6131BE64">
            <w:pPr>
              <w:pStyle w:val="3"/>
              <w:ind w:left="0" w:leftChars="0" w:firstLine="0" w:firstLineChars="0"/>
              <w:rPr>
                <w:rFonts w:hint="eastAsia" w:ascii="宋体" w:hAnsi="宋体" w:eastAsia="宋体" w:cs="宋体"/>
                <w:b/>
                <w:bCs/>
                <w:color w:val="000000"/>
                <w:kern w:val="0"/>
                <w:szCs w:val="21"/>
              </w:rPr>
            </w:pPr>
            <w:r>
              <w:rPr>
                <w:rFonts w:hint="eastAsia" w:ascii="宋体" w:hAnsi="宋体" w:eastAsia="宋体" w:cs="宋体"/>
                <w:color w:val="000000"/>
                <w:kern w:val="0"/>
                <w:szCs w:val="21"/>
                <w:lang w:val="en-US" w:eastAsia="zh-CN"/>
              </w:rPr>
              <w:t>13</w:t>
            </w:r>
            <w:r>
              <w:rPr>
                <w:rFonts w:hint="eastAsia" w:ascii="宋体" w:hAnsi="宋体" w:eastAsia="宋体" w:cs="宋体"/>
                <w:color w:val="000000"/>
                <w:kern w:val="0"/>
                <w:szCs w:val="21"/>
              </w:rPr>
              <w:t>、株木实木方应符合：GB/T 3324-2017《木家具通用技术条件》GB/T 29894-2013《木材鉴别方法通则》、GB/T 6043-2009《木材pH值测定方法》、GB/T 1931-2009《木材含水率测定方法》、GB/T 1933-2009《木材密度测定方法》、GB/T 1934.1-2009《木材吸水性测定方法》、GB/T 1936.1-2009《木材抗弯强度试验方法》、GB/T 1934.2-2009《木材湿胀性测定方法》、GB 18580-2017《室内装饰装修材料 人造板及其制品中甲醛释放限量》、GB/T 39600-2021 《人造板及其制品甲释放最分级》标准；外观要求、木制件外观：应无具有贯通裂缝、木家具中不应有虫蛀现象、外表应无腐朽材，内表轻微腐朽面积不应超过零件面积的20%、外表和存放物品部位用材应无树脂囊、外表节子宽度不应超过材宽的1/3，直径不超过12mm(特殊设计要求除外)、应进行修补加工(最大单个长度或直径小于5mm的缺陷不计)，缺陷数外表不超过4个，内表不超过6个 (设计要求除外)、如裂缝(贯通裂缝除外)、钝棱等，应进行修补加工；pH值按GB/T 6043-2009的规定、木材含水率按GB/T 1931-2009的规定、气干密度按GB/T 1933-2009的规定、全干密度按GB/T 1933-2009的规定、吸水率按GB/T 1934.1-2009 的规定、抗弯强度(弦向）按GB/T 19361-2009的规定、可接触的实木部件中五氯苯酚(PCP)为未检出、甲醛释放限量为未检出。</w:t>
            </w:r>
            <w:r>
              <w:rPr>
                <w:rFonts w:hint="eastAsia" w:ascii="宋体" w:hAnsi="宋体" w:eastAsia="宋体" w:cs="宋体"/>
                <w:b/>
                <w:bCs/>
                <w:color w:val="000000"/>
                <w:kern w:val="0"/>
                <w:szCs w:val="21"/>
              </w:rPr>
              <w:t>（报价时提供株木实木方首页具有CMA标识的第三方检测报告并加盖公章，检测内容需满足以上参数，使用方有权查验检测报告的真实性，末提供及不符合要求的报价无效，提供虚假的按政府采购法处理）</w:t>
            </w:r>
          </w:p>
          <w:p w14:paraId="7F00C222">
            <w:pPr>
              <w:pStyle w:val="3"/>
              <w:numPr>
                <w:ilvl w:val="0"/>
                <w:numId w:val="1"/>
              </w:numPr>
              <w:ind w:left="0" w:leftChars="0" w:firstLine="0" w:firstLineChars="0"/>
              <w:rPr>
                <w:rFonts w:hint="eastAsia" w:ascii="宋体" w:hAnsi="宋体" w:eastAsia="宋体" w:cs="宋体"/>
                <w:color w:val="000000"/>
                <w:kern w:val="0"/>
                <w:szCs w:val="21"/>
              </w:rPr>
            </w:pPr>
            <w:r>
              <w:rPr>
                <w:rFonts w:hint="eastAsia" w:ascii="宋体" w:hAnsi="宋体" w:eastAsia="宋体" w:cs="宋体"/>
                <w:color w:val="000000"/>
                <w:kern w:val="0"/>
                <w:szCs w:val="21"/>
              </w:rPr>
              <w:t>面漆要求：GB18581-2009《室内装饰装修材料溶剂型器涂料中有害物质限量》标准；可溶性重金属含量(限色漆、腻子和醇酸类清漆）铅、镉、铬、汞均≤5mg/kg。</w:t>
            </w:r>
            <w:r>
              <w:rPr>
                <w:rFonts w:hint="eastAsia" w:ascii="宋体" w:hAnsi="宋体" w:eastAsia="宋体" w:cs="宋体"/>
                <w:b/>
                <w:bCs/>
                <w:color w:val="000000"/>
                <w:kern w:val="0"/>
                <w:szCs w:val="21"/>
              </w:rPr>
              <w:t>（报价时提供面漆首页具有CMA标识的第三方检测报告并加盖公章，检测内容需满足以上参数，使用方有权查验检测报告的真实性，末提供及不符合要求的报价无效，提供虚假的按政府采购法处理）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lang w:val="en-US" w:eastAsia="zh-CN"/>
              </w:rPr>
              <w:t>15</w:t>
            </w:r>
            <w:r>
              <w:rPr>
                <w:rFonts w:hint="eastAsia" w:ascii="宋体" w:hAnsi="宋体" w:eastAsia="宋体" w:cs="宋体"/>
                <w:color w:val="000000"/>
                <w:kern w:val="0"/>
                <w:szCs w:val="21"/>
              </w:rPr>
              <w:t>、拼板胶要求：按照GB18583-2008《室内装饰装修材料胶粘剂中有害物质限量》规定的方法测试；游离甲醛≤0.15g/kg、苯为未检出、二氯甲烷、1，2-二氯乙烷、1，1,2-三氯乙烷和三氯乙烯总含量为未检出、总挥发性有机物含量≤700g/L、甲苯+二甲苯为未检出。</w:t>
            </w:r>
            <w:r>
              <w:rPr>
                <w:rFonts w:hint="eastAsia" w:ascii="宋体" w:hAnsi="宋体" w:eastAsia="宋体" w:cs="宋体"/>
                <w:b/>
                <w:bCs/>
                <w:color w:val="000000"/>
                <w:kern w:val="0"/>
                <w:szCs w:val="21"/>
              </w:rPr>
              <w:t>（报价时提供拼板胶首页具有CMA标识的第三方检测报告并加盖公章，检测内容需满足以上参数，使用方有权查验检测报告的真实性，末提供及不符合要求的报价无效，提供虚假的按政府采购法处理）</w:t>
            </w:r>
          </w:p>
        </w:tc>
        <w:tc>
          <w:tcPr>
            <w:tcW w:w="901" w:type="dxa"/>
            <w:shd w:val="clear" w:color="auto" w:fill="auto"/>
            <w:noWrap w:val="0"/>
            <w:vAlign w:val="center"/>
          </w:tcPr>
          <w:p w14:paraId="436F227A">
            <w:pPr>
              <w:widowControl/>
              <w:spacing w:line="300" w:lineRule="exact"/>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1000</w:t>
            </w:r>
          </w:p>
        </w:tc>
        <w:tc>
          <w:tcPr>
            <w:tcW w:w="702" w:type="dxa"/>
            <w:shd w:val="clear" w:color="auto" w:fill="auto"/>
            <w:noWrap w:val="0"/>
            <w:vAlign w:val="center"/>
          </w:tcPr>
          <w:p w14:paraId="6C2D4394">
            <w:pPr>
              <w:widowControl/>
              <w:spacing w:line="300" w:lineRule="exact"/>
              <w:jc w:val="center"/>
              <w:textAlignment w:val="center"/>
              <w:rPr>
                <w:rFonts w:hint="default"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350</w:t>
            </w:r>
          </w:p>
        </w:tc>
        <w:tc>
          <w:tcPr>
            <w:tcW w:w="1113" w:type="dxa"/>
            <w:shd w:val="clear" w:color="auto" w:fill="auto"/>
            <w:noWrap w:val="0"/>
            <w:vAlign w:val="center"/>
          </w:tcPr>
          <w:p w14:paraId="4B892EE2">
            <w:pPr>
              <w:widowControl/>
              <w:spacing w:line="300" w:lineRule="exact"/>
              <w:jc w:val="center"/>
              <w:textAlignment w:val="center"/>
              <w:rPr>
                <w:rFonts w:hint="default"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350000</w:t>
            </w:r>
          </w:p>
        </w:tc>
      </w:tr>
      <w:tr w14:paraId="651B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34" w:type="dxa"/>
            <w:shd w:val="clear" w:color="auto" w:fill="auto"/>
            <w:noWrap w:val="0"/>
            <w:vAlign w:val="center"/>
          </w:tcPr>
          <w:p w14:paraId="388CA71C">
            <w:pPr>
              <w:widowControl/>
              <w:jc w:val="center"/>
              <w:rPr>
                <w:rFonts w:hint="eastAsia" w:asciiTheme="minorEastAsia" w:hAnsiTheme="minorEastAsia" w:eastAsiaTheme="minorEastAsia" w:cstheme="minorEastAsia"/>
                <w:color w:val="000000"/>
                <w:kern w:val="0"/>
                <w:sz w:val="24"/>
                <w:szCs w:val="24"/>
                <w:lang w:val="en-US" w:eastAsia="zh-CN"/>
              </w:rPr>
            </w:pPr>
          </w:p>
        </w:tc>
        <w:tc>
          <w:tcPr>
            <w:tcW w:w="533" w:type="dxa"/>
            <w:shd w:val="clear" w:color="auto" w:fill="auto"/>
            <w:noWrap w:val="0"/>
            <w:vAlign w:val="center"/>
          </w:tcPr>
          <w:p w14:paraId="519AAAA7">
            <w:pPr>
              <w:bidi w:val="0"/>
              <w:jc w:val="center"/>
              <w:rPr>
                <w:rFonts w:hint="eastAsia"/>
                <w:lang w:eastAsia="zh-CN"/>
              </w:rPr>
            </w:pPr>
          </w:p>
        </w:tc>
        <w:tc>
          <w:tcPr>
            <w:tcW w:w="6217" w:type="dxa"/>
            <w:shd w:val="clear" w:color="auto" w:fill="auto"/>
            <w:noWrap w:val="0"/>
            <w:vAlign w:val="center"/>
          </w:tcPr>
          <w:p w14:paraId="490CEEE3">
            <w:pPr>
              <w:pStyle w:val="3"/>
              <w:ind w:left="0" w:leftChars="0" w:firstLine="0" w:firstLineChars="0"/>
              <w:rPr>
                <w:rFonts w:hint="eastAsia"/>
              </w:rPr>
            </w:pPr>
          </w:p>
        </w:tc>
        <w:tc>
          <w:tcPr>
            <w:tcW w:w="901" w:type="dxa"/>
            <w:shd w:val="clear" w:color="auto" w:fill="auto"/>
            <w:noWrap w:val="0"/>
            <w:vAlign w:val="center"/>
          </w:tcPr>
          <w:p w14:paraId="42C10595">
            <w:pPr>
              <w:widowControl/>
              <w:spacing w:line="300" w:lineRule="exact"/>
              <w:jc w:val="center"/>
              <w:textAlignment w:val="center"/>
              <w:rPr>
                <w:rFonts w:hint="eastAsia" w:asciiTheme="minorEastAsia" w:hAnsiTheme="minorEastAsia" w:cstheme="minorEastAsia"/>
                <w:color w:val="000000"/>
                <w:sz w:val="24"/>
                <w:szCs w:val="24"/>
                <w:lang w:val="en-US" w:eastAsia="zh-CN"/>
              </w:rPr>
            </w:pPr>
          </w:p>
        </w:tc>
        <w:tc>
          <w:tcPr>
            <w:tcW w:w="702" w:type="dxa"/>
            <w:shd w:val="clear" w:color="auto" w:fill="auto"/>
            <w:noWrap w:val="0"/>
            <w:vAlign w:val="center"/>
          </w:tcPr>
          <w:p w14:paraId="13C24B3B">
            <w:pPr>
              <w:widowControl/>
              <w:spacing w:line="300" w:lineRule="exact"/>
              <w:jc w:val="center"/>
              <w:textAlignment w:val="center"/>
              <w:rPr>
                <w:rFonts w:hint="eastAsia"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合计</w:t>
            </w:r>
          </w:p>
        </w:tc>
        <w:tc>
          <w:tcPr>
            <w:tcW w:w="1113" w:type="dxa"/>
            <w:shd w:val="clear" w:color="auto" w:fill="auto"/>
            <w:noWrap w:val="0"/>
            <w:vAlign w:val="center"/>
          </w:tcPr>
          <w:p w14:paraId="7289C579">
            <w:pPr>
              <w:widowControl/>
              <w:spacing w:line="300" w:lineRule="exact"/>
              <w:jc w:val="center"/>
              <w:textAlignment w:val="center"/>
              <w:rPr>
                <w:rFonts w:hint="eastAsia"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fldChar w:fldCharType="begin"/>
            </w:r>
            <w:r>
              <w:rPr>
                <w:rFonts w:hint="eastAsia" w:asciiTheme="minorEastAsia" w:hAnsiTheme="minorEastAsia" w:cstheme="minorEastAsia"/>
                <w:color w:val="000000"/>
                <w:kern w:val="0"/>
                <w:sz w:val="24"/>
                <w:szCs w:val="24"/>
                <w:lang w:val="en-US" w:eastAsia="zh-CN"/>
              </w:rPr>
              <w:instrText xml:space="preserve"> = sum(F2:F3) \* MERGEFORMAT </w:instrText>
            </w:r>
            <w:r>
              <w:rPr>
                <w:rFonts w:hint="eastAsia" w:asciiTheme="minorEastAsia" w:hAnsiTheme="minorEastAsia" w:cstheme="minorEastAsia"/>
                <w:color w:val="000000"/>
                <w:kern w:val="0"/>
                <w:sz w:val="24"/>
                <w:szCs w:val="24"/>
                <w:lang w:val="en-US" w:eastAsia="zh-CN"/>
              </w:rPr>
              <w:fldChar w:fldCharType="separate"/>
            </w:r>
            <w:r>
              <w:rPr>
                <w:rFonts w:hint="eastAsia" w:asciiTheme="minorEastAsia" w:hAnsiTheme="minorEastAsia" w:cstheme="minorEastAsia"/>
                <w:color w:val="000000"/>
                <w:kern w:val="0"/>
                <w:sz w:val="24"/>
                <w:szCs w:val="24"/>
                <w:lang w:val="en-US" w:eastAsia="zh-CN"/>
              </w:rPr>
              <w:t>870000</w:t>
            </w:r>
            <w:r>
              <w:rPr>
                <w:rFonts w:hint="eastAsia" w:asciiTheme="minorEastAsia" w:hAnsiTheme="minorEastAsia" w:cstheme="minorEastAsia"/>
                <w:color w:val="000000"/>
                <w:kern w:val="0"/>
                <w:sz w:val="24"/>
                <w:szCs w:val="24"/>
                <w:lang w:val="en-US" w:eastAsia="zh-CN"/>
              </w:rPr>
              <w:fldChar w:fldCharType="end"/>
            </w:r>
          </w:p>
        </w:tc>
      </w:tr>
      <w:tr w14:paraId="701C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67" w:type="dxa"/>
            <w:gridSpan w:val="2"/>
            <w:shd w:val="clear" w:color="auto" w:fill="auto"/>
            <w:noWrap w:val="0"/>
            <w:vAlign w:val="center"/>
          </w:tcPr>
          <w:p w14:paraId="5ED68B07">
            <w:pPr>
              <w:jc w:val="center"/>
              <w:rPr>
                <w:rFonts w:hint="eastAsia" w:ascii="Calibri" w:hAnsi="Calibri" w:eastAsia="宋体" w:cs="Times New Roman"/>
                <w:b w:val="0"/>
                <w:bCs w:val="0"/>
                <w:color w:val="auto"/>
                <w:kern w:val="2"/>
                <w:sz w:val="18"/>
                <w:szCs w:val="24"/>
                <w:lang w:val="en-US" w:eastAsia="zh-CN" w:bidi="ar-SA"/>
              </w:rPr>
            </w:pPr>
            <w:r>
              <w:rPr>
                <w:rFonts w:hint="eastAsia"/>
                <w:b w:val="0"/>
                <w:bCs w:val="0"/>
                <w:color w:val="auto"/>
              </w:rPr>
              <w:t>售后服务要求及免费保修期</w:t>
            </w:r>
          </w:p>
        </w:tc>
        <w:tc>
          <w:tcPr>
            <w:tcW w:w="8933" w:type="dxa"/>
            <w:gridSpan w:val="4"/>
            <w:shd w:val="clear" w:color="auto" w:fill="auto"/>
            <w:noWrap w:val="0"/>
            <w:vAlign w:val="center"/>
          </w:tcPr>
          <w:p w14:paraId="7988EF73">
            <w:pPr>
              <w:jc w:val="left"/>
              <w:rPr>
                <w:b w:val="0"/>
                <w:bCs w:val="0"/>
                <w:color w:val="auto"/>
              </w:rPr>
            </w:pPr>
            <w:r>
              <w:rPr>
                <w:rFonts w:hint="eastAsia"/>
                <w:b w:val="0"/>
                <w:bCs w:val="0"/>
                <w:color w:val="auto"/>
              </w:rPr>
              <w:t>1、按国家有关产品“三包”规定执行“三包”，免费送货到采购人指定地点，免费安装调试。免费保修期3年（免费保修期从所有货物验收合格之日起计算）。</w:t>
            </w:r>
          </w:p>
          <w:p w14:paraId="63A21292">
            <w:pPr>
              <w:widowControl/>
              <w:spacing w:line="300" w:lineRule="exact"/>
              <w:jc w:val="left"/>
              <w:textAlignment w:val="center"/>
              <w:rPr>
                <w:rFonts w:hint="eastAsia" w:asciiTheme="minorEastAsia" w:hAnsiTheme="minorEastAsia" w:cstheme="minorEastAsia"/>
                <w:color w:val="000000"/>
                <w:kern w:val="0"/>
                <w:sz w:val="24"/>
                <w:szCs w:val="24"/>
                <w:lang w:val="en-US" w:eastAsia="zh-CN"/>
              </w:rPr>
            </w:pPr>
            <w:r>
              <w:rPr>
                <w:rFonts w:hint="eastAsia"/>
                <w:b w:val="0"/>
                <w:bCs w:val="0"/>
                <w:color w:val="auto"/>
              </w:rPr>
              <w:t>2、免费保修期内提供免费上门维修服务（含免费更换零部件、免人工费），并提供终身维修维护服务。如果需要更换配件的，所更换的配件应当为原供货产品品牌、类型相一致或者是同等档次的替代品，后者需征得用户方管理人员同意；若采购人发现产品存在制造上的缺陷，投标人应负责采取补救措施，若该缺陷导致产品存在安全隐患或不能使用的，投标人应负责免费更换整件产品。要求7*24小时提供服务，接到报修3小时内上门提供本地化服务（投标单位需在桂林市有售后服务站）。</w:t>
            </w:r>
          </w:p>
        </w:tc>
      </w:tr>
      <w:tr w14:paraId="75FC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67" w:type="dxa"/>
            <w:gridSpan w:val="2"/>
            <w:vAlign w:val="center"/>
          </w:tcPr>
          <w:p w14:paraId="303834AC">
            <w:pPr>
              <w:jc w:val="center"/>
              <w:rPr>
                <w:rFonts w:hint="eastAsia" w:ascii="Calibri" w:hAnsi="Calibri" w:eastAsia="宋体" w:cs="Times New Roman"/>
                <w:b w:val="0"/>
                <w:bCs w:val="0"/>
                <w:color w:val="auto"/>
                <w:kern w:val="2"/>
                <w:sz w:val="18"/>
                <w:szCs w:val="24"/>
                <w:lang w:val="en-US" w:eastAsia="zh-CN" w:bidi="ar-SA"/>
              </w:rPr>
            </w:pPr>
            <w:r>
              <w:rPr>
                <w:rFonts w:hint="eastAsia" w:asciiTheme="minorEastAsia" w:hAnsiTheme="minorEastAsia"/>
                <w:b w:val="0"/>
                <w:bCs w:val="0"/>
                <w:color w:val="auto"/>
              </w:rPr>
              <w:t>签订合同及交付使用时间及地点</w:t>
            </w:r>
          </w:p>
        </w:tc>
        <w:tc>
          <w:tcPr>
            <w:tcW w:w="8933" w:type="dxa"/>
            <w:gridSpan w:val="4"/>
            <w:shd w:val="clear" w:color="auto" w:fill="auto"/>
            <w:vAlign w:val="center"/>
          </w:tcPr>
          <w:p w14:paraId="408ACF4D">
            <w:pPr>
              <w:jc w:val="left"/>
              <w:rPr>
                <w:b w:val="0"/>
                <w:bCs w:val="0"/>
                <w:color w:val="auto"/>
              </w:rPr>
            </w:pPr>
            <w:r>
              <w:rPr>
                <w:b w:val="0"/>
                <w:bCs w:val="0"/>
                <w:color w:val="auto"/>
              </w:rPr>
              <w:t>1</w:t>
            </w:r>
            <w:r>
              <w:rPr>
                <w:rFonts w:hint="eastAsia"/>
                <w:b w:val="0"/>
                <w:bCs w:val="0"/>
                <w:color w:val="auto"/>
              </w:rPr>
              <w:t>、本项目交货期为</w:t>
            </w:r>
            <w:r>
              <w:rPr>
                <w:rFonts w:hint="eastAsia"/>
                <w:b w:val="0"/>
                <w:bCs w:val="0"/>
                <w:color w:val="auto"/>
                <w:lang w:val="en-US" w:eastAsia="zh-CN"/>
              </w:rPr>
              <w:t>15</w:t>
            </w:r>
            <w:r>
              <w:rPr>
                <w:rFonts w:hint="eastAsia"/>
                <w:b w:val="0"/>
                <w:bCs w:val="0"/>
                <w:color w:val="auto"/>
              </w:rPr>
              <w:t>天。合同签订后</w:t>
            </w:r>
            <w:r>
              <w:rPr>
                <w:rFonts w:hint="eastAsia"/>
                <w:b w:val="0"/>
                <w:bCs w:val="0"/>
                <w:color w:val="auto"/>
                <w:lang w:val="en-US" w:eastAsia="zh-CN"/>
              </w:rPr>
              <w:t>15</w:t>
            </w:r>
            <w:r>
              <w:rPr>
                <w:rFonts w:hint="eastAsia"/>
                <w:b w:val="0"/>
                <w:bCs w:val="0"/>
                <w:color w:val="auto"/>
              </w:rPr>
              <w:t>日内完成所有货物的交付。</w:t>
            </w:r>
          </w:p>
          <w:p w14:paraId="6468A17F">
            <w:pPr>
              <w:jc w:val="left"/>
              <w:rPr>
                <w:b w:val="0"/>
                <w:bCs w:val="0"/>
                <w:color w:val="auto"/>
              </w:rPr>
            </w:pPr>
            <w:r>
              <w:rPr>
                <w:rFonts w:hint="eastAsia"/>
                <w:b w:val="0"/>
                <w:bCs w:val="0"/>
                <w:color w:val="auto"/>
              </w:rPr>
              <w:t>（1）中标方逾期交付货物的，应按逾期交付价值总额每日千分之五的标准向采购方支付违约金，由采购方从待付货款中直接扣除。</w:t>
            </w:r>
          </w:p>
          <w:p w14:paraId="64D3E59A">
            <w:pPr>
              <w:jc w:val="left"/>
              <w:rPr>
                <w:b w:val="0"/>
                <w:bCs w:val="0"/>
                <w:color w:val="auto"/>
              </w:rPr>
            </w:pPr>
            <w:r>
              <w:rPr>
                <w:rFonts w:hint="eastAsia"/>
                <w:b w:val="0"/>
                <w:bCs w:val="0"/>
                <w:color w:val="auto"/>
              </w:rPr>
              <w:t>（2）中标方逾期时间超过5个工作日仍不能交付的，视为不能履约，采购方可解除采购合同，并没收履约保证金。</w:t>
            </w:r>
          </w:p>
          <w:p w14:paraId="6F2054EB">
            <w:pPr>
              <w:widowControl/>
              <w:spacing w:line="300" w:lineRule="exact"/>
              <w:jc w:val="left"/>
              <w:textAlignment w:val="center"/>
              <w:rPr>
                <w:rFonts w:hint="eastAsia" w:asciiTheme="minorEastAsia" w:hAnsiTheme="minorEastAsia" w:cstheme="minorEastAsia"/>
                <w:color w:val="000000"/>
                <w:kern w:val="0"/>
                <w:sz w:val="24"/>
                <w:szCs w:val="24"/>
                <w:lang w:val="en-US" w:eastAsia="zh-CN"/>
              </w:rPr>
            </w:pPr>
            <w:r>
              <w:rPr>
                <w:rFonts w:hint="eastAsia"/>
                <w:b w:val="0"/>
                <w:bCs w:val="0"/>
                <w:color w:val="auto"/>
              </w:rPr>
              <w:t>2、交付地点：采购人指定地点。</w:t>
            </w:r>
          </w:p>
        </w:tc>
      </w:tr>
      <w:tr w14:paraId="2FC8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67" w:type="dxa"/>
            <w:gridSpan w:val="2"/>
            <w:vAlign w:val="center"/>
          </w:tcPr>
          <w:p w14:paraId="7E0126D9">
            <w:pPr>
              <w:jc w:val="center"/>
              <w:rPr>
                <w:rFonts w:hint="eastAsia" w:asciiTheme="minorEastAsia" w:hAnsiTheme="minorEastAsia" w:eastAsiaTheme="minorEastAsia"/>
                <w:b w:val="0"/>
                <w:bCs w:val="0"/>
                <w:color w:val="auto"/>
                <w:lang w:eastAsia="zh-CN"/>
              </w:rPr>
            </w:pPr>
            <w:r>
              <w:rPr>
                <w:rFonts w:hint="eastAsia" w:asciiTheme="minorEastAsia" w:hAnsiTheme="minorEastAsia"/>
                <w:b w:val="0"/>
                <w:bCs w:val="0"/>
                <w:color w:val="auto"/>
                <w:lang w:eastAsia="zh-CN"/>
              </w:rPr>
              <w:t>样品要求</w:t>
            </w:r>
          </w:p>
        </w:tc>
        <w:tc>
          <w:tcPr>
            <w:tcW w:w="8933" w:type="dxa"/>
            <w:gridSpan w:val="4"/>
            <w:shd w:val="clear" w:color="auto" w:fill="auto"/>
            <w:vAlign w:val="center"/>
          </w:tcPr>
          <w:p w14:paraId="27913222">
            <w:pPr>
              <w:rPr>
                <w:rFonts w:hint="eastAsia" w:eastAsiaTheme="minorEastAsia"/>
                <w:lang w:eastAsia="zh-CN"/>
              </w:rPr>
            </w:pPr>
            <w:r>
              <w:rPr>
                <w:rFonts w:hint="eastAsia"/>
                <w:lang w:val="en-US" w:eastAsia="zh-CN"/>
              </w:rPr>
              <w:t>1、</w:t>
            </w:r>
            <w:r>
              <w:rPr>
                <w:rFonts w:hint="eastAsia"/>
              </w:rPr>
              <w:t>为保证产品品质报价前一天潜在供应商必须提供</w:t>
            </w:r>
            <w:r>
              <w:rPr>
                <w:rFonts w:hint="eastAsia"/>
                <w:lang w:eastAsia="zh-CN"/>
              </w:rPr>
              <w:t>第</w:t>
            </w:r>
            <w:r>
              <w:rPr>
                <w:rFonts w:hint="eastAsia"/>
                <w:lang w:val="en-US" w:eastAsia="zh-CN"/>
              </w:rPr>
              <w:t>1项货物“</w:t>
            </w:r>
            <w:r>
              <w:rPr>
                <w:rFonts w:hint="eastAsia"/>
                <w:lang w:eastAsia="zh-CN"/>
              </w:rPr>
              <w:t>双层床、第</w:t>
            </w:r>
            <w:r>
              <w:rPr>
                <w:rFonts w:hint="eastAsia"/>
                <w:lang w:val="en-US" w:eastAsia="zh-CN"/>
              </w:rPr>
              <w:t>2项货物“</w:t>
            </w:r>
            <w:r>
              <w:rPr>
                <w:rFonts w:hint="eastAsia"/>
                <w:lang w:eastAsia="zh-CN"/>
              </w:rPr>
              <w:t>实木课桌椅”</w:t>
            </w:r>
            <w:r>
              <w:rPr>
                <w:rFonts w:hint="eastAsia"/>
              </w:rPr>
              <w:t>实物样品</w:t>
            </w:r>
            <w:r>
              <w:rPr>
                <w:rFonts w:hint="eastAsia"/>
                <w:lang w:eastAsia="zh-CN"/>
              </w:rPr>
              <w:t>各</w:t>
            </w:r>
            <w:r>
              <w:rPr>
                <w:rFonts w:hint="eastAsia"/>
              </w:rPr>
              <w:t>1</w:t>
            </w:r>
            <w:r>
              <w:rPr>
                <w:rFonts w:hint="eastAsia"/>
                <w:lang w:eastAsia="zh-CN"/>
              </w:rPr>
              <w:t>套。</w:t>
            </w:r>
          </w:p>
          <w:p w14:paraId="6556ECB5">
            <w:pPr>
              <w:rPr>
                <w:rFonts w:hint="eastAsia"/>
                <w:b w:val="0"/>
                <w:bCs w:val="0"/>
                <w:color w:val="auto"/>
              </w:rPr>
            </w:pPr>
            <w:r>
              <w:rPr>
                <w:rFonts w:hint="eastAsia"/>
                <w:lang w:val="en-US" w:eastAsia="zh-CN"/>
              </w:rPr>
              <w:t>2、</w:t>
            </w:r>
            <w:r>
              <w:rPr>
                <w:rFonts w:hint="eastAsia"/>
              </w:rPr>
              <w:t>样品送交地址：</w:t>
            </w:r>
            <w:r>
              <w:rPr>
                <w:rFonts w:hint="eastAsia"/>
                <w:lang w:val="en-US" w:eastAsia="zh-CN"/>
              </w:rPr>
              <w:t>桂林市叠彩区环城北一路桂林市第五中学</w:t>
            </w:r>
            <w:r>
              <w:rPr>
                <w:rFonts w:hint="eastAsia"/>
              </w:rPr>
              <w:t xml:space="preserve">     ，联系人：</w:t>
            </w:r>
            <w:r>
              <w:rPr>
                <w:rFonts w:hint="eastAsia"/>
                <w:lang w:val="en-US" w:eastAsia="zh-CN"/>
              </w:rPr>
              <w:t>蔡</w:t>
            </w:r>
            <w:r>
              <w:rPr>
                <w:rFonts w:hint="eastAsia"/>
              </w:rPr>
              <w:t>老师，电话：</w:t>
            </w:r>
            <w:r>
              <w:rPr>
                <w:rFonts w:hint="eastAsia"/>
                <w:lang w:val="en-US" w:eastAsia="zh-CN"/>
              </w:rPr>
              <w:t>18077337726</w:t>
            </w:r>
            <w:bookmarkStart w:id="0" w:name="_GoBack"/>
            <w:bookmarkEnd w:id="0"/>
            <w:r>
              <w:rPr>
                <w:rFonts w:hint="eastAsia"/>
              </w:rPr>
              <w:t>。</w:t>
            </w:r>
            <w:r>
              <w:rPr>
                <w:rFonts w:hint="eastAsia"/>
                <w:lang w:val="en-US" w:eastAsia="zh-CN"/>
              </w:rPr>
              <w:t>未提供或提供不符合要求，报价无效。</w:t>
            </w:r>
          </w:p>
        </w:tc>
      </w:tr>
      <w:tr w14:paraId="5FA7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67" w:type="dxa"/>
            <w:gridSpan w:val="2"/>
            <w:vAlign w:val="center"/>
          </w:tcPr>
          <w:p w14:paraId="60D815D3">
            <w:pPr>
              <w:jc w:val="center"/>
              <w:rPr>
                <w:rFonts w:hint="eastAsia" w:ascii="Calibri" w:hAnsi="Calibri" w:eastAsia="宋体" w:cs="Times New Roman"/>
                <w:b w:val="0"/>
                <w:bCs w:val="0"/>
                <w:color w:val="auto"/>
                <w:kern w:val="2"/>
                <w:sz w:val="18"/>
                <w:szCs w:val="24"/>
                <w:lang w:val="en-US" w:eastAsia="zh-CN" w:bidi="ar-SA"/>
              </w:rPr>
            </w:pPr>
            <w:r>
              <w:rPr>
                <w:rFonts w:hint="eastAsia"/>
                <w:b w:val="0"/>
                <w:bCs w:val="0"/>
                <w:color w:val="auto"/>
              </w:rPr>
              <w:t>付款方式</w:t>
            </w:r>
          </w:p>
        </w:tc>
        <w:tc>
          <w:tcPr>
            <w:tcW w:w="8933" w:type="dxa"/>
            <w:gridSpan w:val="4"/>
            <w:shd w:val="clear" w:color="auto" w:fill="auto"/>
            <w:vAlign w:val="center"/>
          </w:tcPr>
          <w:p w14:paraId="4B67EB4D">
            <w:pPr>
              <w:widowControl/>
              <w:spacing w:line="300" w:lineRule="exact"/>
              <w:jc w:val="left"/>
              <w:textAlignment w:val="center"/>
              <w:rPr>
                <w:rFonts w:hint="eastAsia" w:asciiTheme="minorEastAsia" w:hAnsiTheme="minorEastAsia" w:cstheme="minorEastAsia"/>
                <w:color w:val="000000"/>
                <w:kern w:val="0"/>
                <w:sz w:val="24"/>
                <w:szCs w:val="24"/>
                <w:lang w:val="en-US" w:eastAsia="zh-CN"/>
              </w:rPr>
            </w:pPr>
            <w:r>
              <w:rPr>
                <w:rFonts w:hint="eastAsia"/>
                <w:b w:val="0"/>
                <w:bCs w:val="0"/>
                <w:color w:val="auto"/>
              </w:rPr>
              <w:t>付款时间和方式：本项目的资金拨付根据项目资金的到帐情况及财政部门的付款流程、付款期限执行，采购人不承担延期付款的责任。专项资金到帐且项目验收合格后，成交供应商开具全额发票给采购人，采购人收到发票后付至合同价款的100%（无息）。</w:t>
            </w:r>
          </w:p>
        </w:tc>
      </w:tr>
      <w:tr w14:paraId="579E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67" w:type="dxa"/>
            <w:gridSpan w:val="2"/>
            <w:vAlign w:val="center"/>
          </w:tcPr>
          <w:p w14:paraId="0702BCBA">
            <w:pPr>
              <w:jc w:val="center"/>
              <w:rPr>
                <w:rFonts w:hint="eastAsia" w:ascii="Calibri" w:hAnsi="Calibri" w:eastAsia="宋体" w:cs="Times New Roman"/>
                <w:b w:val="0"/>
                <w:bCs w:val="0"/>
                <w:color w:val="auto"/>
                <w:kern w:val="2"/>
                <w:sz w:val="18"/>
                <w:szCs w:val="24"/>
                <w:lang w:val="en-US" w:eastAsia="zh-CN" w:bidi="ar-SA"/>
              </w:rPr>
            </w:pPr>
            <w:r>
              <w:rPr>
                <w:rFonts w:hint="eastAsia"/>
                <w:b w:val="0"/>
                <w:bCs w:val="0"/>
                <w:color w:val="auto"/>
              </w:rPr>
              <w:t>其他要求</w:t>
            </w:r>
          </w:p>
        </w:tc>
        <w:tc>
          <w:tcPr>
            <w:tcW w:w="8933" w:type="dxa"/>
            <w:gridSpan w:val="4"/>
            <w:shd w:val="clear" w:color="auto" w:fill="auto"/>
            <w:vAlign w:val="center"/>
          </w:tcPr>
          <w:p w14:paraId="3D8D9457">
            <w:pPr>
              <w:jc w:val="left"/>
              <w:rPr>
                <w:b w:val="0"/>
                <w:bCs w:val="0"/>
                <w:color w:val="auto"/>
              </w:rPr>
            </w:pPr>
            <w:r>
              <w:rPr>
                <w:b w:val="0"/>
                <w:bCs w:val="0"/>
                <w:color w:val="auto"/>
              </w:rPr>
              <w:t>1</w:t>
            </w:r>
            <w:r>
              <w:rPr>
                <w:rFonts w:hint="eastAsia"/>
                <w:b w:val="0"/>
                <w:bCs w:val="0"/>
                <w:color w:val="auto"/>
              </w:rPr>
              <w:t>、正品保障：中标方需提供所投品牌合法代理证，产品保持原厂包装不开封，不接受注册为其它单位的商品，验收时查询产品及原厂保修信息。</w:t>
            </w:r>
          </w:p>
          <w:p w14:paraId="43E4C470">
            <w:pPr>
              <w:widowControl/>
              <w:spacing w:line="300" w:lineRule="exact"/>
              <w:jc w:val="left"/>
              <w:textAlignment w:val="center"/>
              <w:rPr>
                <w:rFonts w:hint="eastAsia" w:asciiTheme="minorEastAsia" w:hAnsiTheme="minorEastAsia" w:cstheme="minorEastAsia"/>
                <w:color w:val="000000"/>
                <w:kern w:val="0"/>
                <w:sz w:val="24"/>
                <w:szCs w:val="24"/>
                <w:lang w:val="en-US" w:eastAsia="zh-CN"/>
              </w:rPr>
            </w:pPr>
            <w:r>
              <w:rPr>
                <w:rFonts w:hint="eastAsia"/>
                <w:b w:val="0"/>
                <w:bCs w:val="0"/>
                <w:color w:val="auto"/>
              </w:rPr>
              <w:t>2、</w:t>
            </w:r>
            <w:r>
              <w:rPr>
                <w:rFonts w:hint="eastAsia"/>
              </w:rPr>
              <w:t>签订合同时需提供以上</w:t>
            </w:r>
            <w:r>
              <w:rPr>
                <w:rFonts w:hint="eastAsia"/>
                <w:lang w:val="en-US" w:eastAsia="zh-CN"/>
              </w:rPr>
              <w:t>检测</w:t>
            </w:r>
            <w:r>
              <w:rPr>
                <w:rFonts w:hint="eastAsia"/>
              </w:rPr>
              <w:t>报告原件，不按要求提供的视为未实质性响应，对不能满足参数要求虚假响应，或者无法正常交货影响业主使用的，业主可作为废标处理，并按规定对投标公司予以处罚和进行网上通报处理。</w:t>
            </w:r>
          </w:p>
        </w:tc>
      </w:tr>
    </w:tbl>
    <w:p w14:paraId="113C88BD">
      <w:pPr>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152C2"/>
    <w:multiLevelType w:val="singleLevel"/>
    <w:tmpl w:val="419152C2"/>
    <w:lvl w:ilvl="0" w:tentative="0">
      <w:start w:val="1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NGM2YmM3NTcwNjY3Y2RhNDk3ODkxYTExYjk3YjEifQ=="/>
  </w:docVars>
  <w:rsids>
    <w:rsidRoot w:val="7228720C"/>
    <w:rsid w:val="04365609"/>
    <w:rsid w:val="2E5C53EF"/>
    <w:rsid w:val="396A0841"/>
    <w:rsid w:val="4D64597E"/>
    <w:rsid w:val="559F602D"/>
    <w:rsid w:val="588B414B"/>
    <w:rsid w:val="5A1912E0"/>
    <w:rsid w:val="5AC13672"/>
    <w:rsid w:val="69A9560C"/>
    <w:rsid w:val="6A3938D4"/>
    <w:rsid w:val="70773A4E"/>
    <w:rsid w:val="7228720C"/>
    <w:rsid w:val="77D13620"/>
    <w:rsid w:val="786170B2"/>
    <w:rsid w:val="7A5D4936"/>
    <w:rsid w:val="7B5A49B8"/>
    <w:rsid w:val="7BC02341"/>
    <w:rsid w:val="7CC321BF"/>
    <w:rsid w:val="7FB1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5478</Words>
  <Characters>6593</Characters>
  <Lines>0</Lines>
  <Paragraphs>0</Paragraphs>
  <TotalTime>2</TotalTime>
  <ScaleCrop>false</ScaleCrop>
  <LinksUpToDate>false</LinksUpToDate>
  <CharactersWithSpaces>6672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2024-09-04T07:21:00Z</dcterms:created>
  <dc:creator>qq</dc:creator>
  <cp:lastModifiedBy>固德办公苏小英18677379696</cp:lastModifiedBy>
  <dcterms:modified xsi:type="dcterms:W3CDTF">2024-10-17T02:52:16Z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E22C882B4499468483B6B6DA19FD2B13_11</vt:lpwstr>
  </property>
</Properties>
</file>