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66" w:rsidRDefault="00AE3F04" w:rsidP="00875E66">
      <w:pPr>
        <w:spacing w:line="660" w:lineRule="exact"/>
        <w:ind w:firstLineChars="150" w:firstLine="663"/>
        <w:jc w:val="center"/>
        <w:rPr>
          <w:rFonts w:ascii="黑体" w:eastAsia="黑体" w:hAnsi="黑体" w:cs="黑体"/>
          <w:b/>
          <w:kern w:val="1"/>
          <w:sz w:val="44"/>
          <w:szCs w:val="44"/>
        </w:rPr>
      </w:pPr>
      <w:r w:rsidRPr="00875E66">
        <w:rPr>
          <w:rFonts w:ascii="黑体" w:eastAsia="黑体" w:hAnsi="黑体" w:cs="黑体" w:hint="eastAsia"/>
          <w:b/>
          <w:kern w:val="1"/>
          <w:sz w:val="44"/>
          <w:szCs w:val="44"/>
        </w:rPr>
        <w:t>平乐县人民检察院</w:t>
      </w:r>
    </w:p>
    <w:p w:rsidR="00AE3F04" w:rsidRPr="00875E66" w:rsidRDefault="00AE3F04" w:rsidP="00875E66">
      <w:pPr>
        <w:spacing w:line="660" w:lineRule="exact"/>
        <w:ind w:firstLineChars="150" w:firstLine="663"/>
        <w:jc w:val="center"/>
        <w:rPr>
          <w:rFonts w:ascii="黑体" w:eastAsia="黑体" w:hAnsi="黑体" w:cs="黑体"/>
          <w:b/>
          <w:w w:val="90"/>
          <w:sz w:val="44"/>
          <w:szCs w:val="44"/>
        </w:rPr>
      </w:pPr>
      <w:r w:rsidRPr="00875E66">
        <w:rPr>
          <w:rFonts w:ascii="黑体" w:eastAsia="黑体" w:hAnsi="黑体" w:cs="黑体" w:hint="eastAsia"/>
          <w:b/>
          <w:kern w:val="1"/>
          <w:sz w:val="44"/>
          <w:szCs w:val="44"/>
        </w:rPr>
        <w:t>物业管理服务采购</w:t>
      </w:r>
      <w:r w:rsidRPr="00875E66">
        <w:rPr>
          <w:rFonts w:ascii="黑体" w:eastAsia="黑体" w:hAnsi="黑体" w:cs="黑体" w:hint="eastAsia"/>
          <w:b/>
          <w:w w:val="90"/>
          <w:sz w:val="44"/>
          <w:szCs w:val="44"/>
        </w:rPr>
        <w:t>需求</w:t>
      </w:r>
    </w:p>
    <w:p w:rsidR="00FB2F60" w:rsidRDefault="00FB2F60" w:rsidP="00FB2F60">
      <w:pPr>
        <w:pStyle w:val="20"/>
        <w:ind w:leftChars="0" w:left="0" w:firstLineChars="0" w:firstLine="0"/>
        <w:rPr>
          <w:rFonts w:asciiTheme="minorEastAsia" w:eastAsiaTheme="minorEastAsia" w:hAnsiTheme="minorEastAsia" w:cs="仿宋_GB2312"/>
          <w:szCs w:val="28"/>
        </w:rPr>
      </w:pPr>
    </w:p>
    <w:p w:rsidR="00FB2F60" w:rsidRDefault="00FB2F60" w:rsidP="009F115C">
      <w:pPr>
        <w:pStyle w:val="20"/>
        <w:ind w:leftChars="0" w:left="0" w:firstLine="562"/>
        <w:rPr>
          <w:rFonts w:asciiTheme="minorEastAsia" w:hAnsiTheme="minorEastAsia"/>
          <w:b/>
          <w:szCs w:val="28"/>
        </w:rPr>
      </w:pPr>
      <w:r>
        <w:rPr>
          <w:rFonts w:asciiTheme="minorEastAsia" w:hAnsiTheme="minorEastAsia" w:hint="eastAsia"/>
          <w:b/>
          <w:szCs w:val="28"/>
        </w:rPr>
        <w:t>一、</w:t>
      </w:r>
      <w:r w:rsidR="001E61A7" w:rsidRPr="00FB2F60">
        <w:rPr>
          <w:rFonts w:asciiTheme="minorEastAsia" w:hAnsiTheme="minorEastAsia" w:hint="eastAsia"/>
          <w:b/>
          <w:szCs w:val="28"/>
        </w:rPr>
        <w:t>物业管理服务范围</w:t>
      </w:r>
    </w:p>
    <w:p w:rsidR="00FB2F60" w:rsidRDefault="001E61A7" w:rsidP="009F115C">
      <w:pPr>
        <w:pStyle w:val="20"/>
        <w:numPr>
          <w:ilvl w:val="0"/>
          <w:numId w:val="9"/>
        </w:numPr>
        <w:ind w:leftChars="0" w:firstLine="560"/>
        <w:rPr>
          <w:rFonts w:asciiTheme="minorEastAsia" w:hAnsiTheme="minorEastAsia"/>
          <w:szCs w:val="28"/>
        </w:rPr>
      </w:pPr>
      <w:r w:rsidRPr="00FB2F60">
        <w:rPr>
          <w:rFonts w:asciiTheme="minorEastAsia" w:hAnsiTheme="minorEastAsia" w:hint="eastAsia"/>
          <w:szCs w:val="28"/>
        </w:rPr>
        <w:t>物业共用设施、设备的维修、养护、运行和管理。包括：低压配电房，供排水系统，通排风系统、消防系统、监控系统、公共照明系统、路灯等公益性文体设施和公用设施设备使用房屋等。</w:t>
      </w:r>
    </w:p>
    <w:p w:rsidR="00FB2F60" w:rsidRPr="00FB2F60" w:rsidRDefault="001E61A7" w:rsidP="009F115C">
      <w:pPr>
        <w:pStyle w:val="20"/>
        <w:numPr>
          <w:ilvl w:val="0"/>
          <w:numId w:val="9"/>
        </w:numPr>
        <w:ind w:leftChars="0" w:firstLine="560"/>
        <w:rPr>
          <w:rFonts w:asciiTheme="minorEastAsia" w:eastAsiaTheme="minorEastAsia" w:hAnsiTheme="minorEastAsia"/>
          <w:szCs w:val="28"/>
        </w:rPr>
      </w:pPr>
      <w:r w:rsidRPr="00FB2F60">
        <w:rPr>
          <w:rFonts w:asciiTheme="minorEastAsia" w:hAnsiTheme="minorEastAsia" w:hint="eastAsia"/>
          <w:szCs w:val="28"/>
        </w:rPr>
        <w:t>公用设施和附属建筑物、构筑物的养护和管理，包括：道路、室外上下水管道、化粪池、沟渠、池、井等。</w:t>
      </w:r>
    </w:p>
    <w:p w:rsidR="00FB2F60" w:rsidRPr="00FB2F60" w:rsidRDefault="001E61A7" w:rsidP="009F115C">
      <w:pPr>
        <w:pStyle w:val="20"/>
        <w:numPr>
          <w:ilvl w:val="0"/>
          <w:numId w:val="9"/>
        </w:numPr>
        <w:ind w:leftChars="0" w:firstLine="560"/>
        <w:rPr>
          <w:rFonts w:asciiTheme="minorEastAsia" w:eastAsiaTheme="minorEastAsia" w:hAnsiTheme="minorEastAsia"/>
          <w:szCs w:val="28"/>
        </w:rPr>
      </w:pPr>
      <w:r w:rsidRPr="00FB2F60">
        <w:rPr>
          <w:rFonts w:asciiTheme="minorEastAsia" w:hAnsiTheme="minorEastAsia" w:hint="eastAsia"/>
          <w:szCs w:val="28"/>
        </w:rPr>
        <w:t>建筑小品等的养护与管理。</w:t>
      </w:r>
    </w:p>
    <w:p w:rsidR="00AE3F04" w:rsidRPr="00FB2F60" w:rsidRDefault="00FB2F60" w:rsidP="009F115C">
      <w:pPr>
        <w:pStyle w:val="20"/>
        <w:ind w:leftChars="0" w:left="0" w:firstLine="562"/>
        <w:rPr>
          <w:rFonts w:asciiTheme="minorEastAsia" w:eastAsiaTheme="minorEastAsia" w:hAnsiTheme="minorEastAsia"/>
          <w:szCs w:val="28"/>
        </w:rPr>
      </w:pPr>
      <w:r w:rsidRPr="00FB2F60">
        <w:rPr>
          <w:rFonts w:asciiTheme="minorEastAsia" w:hAnsiTheme="minorEastAsia" w:cs="宋体" w:hint="eastAsia"/>
          <w:b/>
          <w:bCs/>
          <w:color w:val="000000"/>
          <w:kern w:val="0"/>
          <w:szCs w:val="28"/>
        </w:rPr>
        <w:t>二</w:t>
      </w:r>
      <w:r w:rsidR="001E61A7" w:rsidRPr="00FB2F60">
        <w:rPr>
          <w:rFonts w:asciiTheme="minorEastAsia" w:eastAsiaTheme="minorEastAsia" w:hAnsiTheme="minorEastAsia" w:cs="宋体" w:hint="eastAsia"/>
          <w:b/>
          <w:bCs/>
          <w:color w:val="000000"/>
          <w:kern w:val="0"/>
          <w:szCs w:val="28"/>
        </w:rPr>
        <w:t>、</w:t>
      </w:r>
      <w:r w:rsidR="00AE3F04" w:rsidRPr="00FB2F60">
        <w:rPr>
          <w:rFonts w:asciiTheme="minorEastAsia" w:eastAsiaTheme="minorEastAsia" w:hAnsiTheme="minorEastAsia" w:cs="宋体" w:hint="eastAsia"/>
          <w:b/>
          <w:bCs/>
          <w:color w:val="000000"/>
          <w:kern w:val="0"/>
          <w:szCs w:val="28"/>
        </w:rPr>
        <w:t>物业管理服务内容及标准</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184"/>
      </w:tblGrid>
      <w:tr w:rsidR="00153AAB" w:rsidRPr="00875E66" w:rsidTr="00153AAB">
        <w:trPr>
          <w:trHeight w:val="450"/>
        </w:trPr>
        <w:tc>
          <w:tcPr>
            <w:tcW w:w="1276" w:type="dxa"/>
          </w:tcPr>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项目</w:t>
            </w:r>
          </w:p>
        </w:tc>
        <w:tc>
          <w:tcPr>
            <w:tcW w:w="7184" w:type="dxa"/>
          </w:tcPr>
          <w:p w:rsidR="00153AAB" w:rsidRPr="00875E66" w:rsidRDefault="00153AAB" w:rsidP="008C5440">
            <w:pPr>
              <w:spacing w:line="300" w:lineRule="auto"/>
              <w:jc w:val="center"/>
              <w:rPr>
                <w:rFonts w:asciiTheme="minorEastAsia" w:hAnsiTheme="minorEastAsia"/>
                <w:sz w:val="28"/>
                <w:szCs w:val="28"/>
              </w:rPr>
            </w:pPr>
            <w:r w:rsidRPr="00875E66">
              <w:rPr>
                <w:rFonts w:asciiTheme="minorEastAsia" w:hAnsiTheme="minorEastAsia" w:hint="eastAsia"/>
                <w:sz w:val="28"/>
                <w:szCs w:val="28"/>
              </w:rPr>
              <w:t>内容与标准</w:t>
            </w:r>
          </w:p>
        </w:tc>
      </w:tr>
      <w:tr w:rsidR="00153AAB" w:rsidRPr="00875E66" w:rsidTr="00153AAB">
        <w:trPr>
          <w:trHeight w:val="1410"/>
        </w:trPr>
        <w:tc>
          <w:tcPr>
            <w:tcW w:w="1276" w:type="dxa"/>
          </w:tcPr>
          <w:p w:rsidR="00153AAB" w:rsidRPr="00875E66" w:rsidRDefault="00153AAB" w:rsidP="008C5440">
            <w:pPr>
              <w:spacing w:line="300" w:lineRule="auto"/>
              <w:jc w:val="center"/>
              <w:rPr>
                <w:rFonts w:asciiTheme="minorEastAsia" w:hAnsiTheme="minorEastAsia"/>
                <w:sz w:val="28"/>
                <w:szCs w:val="28"/>
              </w:rPr>
            </w:pPr>
          </w:p>
          <w:p w:rsidR="00153AAB" w:rsidRPr="00875E66" w:rsidRDefault="00153AAB" w:rsidP="008C5440">
            <w:pPr>
              <w:spacing w:line="300" w:lineRule="auto"/>
              <w:jc w:val="center"/>
              <w:rPr>
                <w:rFonts w:asciiTheme="minorEastAsia" w:hAnsiTheme="minorEastAsia"/>
                <w:sz w:val="28"/>
                <w:szCs w:val="28"/>
              </w:rPr>
            </w:pPr>
          </w:p>
          <w:p w:rsidR="00153AAB" w:rsidRPr="00875E66" w:rsidRDefault="00153AAB" w:rsidP="008C5440">
            <w:pPr>
              <w:spacing w:line="300" w:lineRule="auto"/>
              <w:jc w:val="center"/>
              <w:rPr>
                <w:rFonts w:asciiTheme="minorEastAsia" w:hAnsiTheme="minorEastAsia"/>
                <w:sz w:val="28"/>
                <w:szCs w:val="28"/>
              </w:rPr>
            </w:pPr>
            <w:r w:rsidRPr="00875E66">
              <w:rPr>
                <w:rFonts w:asciiTheme="minorEastAsia" w:hAnsiTheme="minorEastAsia" w:hint="eastAsia"/>
                <w:sz w:val="28"/>
                <w:szCs w:val="28"/>
              </w:rPr>
              <w:t>基本要求</w:t>
            </w:r>
          </w:p>
        </w:tc>
        <w:tc>
          <w:tcPr>
            <w:tcW w:w="7184" w:type="dxa"/>
          </w:tcPr>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1、管理人员、专业操作人员按照国家有关规定取得物业服务职业资格证书或者岗位证书；</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2、完善的质量管理、财务管理、档案管理等制度；</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3、工作服务人员佩戴标志，行为规范、服务主动、热情；</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4、公示24小时投诉电话。</w:t>
            </w:r>
          </w:p>
        </w:tc>
      </w:tr>
      <w:tr w:rsidR="00153AAB" w:rsidRPr="00875E66" w:rsidTr="00153AAB">
        <w:trPr>
          <w:trHeight w:val="450"/>
        </w:trPr>
        <w:tc>
          <w:tcPr>
            <w:tcW w:w="1276" w:type="dxa"/>
          </w:tcPr>
          <w:p w:rsidR="00153AAB" w:rsidRPr="00875E66" w:rsidRDefault="00153AAB" w:rsidP="008C5440">
            <w:pPr>
              <w:spacing w:line="300" w:lineRule="auto"/>
              <w:rPr>
                <w:rFonts w:asciiTheme="minorEastAsia" w:hAnsiTheme="minorEastAsia"/>
                <w:sz w:val="28"/>
                <w:szCs w:val="28"/>
              </w:rPr>
            </w:pP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咨询等</w:t>
            </w:r>
          </w:p>
        </w:tc>
        <w:tc>
          <w:tcPr>
            <w:tcW w:w="7184" w:type="dxa"/>
          </w:tcPr>
          <w:p w:rsidR="00153AAB" w:rsidRPr="00875E66" w:rsidRDefault="00153AAB" w:rsidP="00153AAB">
            <w:pPr>
              <w:numPr>
                <w:ilvl w:val="0"/>
                <w:numId w:val="7"/>
              </w:numPr>
              <w:tabs>
                <w:tab w:val="left" w:pos="360"/>
              </w:tabs>
              <w:spacing w:line="300" w:lineRule="auto"/>
              <w:rPr>
                <w:rFonts w:asciiTheme="minorEastAsia" w:hAnsiTheme="minorEastAsia"/>
                <w:sz w:val="28"/>
                <w:szCs w:val="28"/>
              </w:rPr>
            </w:pPr>
            <w:r w:rsidRPr="00875E66">
              <w:rPr>
                <w:rFonts w:asciiTheme="minorEastAsia" w:hAnsiTheme="minorEastAsia" w:hint="eastAsia"/>
                <w:sz w:val="28"/>
                <w:szCs w:val="28"/>
              </w:rPr>
              <w:t>咨询：回复率99%；</w:t>
            </w:r>
          </w:p>
          <w:p w:rsidR="00153AAB" w:rsidRPr="00875E66" w:rsidRDefault="00153AAB" w:rsidP="00153AAB">
            <w:pPr>
              <w:numPr>
                <w:ilvl w:val="0"/>
                <w:numId w:val="7"/>
              </w:numPr>
              <w:tabs>
                <w:tab w:val="left" w:pos="360"/>
              </w:tabs>
              <w:spacing w:line="300" w:lineRule="auto"/>
              <w:rPr>
                <w:rFonts w:asciiTheme="minorEastAsia" w:hAnsiTheme="minorEastAsia"/>
                <w:sz w:val="28"/>
                <w:szCs w:val="28"/>
              </w:rPr>
            </w:pPr>
            <w:r w:rsidRPr="00875E66">
              <w:rPr>
                <w:rFonts w:asciiTheme="minorEastAsia" w:hAnsiTheme="minorEastAsia" w:hint="eastAsia"/>
                <w:sz w:val="28"/>
                <w:szCs w:val="28"/>
              </w:rPr>
              <w:t>报修：及时率90%，处理率99%；</w:t>
            </w:r>
          </w:p>
          <w:p w:rsidR="00153AAB" w:rsidRPr="00875E66" w:rsidRDefault="00153AAB" w:rsidP="00153AAB">
            <w:pPr>
              <w:numPr>
                <w:ilvl w:val="0"/>
                <w:numId w:val="7"/>
              </w:numPr>
              <w:tabs>
                <w:tab w:val="left" w:pos="360"/>
              </w:tabs>
              <w:spacing w:line="300" w:lineRule="auto"/>
              <w:rPr>
                <w:rFonts w:asciiTheme="minorEastAsia" w:hAnsiTheme="minorEastAsia"/>
                <w:sz w:val="28"/>
                <w:szCs w:val="28"/>
              </w:rPr>
            </w:pPr>
            <w:r w:rsidRPr="00875E66">
              <w:rPr>
                <w:rFonts w:asciiTheme="minorEastAsia" w:hAnsiTheme="minorEastAsia" w:hint="eastAsia"/>
                <w:sz w:val="28"/>
                <w:szCs w:val="28"/>
              </w:rPr>
              <w:t>投诉：处理率99%，满意率90%；</w:t>
            </w:r>
          </w:p>
          <w:p w:rsidR="00153AAB" w:rsidRPr="00875E66" w:rsidRDefault="00153AAB" w:rsidP="00153AAB">
            <w:pPr>
              <w:numPr>
                <w:ilvl w:val="0"/>
                <w:numId w:val="7"/>
              </w:numPr>
              <w:tabs>
                <w:tab w:val="left" w:pos="360"/>
              </w:tabs>
              <w:spacing w:line="300" w:lineRule="auto"/>
              <w:rPr>
                <w:rFonts w:asciiTheme="minorEastAsia" w:hAnsiTheme="minorEastAsia"/>
                <w:sz w:val="28"/>
                <w:szCs w:val="28"/>
              </w:rPr>
            </w:pPr>
            <w:r w:rsidRPr="00875E66">
              <w:rPr>
                <w:rFonts w:asciiTheme="minorEastAsia" w:hAnsiTheme="minorEastAsia" w:hint="eastAsia"/>
                <w:sz w:val="28"/>
                <w:szCs w:val="28"/>
              </w:rPr>
              <w:lastRenderedPageBreak/>
              <w:t>求助：回应率99%，处理率90%。</w:t>
            </w:r>
          </w:p>
        </w:tc>
      </w:tr>
      <w:tr w:rsidR="00153AAB" w:rsidRPr="00875E66" w:rsidTr="00153AAB">
        <w:trPr>
          <w:trHeight w:val="315"/>
        </w:trPr>
        <w:tc>
          <w:tcPr>
            <w:tcW w:w="1276" w:type="dxa"/>
          </w:tcPr>
          <w:p w:rsidR="00153AAB" w:rsidRPr="00875E66" w:rsidRDefault="00153AAB" w:rsidP="008C5440">
            <w:pPr>
              <w:spacing w:line="300" w:lineRule="auto"/>
              <w:rPr>
                <w:rFonts w:asciiTheme="minorEastAsia" w:hAnsiTheme="minorEastAsia"/>
                <w:sz w:val="28"/>
                <w:szCs w:val="28"/>
              </w:rPr>
            </w:pPr>
          </w:p>
          <w:p w:rsidR="00153AAB" w:rsidRPr="00875E66" w:rsidRDefault="00153AAB" w:rsidP="008C5440">
            <w:pPr>
              <w:spacing w:line="300" w:lineRule="auto"/>
              <w:rPr>
                <w:rFonts w:asciiTheme="minorEastAsia" w:hAnsiTheme="minorEastAsia"/>
                <w:sz w:val="28"/>
                <w:szCs w:val="28"/>
              </w:rPr>
            </w:pP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公用设施维修养护</w:t>
            </w:r>
          </w:p>
        </w:tc>
        <w:tc>
          <w:tcPr>
            <w:tcW w:w="7184" w:type="dxa"/>
          </w:tcPr>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1、操作维护人员具备相关资格证书、严格执行设施设备操作规程及保养规范；</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2、路灯、灯完好率不低于90%，24小时内修复；</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3、发电机每月检查、维护不低于3次；</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4、电梯应急处理人员十五分钟内到位，一般报修半小时内到位；</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5、保证消防通道畅通，可随时启用。</w:t>
            </w:r>
          </w:p>
        </w:tc>
      </w:tr>
      <w:tr w:rsidR="00153AAB" w:rsidRPr="00875E66" w:rsidTr="00153AAB">
        <w:trPr>
          <w:trHeight w:val="270"/>
        </w:trPr>
        <w:tc>
          <w:tcPr>
            <w:tcW w:w="1276" w:type="dxa"/>
          </w:tcPr>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车辆、公共秩序维护</w:t>
            </w:r>
          </w:p>
        </w:tc>
        <w:tc>
          <w:tcPr>
            <w:tcW w:w="7184" w:type="dxa"/>
          </w:tcPr>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1、门岗8小时值勤；</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2、车辆停放有序；</w:t>
            </w: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3、</w:t>
            </w:r>
            <w:r w:rsidRPr="00875E66">
              <w:rPr>
                <w:rFonts w:asciiTheme="minorEastAsia" w:hAnsiTheme="minorEastAsia" w:hint="eastAsia"/>
                <w:color w:val="000000"/>
                <w:sz w:val="28"/>
                <w:szCs w:val="28"/>
              </w:rPr>
              <w:t>对火灾、治安、公共卫生，电梯等突发事件有应急预案，事发时及时报告甲方和有关部门，并协助采取相应措施。</w:t>
            </w:r>
          </w:p>
        </w:tc>
      </w:tr>
      <w:tr w:rsidR="00153AAB" w:rsidRPr="00875E66" w:rsidTr="00153AAB">
        <w:trPr>
          <w:trHeight w:val="195"/>
        </w:trPr>
        <w:tc>
          <w:tcPr>
            <w:tcW w:w="1276" w:type="dxa"/>
          </w:tcPr>
          <w:p w:rsidR="00153AAB" w:rsidRPr="00875E66" w:rsidRDefault="00153AAB" w:rsidP="008C5440">
            <w:pPr>
              <w:spacing w:line="300" w:lineRule="auto"/>
              <w:rPr>
                <w:rFonts w:asciiTheme="minorEastAsia" w:hAnsiTheme="minorEastAsia"/>
                <w:sz w:val="28"/>
                <w:szCs w:val="28"/>
              </w:rPr>
            </w:pPr>
          </w:p>
          <w:p w:rsidR="00153AAB" w:rsidRPr="00875E66" w:rsidRDefault="00153AAB" w:rsidP="008C5440">
            <w:pPr>
              <w:spacing w:line="300" w:lineRule="auto"/>
              <w:rPr>
                <w:rFonts w:asciiTheme="minorEastAsia" w:hAnsiTheme="minorEastAsia"/>
                <w:sz w:val="28"/>
                <w:szCs w:val="28"/>
              </w:rPr>
            </w:pPr>
            <w:r w:rsidRPr="00875E66">
              <w:rPr>
                <w:rFonts w:asciiTheme="minorEastAsia" w:hAnsiTheme="minorEastAsia" w:hint="eastAsia"/>
                <w:sz w:val="28"/>
                <w:szCs w:val="28"/>
              </w:rPr>
              <w:t>监控室</w:t>
            </w:r>
          </w:p>
        </w:tc>
        <w:tc>
          <w:tcPr>
            <w:tcW w:w="7184" w:type="dxa"/>
          </w:tcPr>
          <w:p w:rsidR="00153AAB" w:rsidRPr="00875E66" w:rsidRDefault="00153AAB" w:rsidP="00153AAB">
            <w:pPr>
              <w:numPr>
                <w:ilvl w:val="0"/>
                <w:numId w:val="8"/>
              </w:numPr>
              <w:spacing w:line="300" w:lineRule="auto"/>
              <w:rPr>
                <w:rFonts w:asciiTheme="minorEastAsia" w:hAnsiTheme="minorEastAsia"/>
                <w:sz w:val="28"/>
                <w:szCs w:val="28"/>
              </w:rPr>
            </w:pPr>
            <w:r w:rsidRPr="00875E66">
              <w:rPr>
                <w:rFonts w:asciiTheme="minorEastAsia" w:hAnsiTheme="minorEastAsia" w:hint="eastAsia"/>
                <w:sz w:val="28"/>
                <w:szCs w:val="28"/>
              </w:rPr>
              <w:t>24小时执勤；</w:t>
            </w:r>
          </w:p>
          <w:p w:rsidR="00153AAB" w:rsidRPr="00875E66" w:rsidRDefault="00153AAB" w:rsidP="00153AAB">
            <w:pPr>
              <w:numPr>
                <w:ilvl w:val="0"/>
                <w:numId w:val="8"/>
              </w:numPr>
              <w:spacing w:line="300" w:lineRule="auto"/>
              <w:rPr>
                <w:rFonts w:asciiTheme="minorEastAsia" w:hAnsiTheme="minorEastAsia"/>
                <w:sz w:val="28"/>
                <w:szCs w:val="28"/>
              </w:rPr>
            </w:pPr>
            <w:r w:rsidRPr="00875E66">
              <w:rPr>
                <w:rFonts w:asciiTheme="minorEastAsia" w:hAnsiTheme="minorEastAsia" w:hint="eastAsia"/>
                <w:sz w:val="28"/>
                <w:szCs w:val="28"/>
              </w:rPr>
              <w:t>经过消防培训；</w:t>
            </w:r>
          </w:p>
          <w:p w:rsidR="00153AAB" w:rsidRPr="00875E66" w:rsidRDefault="00153AAB" w:rsidP="00153AAB">
            <w:pPr>
              <w:numPr>
                <w:ilvl w:val="0"/>
                <w:numId w:val="8"/>
              </w:numPr>
              <w:spacing w:line="300" w:lineRule="auto"/>
              <w:rPr>
                <w:rFonts w:asciiTheme="minorEastAsia" w:hAnsiTheme="minorEastAsia"/>
                <w:sz w:val="28"/>
                <w:szCs w:val="28"/>
              </w:rPr>
            </w:pPr>
            <w:r w:rsidRPr="00875E66">
              <w:rPr>
                <w:rFonts w:asciiTheme="minorEastAsia" w:hAnsiTheme="minorEastAsia" w:hint="eastAsia"/>
                <w:sz w:val="28"/>
                <w:szCs w:val="28"/>
              </w:rPr>
              <w:t>能正确操控消防设备（消防电话总机、消防应急广播、消防控制器、图形显示器）。</w:t>
            </w:r>
          </w:p>
        </w:tc>
      </w:tr>
    </w:tbl>
    <w:p w:rsidR="00FB2F60" w:rsidRDefault="00153AAB" w:rsidP="009F115C">
      <w:pPr>
        <w:pStyle w:val="ab"/>
        <w:widowControl/>
        <w:numPr>
          <w:ilvl w:val="0"/>
          <w:numId w:val="10"/>
        </w:numPr>
        <w:spacing w:line="360" w:lineRule="auto"/>
        <w:ind w:firstLine="562"/>
        <w:rPr>
          <w:rFonts w:asciiTheme="minorEastAsia" w:hAnsiTheme="minorEastAsia" w:cs="宋体"/>
          <w:b/>
          <w:sz w:val="28"/>
          <w:szCs w:val="28"/>
        </w:rPr>
      </w:pPr>
      <w:r w:rsidRPr="00FB2F60">
        <w:rPr>
          <w:rFonts w:asciiTheme="minorEastAsia" w:hAnsiTheme="minorEastAsia" w:cs="宋体" w:hint="eastAsia"/>
          <w:b/>
          <w:sz w:val="28"/>
          <w:szCs w:val="28"/>
        </w:rPr>
        <w:t>商务要求</w:t>
      </w:r>
    </w:p>
    <w:p w:rsidR="00FB2F60" w:rsidRPr="00FB2F60" w:rsidRDefault="00366E80" w:rsidP="009F115C">
      <w:pPr>
        <w:pStyle w:val="ab"/>
        <w:widowControl/>
        <w:numPr>
          <w:ilvl w:val="0"/>
          <w:numId w:val="11"/>
        </w:numPr>
        <w:spacing w:line="360" w:lineRule="auto"/>
        <w:ind w:firstLine="560"/>
        <w:rPr>
          <w:rFonts w:asciiTheme="minorEastAsia" w:hAnsiTheme="minorEastAsia" w:cs="宋体"/>
          <w:b/>
          <w:sz w:val="28"/>
          <w:szCs w:val="28"/>
        </w:rPr>
      </w:pPr>
      <w:r w:rsidRPr="00FB2F60">
        <w:rPr>
          <w:rFonts w:asciiTheme="minorEastAsia" w:hAnsiTheme="minorEastAsia" w:cs="宋体" w:hint="eastAsia"/>
          <w:color w:val="000000"/>
          <w:sz w:val="28"/>
          <w:szCs w:val="28"/>
        </w:rPr>
        <w:t>服务内容：平乐县人民检察院的安保及保洁、维修、消防安检及食堂服务等日常物业管理服务</w:t>
      </w:r>
      <w:r w:rsidRPr="00FB2F60">
        <w:rPr>
          <w:rFonts w:asciiTheme="minorEastAsia" w:hAnsiTheme="minorEastAsia" w:cs="仿宋_GB2312" w:hint="eastAsia"/>
          <w:sz w:val="28"/>
          <w:szCs w:val="28"/>
        </w:rPr>
        <w:t>。</w:t>
      </w:r>
    </w:p>
    <w:p w:rsidR="00FB2F60" w:rsidRPr="00FB2F60" w:rsidRDefault="00366E80" w:rsidP="009F115C">
      <w:pPr>
        <w:pStyle w:val="ab"/>
        <w:widowControl/>
        <w:numPr>
          <w:ilvl w:val="0"/>
          <w:numId w:val="11"/>
        </w:numPr>
        <w:spacing w:line="360" w:lineRule="auto"/>
        <w:ind w:firstLine="560"/>
        <w:rPr>
          <w:rFonts w:asciiTheme="minorEastAsia" w:hAnsiTheme="minorEastAsia" w:cs="宋体"/>
          <w:b/>
          <w:sz w:val="28"/>
          <w:szCs w:val="28"/>
        </w:rPr>
      </w:pPr>
      <w:r w:rsidRPr="00FB2F60">
        <w:rPr>
          <w:rFonts w:asciiTheme="minorEastAsia" w:hAnsiTheme="minorEastAsia" w:cs="Times New Roman" w:hint="eastAsia"/>
          <w:color w:val="000000"/>
          <w:kern w:val="0"/>
          <w:sz w:val="28"/>
          <w:szCs w:val="28"/>
          <w:shd w:val="clear" w:color="auto" w:fill="FFFFFF"/>
        </w:rPr>
        <w:t>服务地点：平乐县人民检察院（</w:t>
      </w:r>
      <w:r w:rsidRPr="00FB2F60">
        <w:rPr>
          <w:rFonts w:asciiTheme="minorEastAsia" w:hAnsiTheme="minorEastAsia" w:cs="仿宋_GB2312" w:hint="eastAsia"/>
          <w:sz w:val="28"/>
          <w:szCs w:val="28"/>
        </w:rPr>
        <w:t>广西壮族自治区桂林市平乐县南洲新区大岭</w:t>
      </w:r>
      <w:proofErr w:type="gramStart"/>
      <w:r w:rsidRPr="00FB2F60">
        <w:rPr>
          <w:rFonts w:asciiTheme="minorEastAsia" w:hAnsiTheme="minorEastAsia" w:cs="仿宋_GB2312" w:hint="eastAsia"/>
          <w:sz w:val="28"/>
          <w:szCs w:val="28"/>
        </w:rPr>
        <w:t>脚弘润</w:t>
      </w:r>
      <w:proofErr w:type="gramEnd"/>
      <w:r w:rsidRPr="00FB2F60">
        <w:rPr>
          <w:rFonts w:asciiTheme="minorEastAsia" w:hAnsiTheme="minorEastAsia" w:cs="仿宋_GB2312" w:hint="eastAsia"/>
          <w:sz w:val="28"/>
          <w:szCs w:val="28"/>
        </w:rPr>
        <w:t>大厦东南130米。</w:t>
      </w:r>
      <w:r w:rsidRPr="00FB2F60">
        <w:rPr>
          <w:rFonts w:asciiTheme="minorEastAsia" w:hAnsiTheme="minorEastAsia" w:cs="Times New Roman" w:hint="eastAsia"/>
          <w:color w:val="000000"/>
          <w:kern w:val="0"/>
          <w:sz w:val="28"/>
          <w:szCs w:val="28"/>
          <w:shd w:val="clear" w:color="auto" w:fill="FFFFFF"/>
        </w:rPr>
        <w:t>）</w:t>
      </w:r>
    </w:p>
    <w:p w:rsidR="00FB2F60" w:rsidRPr="00FB2F60" w:rsidRDefault="00366E80" w:rsidP="009F115C">
      <w:pPr>
        <w:pStyle w:val="ab"/>
        <w:widowControl/>
        <w:numPr>
          <w:ilvl w:val="0"/>
          <w:numId w:val="11"/>
        </w:numPr>
        <w:spacing w:line="360" w:lineRule="auto"/>
        <w:ind w:firstLine="560"/>
        <w:rPr>
          <w:rFonts w:asciiTheme="minorEastAsia" w:hAnsiTheme="minorEastAsia" w:cs="宋体"/>
          <w:b/>
          <w:sz w:val="28"/>
          <w:szCs w:val="28"/>
        </w:rPr>
      </w:pPr>
      <w:r w:rsidRPr="00FB2F60">
        <w:rPr>
          <w:rFonts w:asciiTheme="minorEastAsia" w:hAnsiTheme="minorEastAsia" w:cs="Times New Roman" w:hint="eastAsia"/>
          <w:color w:val="000000"/>
          <w:kern w:val="0"/>
          <w:sz w:val="28"/>
          <w:szCs w:val="28"/>
          <w:shd w:val="clear" w:color="auto" w:fill="FFFFFF"/>
        </w:rPr>
        <w:lastRenderedPageBreak/>
        <w:t>付款方式：成交供应商须按国家有关财税规定开具发票，每月30日前结算。</w:t>
      </w:r>
    </w:p>
    <w:p w:rsidR="00366E80" w:rsidRPr="00FB2F60" w:rsidRDefault="00366E80" w:rsidP="009F115C">
      <w:pPr>
        <w:pStyle w:val="ab"/>
        <w:widowControl/>
        <w:numPr>
          <w:ilvl w:val="0"/>
          <w:numId w:val="11"/>
        </w:numPr>
        <w:spacing w:line="360" w:lineRule="auto"/>
        <w:ind w:firstLine="560"/>
        <w:rPr>
          <w:rFonts w:asciiTheme="minorEastAsia" w:hAnsiTheme="minorEastAsia" w:cs="宋体"/>
          <w:b/>
          <w:sz w:val="28"/>
          <w:szCs w:val="28"/>
        </w:rPr>
      </w:pPr>
      <w:r w:rsidRPr="00FB2F60">
        <w:rPr>
          <w:rFonts w:asciiTheme="minorEastAsia" w:hAnsiTheme="minorEastAsia" w:cs="Times New Roman" w:hint="eastAsia"/>
          <w:color w:val="000000"/>
          <w:kern w:val="0"/>
          <w:sz w:val="28"/>
          <w:szCs w:val="28"/>
          <w:shd w:val="clear" w:color="auto" w:fill="FFFFFF"/>
        </w:rPr>
        <w:t>报价要求：</w:t>
      </w:r>
    </w:p>
    <w:p w:rsidR="00FB2F60" w:rsidRPr="00850D3E" w:rsidRDefault="00366E80" w:rsidP="009F115C">
      <w:pPr>
        <w:pStyle w:val="20"/>
        <w:ind w:leftChars="0" w:left="0" w:firstLine="560"/>
        <w:rPr>
          <w:rFonts w:asciiTheme="minorEastAsia" w:eastAsiaTheme="minorEastAsia" w:hAnsiTheme="minorEastAsia" w:cs="仿宋_GB2312"/>
          <w:color w:val="FF0000"/>
          <w:szCs w:val="28"/>
        </w:rPr>
      </w:pPr>
      <w:r w:rsidRPr="00875E66">
        <w:rPr>
          <w:rFonts w:asciiTheme="minorEastAsia" w:eastAsiaTheme="minorEastAsia" w:hAnsiTheme="minorEastAsia" w:cs="仿宋_GB2312" w:hint="eastAsia"/>
          <w:szCs w:val="28"/>
        </w:rPr>
        <w:t>采购预算金额：</w:t>
      </w:r>
      <w:proofErr w:type="gramStart"/>
      <w:r w:rsidR="006846A7">
        <w:rPr>
          <w:rFonts w:asciiTheme="minorEastAsia" w:eastAsiaTheme="minorEastAsia" w:hAnsiTheme="minorEastAsia" w:cs="仿宋_GB2312" w:hint="eastAsia"/>
          <w:szCs w:val="28"/>
        </w:rPr>
        <w:t>贰拾玖万伍仟贰佰肆拾捌</w:t>
      </w:r>
      <w:proofErr w:type="gramEnd"/>
      <w:r w:rsidR="006846A7">
        <w:rPr>
          <w:rFonts w:asciiTheme="minorEastAsia" w:eastAsiaTheme="minorEastAsia" w:hAnsiTheme="minorEastAsia" w:cs="仿宋_GB2312" w:hint="eastAsia"/>
          <w:szCs w:val="28"/>
        </w:rPr>
        <w:t>元整</w:t>
      </w:r>
      <w:r w:rsidRPr="00875E66">
        <w:rPr>
          <w:rFonts w:asciiTheme="minorEastAsia" w:eastAsiaTheme="minorEastAsia" w:hAnsiTheme="minorEastAsia" w:cs="仿宋_GB2312" w:hint="eastAsia"/>
          <w:szCs w:val="28"/>
        </w:rPr>
        <w:t>（¥</w:t>
      </w:r>
      <w:r w:rsidR="006846A7">
        <w:rPr>
          <w:rFonts w:asciiTheme="minorEastAsia" w:eastAsiaTheme="minorEastAsia" w:hAnsiTheme="minorEastAsia" w:cs="仿宋_GB2312" w:hint="eastAsia"/>
          <w:szCs w:val="28"/>
        </w:rPr>
        <w:t>295248</w:t>
      </w:r>
      <w:r w:rsidRPr="00875E66">
        <w:rPr>
          <w:rFonts w:asciiTheme="minorEastAsia" w:eastAsiaTheme="minorEastAsia" w:hAnsiTheme="minorEastAsia" w:cs="仿宋_GB2312" w:hint="eastAsia"/>
          <w:szCs w:val="28"/>
        </w:rPr>
        <w:t>.00），服务期限为1年（自签订合同之日起满1年）。</w:t>
      </w:r>
      <w:r w:rsidR="008E18CD">
        <w:rPr>
          <w:rFonts w:asciiTheme="minorEastAsia" w:eastAsiaTheme="minorEastAsia" w:hAnsiTheme="minorEastAsia" w:cs="仿宋_GB2312" w:hint="eastAsia"/>
          <w:szCs w:val="28"/>
        </w:rPr>
        <w:t>其他报价要求以采购</w:t>
      </w:r>
      <w:proofErr w:type="gramStart"/>
      <w:r w:rsidR="008E18CD">
        <w:rPr>
          <w:rFonts w:asciiTheme="minorEastAsia" w:eastAsiaTheme="minorEastAsia" w:hAnsiTheme="minorEastAsia" w:cs="仿宋_GB2312" w:hint="eastAsia"/>
          <w:szCs w:val="28"/>
        </w:rPr>
        <w:t>方意见</w:t>
      </w:r>
      <w:proofErr w:type="gramEnd"/>
      <w:r w:rsidR="008E18CD">
        <w:rPr>
          <w:rFonts w:asciiTheme="minorEastAsia" w:eastAsiaTheme="minorEastAsia" w:hAnsiTheme="minorEastAsia" w:cs="仿宋_GB2312" w:hint="eastAsia"/>
          <w:szCs w:val="28"/>
        </w:rPr>
        <w:t>为准。</w:t>
      </w:r>
    </w:p>
    <w:p w:rsidR="00AE3F04" w:rsidRPr="00FB2F60" w:rsidRDefault="00FB2F60" w:rsidP="009F115C">
      <w:pPr>
        <w:pStyle w:val="20"/>
        <w:ind w:leftChars="0" w:left="0" w:firstLine="560"/>
        <w:rPr>
          <w:rFonts w:asciiTheme="minorEastAsia" w:eastAsiaTheme="minorEastAsia" w:hAnsiTheme="minorEastAsia"/>
          <w:szCs w:val="28"/>
        </w:rPr>
      </w:pPr>
      <w:r>
        <w:rPr>
          <w:rFonts w:asciiTheme="minorEastAsia" w:eastAsiaTheme="minorEastAsia" w:hAnsiTheme="minorEastAsia" w:cs="仿宋_GB2312" w:hint="eastAsia"/>
          <w:szCs w:val="28"/>
        </w:rPr>
        <w:t>四、</w:t>
      </w:r>
      <w:r w:rsidR="00AE3F04" w:rsidRPr="00875E66">
        <w:rPr>
          <w:rFonts w:asciiTheme="minorEastAsia" w:eastAsiaTheme="minorEastAsia" w:hAnsiTheme="minorEastAsia" w:cs="黑体" w:hint="eastAsia"/>
          <w:szCs w:val="28"/>
        </w:rPr>
        <w:t>其他要求</w:t>
      </w:r>
    </w:p>
    <w:p w:rsidR="00FB2F60" w:rsidRDefault="00AE3F04" w:rsidP="00FB2F60">
      <w:pPr>
        <w:widowControl/>
        <w:snapToGrid w:val="0"/>
        <w:spacing w:line="300" w:lineRule="auto"/>
        <w:ind w:firstLineChars="200" w:firstLine="560"/>
        <w:rPr>
          <w:rFonts w:asciiTheme="minorEastAsia" w:hAnsiTheme="minorEastAsia" w:cs="仿宋_GB2312"/>
          <w:sz w:val="28"/>
          <w:szCs w:val="28"/>
        </w:rPr>
      </w:pPr>
      <w:r w:rsidRPr="00875E66">
        <w:rPr>
          <w:rFonts w:asciiTheme="minorEastAsia" w:hAnsiTheme="minorEastAsia" w:cs="仿宋_GB2312" w:hint="eastAsia"/>
          <w:sz w:val="28"/>
          <w:szCs w:val="28"/>
        </w:rPr>
        <w:t>1</w:t>
      </w:r>
      <w:r w:rsidR="00BF41A6">
        <w:rPr>
          <w:rFonts w:asciiTheme="minorEastAsia" w:hAnsiTheme="minorEastAsia" w:cs="仿宋_GB2312" w:hint="eastAsia"/>
          <w:sz w:val="28"/>
          <w:szCs w:val="28"/>
        </w:rPr>
        <w:t>、</w:t>
      </w:r>
      <w:r w:rsidRPr="00875E66">
        <w:rPr>
          <w:rFonts w:asciiTheme="minorEastAsia" w:hAnsiTheme="minorEastAsia" w:cs="仿宋_GB2312" w:hint="eastAsia"/>
          <w:sz w:val="28"/>
          <w:szCs w:val="28"/>
        </w:rPr>
        <w:t>成交供应</w:t>
      </w:r>
      <w:proofErr w:type="gramStart"/>
      <w:r w:rsidRPr="00875E66">
        <w:rPr>
          <w:rFonts w:asciiTheme="minorEastAsia" w:hAnsiTheme="minorEastAsia" w:cs="仿宋_GB2312" w:hint="eastAsia"/>
          <w:sz w:val="28"/>
          <w:szCs w:val="28"/>
        </w:rPr>
        <w:t>商按照</w:t>
      </w:r>
      <w:proofErr w:type="gramEnd"/>
      <w:r w:rsidRPr="00875E66">
        <w:rPr>
          <w:rFonts w:asciiTheme="minorEastAsia" w:hAnsiTheme="minorEastAsia" w:cs="仿宋_GB2312" w:hint="eastAsia"/>
          <w:sz w:val="28"/>
          <w:szCs w:val="28"/>
        </w:rPr>
        <w:t>《劳动合同法》的规定与员工签订劳动合同并依据桂林有关最低工资标准的规定要求以及缴纳各种社会保险的规定要求向员工支付工资和缴纳社保及其他保险。</w:t>
      </w:r>
    </w:p>
    <w:p w:rsidR="00AE3F04" w:rsidRPr="00FB2F60" w:rsidRDefault="00AE3F04" w:rsidP="00FB2F60">
      <w:pPr>
        <w:widowControl/>
        <w:snapToGrid w:val="0"/>
        <w:spacing w:line="300" w:lineRule="auto"/>
        <w:ind w:firstLineChars="200" w:firstLine="560"/>
        <w:rPr>
          <w:rFonts w:asciiTheme="minorEastAsia" w:hAnsiTheme="minorEastAsia" w:cs="仿宋_GB2312"/>
          <w:sz w:val="28"/>
          <w:szCs w:val="28"/>
        </w:rPr>
      </w:pPr>
      <w:r w:rsidRPr="00875E66">
        <w:rPr>
          <w:rFonts w:asciiTheme="minorEastAsia" w:hAnsiTheme="minorEastAsia" w:cs="仿宋_GB2312" w:hint="eastAsia"/>
          <w:sz w:val="28"/>
          <w:szCs w:val="28"/>
        </w:rPr>
        <w:t>2</w:t>
      </w:r>
      <w:r w:rsidR="00BF41A6">
        <w:rPr>
          <w:rFonts w:asciiTheme="minorEastAsia" w:hAnsiTheme="minorEastAsia" w:cs="仿宋_GB2312" w:hint="eastAsia"/>
          <w:sz w:val="28"/>
          <w:szCs w:val="28"/>
        </w:rPr>
        <w:t>、</w:t>
      </w:r>
      <w:r w:rsidRPr="00875E66">
        <w:rPr>
          <w:rFonts w:asciiTheme="minorEastAsia" w:hAnsiTheme="minorEastAsia" w:cs="仿宋_GB2312" w:hint="eastAsia"/>
          <w:sz w:val="28"/>
          <w:szCs w:val="28"/>
        </w:rPr>
        <w:t>人员工资和有关补贴及必要的服装、器械装备等。服务人员有关补贴包括工作人员夜餐费、节假日补贴费及加班费用。</w:t>
      </w:r>
    </w:p>
    <w:p w:rsidR="00AE3F04" w:rsidRPr="00875E66" w:rsidRDefault="00FB2F60" w:rsidP="00875E66">
      <w:pPr>
        <w:snapToGrid w:val="0"/>
        <w:spacing w:line="300" w:lineRule="auto"/>
        <w:ind w:firstLineChars="200" w:firstLine="560"/>
        <w:textAlignment w:val="baseline"/>
        <w:rPr>
          <w:rFonts w:asciiTheme="minorEastAsia" w:hAnsiTheme="minorEastAsia" w:cs="仿宋_GB2312"/>
          <w:sz w:val="28"/>
          <w:szCs w:val="28"/>
        </w:rPr>
      </w:pPr>
      <w:r>
        <w:rPr>
          <w:rFonts w:asciiTheme="minorEastAsia" w:hAnsiTheme="minorEastAsia" w:cs="仿宋_GB2312" w:hint="eastAsia"/>
          <w:sz w:val="28"/>
          <w:szCs w:val="28"/>
        </w:rPr>
        <w:t>3</w:t>
      </w:r>
      <w:r w:rsidR="00BF41A6">
        <w:rPr>
          <w:rFonts w:asciiTheme="minorEastAsia" w:hAnsiTheme="minorEastAsia" w:cs="仿宋_GB2312" w:hint="eastAsia"/>
          <w:sz w:val="28"/>
          <w:szCs w:val="28"/>
        </w:rPr>
        <w:t>、</w:t>
      </w:r>
      <w:r w:rsidR="00AE3F04" w:rsidRPr="00875E66">
        <w:rPr>
          <w:rFonts w:asciiTheme="minorEastAsia" w:hAnsiTheme="minorEastAsia" w:cs="仿宋_GB2312" w:hint="eastAsia"/>
          <w:sz w:val="28"/>
          <w:szCs w:val="28"/>
        </w:rPr>
        <w:t>所有人员须按岗位着装要求统一，言行规范，要注意仪容仪表，精神面貌好。</w:t>
      </w:r>
    </w:p>
    <w:p w:rsidR="00AE3F04" w:rsidRPr="00875E66" w:rsidRDefault="00FB2F60" w:rsidP="00FB2F60">
      <w:pPr>
        <w:snapToGrid w:val="0"/>
        <w:spacing w:line="300" w:lineRule="auto"/>
        <w:ind w:firstLineChars="200" w:firstLine="560"/>
        <w:textAlignment w:val="baseline"/>
        <w:rPr>
          <w:rFonts w:asciiTheme="minorEastAsia" w:hAnsiTheme="minorEastAsia" w:cs="仿宋_GB2312"/>
          <w:sz w:val="28"/>
          <w:szCs w:val="28"/>
        </w:rPr>
      </w:pPr>
      <w:r>
        <w:rPr>
          <w:rFonts w:asciiTheme="minorEastAsia" w:hAnsiTheme="minorEastAsia" w:cs="仿宋_GB2312" w:hint="eastAsia"/>
          <w:sz w:val="28"/>
          <w:szCs w:val="28"/>
        </w:rPr>
        <w:t>4</w:t>
      </w:r>
      <w:r w:rsidR="00BF41A6">
        <w:rPr>
          <w:rFonts w:asciiTheme="minorEastAsia" w:hAnsiTheme="minorEastAsia" w:cs="仿宋_GB2312" w:hint="eastAsia"/>
          <w:sz w:val="28"/>
          <w:szCs w:val="28"/>
        </w:rPr>
        <w:t>、</w:t>
      </w:r>
      <w:r w:rsidR="00AE3F04" w:rsidRPr="00875E66">
        <w:rPr>
          <w:rFonts w:asciiTheme="minorEastAsia" w:hAnsiTheme="minorEastAsia" w:cs="仿宋_GB2312" w:hint="eastAsia"/>
          <w:sz w:val="28"/>
          <w:szCs w:val="28"/>
        </w:rPr>
        <w:t>成交供应商保证安排自建立合法劳动关系的劳动者，因此产生的法律责任、经济纠纷及经济赔偿责任均由供应商自行承担。</w:t>
      </w:r>
    </w:p>
    <w:p w:rsidR="00AE3F04" w:rsidRPr="00875E66" w:rsidRDefault="00FB2F60" w:rsidP="00875E66">
      <w:pPr>
        <w:snapToGrid w:val="0"/>
        <w:spacing w:line="300" w:lineRule="auto"/>
        <w:ind w:firstLineChars="200" w:firstLine="560"/>
        <w:textAlignment w:val="baseline"/>
        <w:rPr>
          <w:rFonts w:asciiTheme="minorEastAsia" w:hAnsiTheme="minorEastAsia" w:cs="仿宋_GB2312"/>
          <w:sz w:val="28"/>
          <w:szCs w:val="28"/>
        </w:rPr>
      </w:pPr>
      <w:r>
        <w:rPr>
          <w:rFonts w:asciiTheme="minorEastAsia" w:hAnsiTheme="minorEastAsia" w:cs="仿宋_GB2312" w:hint="eastAsia"/>
          <w:sz w:val="28"/>
          <w:szCs w:val="28"/>
        </w:rPr>
        <w:t>5</w:t>
      </w:r>
      <w:r w:rsidR="00BF41A6">
        <w:rPr>
          <w:rFonts w:asciiTheme="minorEastAsia" w:hAnsiTheme="minorEastAsia" w:cs="仿宋_GB2312" w:hint="eastAsia"/>
          <w:sz w:val="28"/>
          <w:szCs w:val="28"/>
        </w:rPr>
        <w:t>、</w:t>
      </w:r>
      <w:r w:rsidR="00AE3F04" w:rsidRPr="00875E66">
        <w:rPr>
          <w:rFonts w:asciiTheme="minorEastAsia" w:hAnsiTheme="minorEastAsia" w:cs="仿宋_GB2312" w:hint="eastAsia"/>
          <w:sz w:val="28"/>
          <w:szCs w:val="28"/>
        </w:rPr>
        <w:t>成交供应商具备行业服务许可资质，具有独立法人资格和独立财务，不得以联合体投标，成交后不得将成交项目分包。</w:t>
      </w:r>
    </w:p>
    <w:p w:rsidR="00AE3F04" w:rsidRPr="00875E66" w:rsidRDefault="00BF41A6" w:rsidP="00875E66">
      <w:pPr>
        <w:snapToGrid w:val="0"/>
        <w:spacing w:line="300" w:lineRule="auto"/>
        <w:ind w:firstLineChars="200" w:firstLine="560"/>
        <w:textAlignment w:val="baseline"/>
        <w:rPr>
          <w:rFonts w:asciiTheme="minorEastAsia" w:hAnsiTheme="minorEastAsia" w:cs="仿宋_GB2312"/>
          <w:sz w:val="28"/>
          <w:szCs w:val="28"/>
        </w:rPr>
      </w:pPr>
      <w:r>
        <w:rPr>
          <w:rFonts w:asciiTheme="minorEastAsia" w:hAnsiTheme="minorEastAsia" w:cs="仿宋_GB2312" w:hint="eastAsia"/>
          <w:sz w:val="28"/>
          <w:szCs w:val="28"/>
        </w:rPr>
        <w:t>6、</w:t>
      </w:r>
      <w:r w:rsidR="00AE3F04" w:rsidRPr="00875E66">
        <w:rPr>
          <w:rFonts w:asciiTheme="minorEastAsia" w:hAnsiTheme="minorEastAsia" w:cs="仿宋_GB2312" w:hint="eastAsia"/>
          <w:sz w:val="28"/>
          <w:szCs w:val="28"/>
        </w:rPr>
        <w:t>成交供应商负责对其员工进行上岗培训、安全生产教育，提供的人员必须经过训练合格后才可安排在用工单位工作,提供的人员需具有相应资格。</w:t>
      </w:r>
    </w:p>
    <w:p w:rsidR="00AE3F04" w:rsidRPr="00875E66" w:rsidRDefault="00BF41A6" w:rsidP="00BF41A6">
      <w:pPr>
        <w:snapToGrid w:val="0"/>
        <w:spacing w:line="300" w:lineRule="auto"/>
        <w:ind w:firstLineChars="200" w:firstLine="560"/>
        <w:textAlignment w:val="baseline"/>
        <w:rPr>
          <w:rFonts w:asciiTheme="minorEastAsia" w:hAnsiTheme="minorEastAsia" w:cs="仿宋_GB2312"/>
          <w:sz w:val="28"/>
          <w:szCs w:val="28"/>
        </w:rPr>
      </w:pPr>
      <w:r>
        <w:rPr>
          <w:rFonts w:asciiTheme="minorEastAsia" w:hAnsiTheme="minorEastAsia" w:cs="仿宋_GB2312" w:hint="eastAsia"/>
          <w:sz w:val="28"/>
          <w:szCs w:val="28"/>
        </w:rPr>
        <w:t>7、</w:t>
      </w:r>
      <w:r w:rsidR="00AE3F04" w:rsidRPr="00875E66">
        <w:rPr>
          <w:rFonts w:asciiTheme="minorEastAsia" w:hAnsiTheme="minorEastAsia" w:cs="仿宋_GB2312" w:hint="eastAsia"/>
          <w:sz w:val="28"/>
          <w:szCs w:val="28"/>
        </w:rPr>
        <w:t>成交供应商建立健全各项管理制度、岗位工作标准，并制定具体落实措施和考核办法。</w:t>
      </w:r>
    </w:p>
    <w:p w:rsidR="00AE3F04" w:rsidRPr="00875E66" w:rsidRDefault="00AE3F04" w:rsidP="00875E66">
      <w:pPr>
        <w:snapToGrid w:val="0"/>
        <w:spacing w:line="300" w:lineRule="auto"/>
        <w:ind w:firstLineChars="200" w:firstLine="560"/>
        <w:textAlignment w:val="baseline"/>
        <w:rPr>
          <w:rFonts w:asciiTheme="minorEastAsia" w:hAnsiTheme="minorEastAsia" w:cs="仿宋_GB2312"/>
          <w:sz w:val="28"/>
          <w:szCs w:val="28"/>
        </w:rPr>
      </w:pPr>
      <w:r w:rsidRPr="00875E66">
        <w:rPr>
          <w:rFonts w:asciiTheme="minorEastAsia" w:hAnsiTheme="minorEastAsia" w:cs="仿宋_GB2312" w:hint="eastAsia"/>
          <w:sz w:val="28"/>
          <w:szCs w:val="28"/>
        </w:rPr>
        <w:t>8</w:t>
      </w:r>
      <w:r w:rsidR="00BF41A6">
        <w:rPr>
          <w:rFonts w:asciiTheme="minorEastAsia" w:hAnsiTheme="minorEastAsia" w:cs="仿宋_GB2312" w:hint="eastAsia"/>
          <w:sz w:val="28"/>
          <w:szCs w:val="28"/>
        </w:rPr>
        <w:t>、</w:t>
      </w:r>
      <w:r w:rsidRPr="00875E66">
        <w:rPr>
          <w:rFonts w:asciiTheme="minorEastAsia" w:hAnsiTheme="minorEastAsia" w:cs="仿宋_GB2312" w:hint="eastAsia"/>
          <w:sz w:val="28"/>
          <w:szCs w:val="28"/>
        </w:rPr>
        <w:t>在处理特殊事件和紧急、突发事故时，成交供应商的人员有义务参加应急处置，采购人对成交供应商派驻的服务人员有直接指挥权。</w:t>
      </w:r>
    </w:p>
    <w:p w:rsidR="00AE3F04" w:rsidRPr="00875E66" w:rsidRDefault="00AE3F04" w:rsidP="00875E66">
      <w:pPr>
        <w:pStyle w:val="2"/>
        <w:snapToGrid w:val="0"/>
        <w:spacing w:line="300" w:lineRule="auto"/>
        <w:ind w:left="0" w:firstLineChars="200" w:firstLine="560"/>
        <w:rPr>
          <w:rFonts w:asciiTheme="minorEastAsia" w:hAnsiTheme="minorEastAsia" w:cs="仿宋_GB2312"/>
          <w:szCs w:val="28"/>
          <w:lang w:val="en-US"/>
        </w:rPr>
      </w:pPr>
      <w:r w:rsidRPr="00875E66">
        <w:rPr>
          <w:rFonts w:asciiTheme="minorEastAsia" w:hAnsiTheme="minorEastAsia" w:cs="仿宋_GB2312" w:hint="eastAsia"/>
          <w:color w:val="auto"/>
          <w:szCs w:val="28"/>
          <w:lang w:val="en-US"/>
        </w:rPr>
        <w:lastRenderedPageBreak/>
        <w:t>9.对不服从管理的员工，采购方有权提前解除用工合同，供应方应及时安排符合要求的员工到位工作。</w:t>
      </w:r>
    </w:p>
    <w:p w:rsidR="00875E66" w:rsidRPr="00A32A39" w:rsidRDefault="00AE3F04" w:rsidP="00A32A39">
      <w:pPr>
        <w:snapToGrid w:val="0"/>
        <w:spacing w:line="300" w:lineRule="auto"/>
        <w:ind w:firstLineChars="200" w:firstLine="560"/>
        <w:textAlignment w:val="baseline"/>
        <w:rPr>
          <w:rFonts w:asciiTheme="minorEastAsia" w:hAnsiTheme="minorEastAsia" w:cs="仿宋_GB2312"/>
          <w:sz w:val="28"/>
          <w:szCs w:val="28"/>
        </w:rPr>
      </w:pPr>
      <w:r w:rsidRPr="00875E66">
        <w:rPr>
          <w:rFonts w:asciiTheme="minorEastAsia" w:hAnsiTheme="minorEastAsia" w:cs="仿宋_GB2312" w:hint="eastAsia"/>
          <w:sz w:val="28"/>
          <w:szCs w:val="28"/>
        </w:rPr>
        <w:t>10.供应商必须充分考虑物业管理服务范围及人员要求，为项目配置的人员必须达到或高于项目需要。</w:t>
      </w:r>
    </w:p>
    <w:sectPr w:rsidR="00875E66" w:rsidRPr="00A32A39" w:rsidSect="00A32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04" w:rsidRDefault="00AE3F04" w:rsidP="00AE3F04">
      <w:r>
        <w:separator/>
      </w:r>
    </w:p>
  </w:endnote>
  <w:endnote w:type="continuationSeparator" w:id="1">
    <w:p w:rsidR="00AE3F04" w:rsidRDefault="00AE3F04" w:rsidP="00AE3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04" w:rsidRDefault="00211E32">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E3F04" w:rsidRDefault="00211E32">
                <w:pPr>
                  <w:pStyle w:val="a4"/>
                </w:pPr>
                <w:fldSimple w:instr=" PAGE  \* MERGEFORMAT ">
                  <w:r w:rsidR="00DE03DA">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04" w:rsidRDefault="00AE3F04" w:rsidP="00AE3F04">
      <w:r>
        <w:separator/>
      </w:r>
    </w:p>
  </w:footnote>
  <w:footnote w:type="continuationSeparator" w:id="1">
    <w:p w:rsidR="00AE3F04" w:rsidRDefault="00AE3F04" w:rsidP="00AE3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68553C"/>
    <w:multiLevelType w:val="singleLevel"/>
    <w:tmpl w:val="8168553C"/>
    <w:lvl w:ilvl="0">
      <w:start w:val="1"/>
      <w:numFmt w:val="decimal"/>
      <w:lvlText w:val="%1."/>
      <w:lvlJc w:val="left"/>
      <w:pPr>
        <w:tabs>
          <w:tab w:val="left" w:pos="312"/>
        </w:tabs>
      </w:pPr>
    </w:lvl>
  </w:abstractNum>
  <w:abstractNum w:abstractNumId="1">
    <w:nsid w:val="8706CD07"/>
    <w:multiLevelType w:val="singleLevel"/>
    <w:tmpl w:val="8706CD07"/>
    <w:lvl w:ilvl="0">
      <w:start w:val="3"/>
      <w:numFmt w:val="decimal"/>
      <w:suff w:val="nothing"/>
      <w:lvlText w:val="（%1）"/>
      <w:lvlJc w:val="left"/>
      <w:pPr>
        <w:ind w:left="0" w:firstLine="0"/>
      </w:pPr>
    </w:lvl>
  </w:abstractNum>
  <w:abstractNum w:abstractNumId="2">
    <w:nsid w:val="00000008"/>
    <w:multiLevelType w:val="singleLevel"/>
    <w:tmpl w:val="00000008"/>
    <w:lvl w:ilvl="0">
      <w:start w:val="1"/>
      <w:numFmt w:val="decimal"/>
      <w:suff w:val="nothing"/>
      <w:lvlText w:val="%1、"/>
      <w:lvlJc w:val="left"/>
    </w:lvl>
  </w:abstractNum>
  <w:abstractNum w:abstractNumId="3">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japaneseCounting"/>
      <w:lvlText w:val="第%1条"/>
      <w:lvlJc w:val="left"/>
      <w:pPr>
        <w:tabs>
          <w:tab w:val="num" w:pos="1830"/>
        </w:tabs>
        <w:ind w:left="1830" w:hanging="750"/>
      </w:pPr>
      <w:rPr>
        <w:rFonts w:hint="default"/>
        <w:b/>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EA9122D"/>
    <w:multiLevelType w:val="hybridMultilevel"/>
    <w:tmpl w:val="EFFC5C72"/>
    <w:lvl w:ilvl="0" w:tplc="8E3645AA">
      <w:start w:val="2"/>
      <w:numFmt w:val="japaneseCounting"/>
      <w:lvlText w:val="%1、"/>
      <w:lvlJc w:val="left"/>
      <w:pPr>
        <w:ind w:left="957" w:hanging="3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5B72433"/>
    <w:multiLevelType w:val="multilevel"/>
    <w:tmpl w:val="25B7243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8BE12CE"/>
    <w:multiLevelType w:val="hybridMultilevel"/>
    <w:tmpl w:val="E298A012"/>
    <w:lvl w:ilvl="0" w:tplc="85DE1158">
      <w:start w:val="1"/>
      <w:numFmt w:val="decimal"/>
      <w:lvlText w:val="%1、"/>
      <w:lvlJc w:val="left"/>
      <w:pPr>
        <w:ind w:left="1350" w:hanging="480"/>
      </w:pPr>
      <w:rPr>
        <w:rFonts w:ascii="仿宋_GB2312" w:eastAsia="仿宋_GB2312" w:hAnsiTheme="minorHAnsi" w:cstheme="minorBidi" w:hint="default"/>
        <w:b/>
        <w:sz w:val="30"/>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8">
    <w:nsid w:val="52013F9B"/>
    <w:multiLevelType w:val="hybridMultilevel"/>
    <w:tmpl w:val="3FC85726"/>
    <w:lvl w:ilvl="0" w:tplc="02E66E62">
      <w:start w:val="1"/>
      <w:numFmt w:val="decimal"/>
      <w:lvlText w:val="%1、"/>
      <w:lvlJc w:val="left"/>
      <w:pPr>
        <w:ind w:left="720" w:hanging="720"/>
      </w:pPr>
      <w:rPr>
        <w:rFonts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8A4777"/>
    <w:multiLevelType w:val="hybridMultilevel"/>
    <w:tmpl w:val="DDD6DADC"/>
    <w:lvl w:ilvl="0" w:tplc="608A0652">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91677B"/>
    <w:multiLevelType w:val="hybridMultilevel"/>
    <w:tmpl w:val="A82AF77E"/>
    <w:lvl w:ilvl="0" w:tplc="4AD6482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3"/>
  </w:num>
  <w:num w:numId="8">
    <w:abstractNumId w:val="6"/>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F04"/>
    <w:rsid w:val="00153AAB"/>
    <w:rsid w:val="001E61A7"/>
    <w:rsid w:val="00211E32"/>
    <w:rsid w:val="00366E80"/>
    <w:rsid w:val="006846A7"/>
    <w:rsid w:val="007D57D9"/>
    <w:rsid w:val="00850D3E"/>
    <w:rsid w:val="00875E66"/>
    <w:rsid w:val="008E18CD"/>
    <w:rsid w:val="009F115C"/>
    <w:rsid w:val="00A32A39"/>
    <w:rsid w:val="00AE3F04"/>
    <w:rsid w:val="00B52B8E"/>
    <w:rsid w:val="00BF41A6"/>
    <w:rsid w:val="00DE03DA"/>
    <w:rsid w:val="00FB2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E3F04"/>
    <w:pPr>
      <w:widowControl w:val="0"/>
      <w:jc w:val="both"/>
    </w:pPr>
    <w:rPr>
      <w:szCs w:val="24"/>
    </w:rPr>
  </w:style>
  <w:style w:type="paragraph" w:styleId="1">
    <w:name w:val="heading 1"/>
    <w:basedOn w:val="a"/>
    <w:next w:val="a"/>
    <w:link w:val="1Char"/>
    <w:qFormat/>
    <w:rsid w:val="00AE3F04"/>
    <w:pPr>
      <w:keepNext/>
      <w:keepLines/>
      <w:spacing w:before="340" w:after="330" w:line="578" w:lineRule="auto"/>
      <w:outlineLvl w:val="0"/>
    </w:pPr>
    <w:rPr>
      <w:rFonts w:ascii="Tahoma" w:hAnsi="Tahoma"/>
      <w:b/>
      <w:bCs/>
      <w:kern w:val="44"/>
      <w:sz w:val="44"/>
      <w:szCs w:val="44"/>
    </w:rPr>
  </w:style>
  <w:style w:type="paragraph" w:styleId="2">
    <w:name w:val="heading 2"/>
    <w:basedOn w:val="a"/>
    <w:next w:val="a"/>
    <w:link w:val="2Char"/>
    <w:qFormat/>
    <w:rsid w:val="00AE3F04"/>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E3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3F04"/>
    <w:rPr>
      <w:sz w:val="18"/>
      <w:szCs w:val="18"/>
    </w:rPr>
  </w:style>
  <w:style w:type="paragraph" w:styleId="a4">
    <w:name w:val="footer"/>
    <w:basedOn w:val="a"/>
    <w:link w:val="Char0"/>
    <w:uiPriority w:val="99"/>
    <w:unhideWhenUsed/>
    <w:qFormat/>
    <w:rsid w:val="00AE3F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3F04"/>
    <w:rPr>
      <w:sz w:val="18"/>
      <w:szCs w:val="18"/>
    </w:rPr>
  </w:style>
  <w:style w:type="character" w:customStyle="1" w:styleId="1Char">
    <w:name w:val="标题 1 Char"/>
    <w:basedOn w:val="a0"/>
    <w:link w:val="1"/>
    <w:rsid w:val="00AE3F04"/>
    <w:rPr>
      <w:rFonts w:ascii="Tahoma" w:hAnsi="Tahoma"/>
      <w:b/>
      <w:bCs/>
      <w:kern w:val="44"/>
      <w:sz w:val="44"/>
      <w:szCs w:val="44"/>
    </w:rPr>
  </w:style>
  <w:style w:type="character" w:customStyle="1" w:styleId="2Char">
    <w:name w:val="标题 2 Char"/>
    <w:basedOn w:val="a0"/>
    <w:link w:val="2"/>
    <w:rsid w:val="00AE3F04"/>
    <w:rPr>
      <w:rFonts w:ascii="Arial" w:hAnsi="Arial"/>
      <w:bCs/>
      <w:color w:val="000000"/>
      <w:sz w:val="28"/>
      <w:szCs w:val="32"/>
      <w:lang w:val="pt-BR"/>
    </w:rPr>
  </w:style>
  <w:style w:type="paragraph" w:styleId="8">
    <w:name w:val="index 8"/>
    <w:basedOn w:val="a"/>
    <w:next w:val="a"/>
    <w:qFormat/>
    <w:rsid w:val="00AE3F04"/>
    <w:pPr>
      <w:ind w:left="2940"/>
    </w:pPr>
  </w:style>
  <w:style w:type="paragraph" w:styleId="a5">
    <w:name w:val="Normal Indent"/>
    <w:basedOn w:val="a"/>
    <w:qFormat/>
    <w:rsid w:val="00AE3F04"/>
    <w:pPr>
      <w:ind w:firstLine="420"/>
    </w:pPr>
    <w:rPr>
      <w:szCs w:val="20"/>
    </w:rPr>
  </w:style>
  <w:style w:type="paragraph" w:styleId="a6">
    <w:name w:val="Body Text"/>
    <w:basedOn w:val="a"/>
    <w:link w:val="Char1"/>
    <w:qFormat/>
    <w:rsid w:val="00AE3F04"/>
    <w:pPr>
      <w:spacing w:after="120"/>
    </w:pPr>
  </w:style>
  <w:style w:type="character" w:customStyle="1" w:styleId="Char1">
    <w:name w:val="正文文本 Char"/>
    <w:basedOn w:val="a0"/>
    <w:link w:val="a6"/>
    <w:rsid w:val="00AE3F04"/>
    <w:rPr>
      <w:szCs w:val="24"/>
    </w:rPr>
  </w:style>
  <w:style w:type="paragraph" w:styleId="a7">
    <w:name w:val="Body Text Indent"/>
    <w:basedOn w:val="a"/>
    <w:link w:val="Char2"/>
    <w:qFormat/>
    <w:rsid w:val="00AE3F04"/>
    <w:pPr>
      <w:ind w:firstLineChars="200" w:firstLine="560"/>
    </w:pPr>
    <w:rPr>
      <w:sz w:val="28"/>
    </w:rPr>
  </w:style>
  <w:style w:type="character" w:customStyle="1" w:styleId="Char2">
    <w:name w:val="正文文本缩进 Char"/>
    <w:basedOn w:val="a0"/>
    <w:link w:val="a7"/>
    <w:rsid w:val="00AE3F04"/>
    <w:rPr>
      <w:sz w:val="28"/>
      <w:szCs w:val="24"/>
    </w:rPr>
  </w:style>
  <w:style w:type="paragraph" w:styleId="a8">
    <w:name w:val="Plain Text"/>
    <w:basedOn w:val="a"/>
    <w:next w:val="8"/>
    <w:link w:val="Char3"/>
    <w:qFormat/>
    <w:rsid w:val="00AE3F04"/>
    <w:rPr>
      <w:rFonts w:ascii="宋体" w:hAnsi="Courier New"/>
      <w:szCs w:val="20"/>
    </w:rPr>
  </w:style>
  <w:style w:type="character" w:customStyle="1" w:styleId="Char3">
    <w:name w:val="纯文本 Char"/>
    <w:basedOn w:val="a0"/>
    <w:link w:val="a8"/>
    <w:rsid w:val="00AE3F04"/>
    <w:rPr>
      <w:rFonts w:ascii="宋体" w:hAnsi="Courier New"/>
      <w:szCs w:val="20"/>
    </w:rPr>
  </w:style>
  <w:style w:type="paragraph" w:styleId="20">
    <w:name w:val="Body Text First Indent 2"/>
    <w:basedOn w:val="a7"/>
    <w:link w:val="2Char0"/>
    <w:uiPriority w:val="99"/>
    <w:unhideWhenUsed/>
    <w:qFormat/>
    <w:rsid w:val="00AE3F04"/>
    <w:pPr>
      <w:spacing w:after="120"/>
      <w:ind w:leftChars="200" w:left="420" w:firstLine="420"/>
    </w:pPr>
    <w:rPr>
      <w:rFonts w:ascii="Times New Roman" w:eastAsia="黑体" w:hAnsi="仿宋_GB2312"/>
    </w:rPr>
  </w:style>
  <w:style w:type="character" w:customStyle="1" w:styleId="2Char0">
    <w:name w:val="正文首行缩进 2 Char"/>
    <w:basedOn w:val="Char2"/>
    <w:link w:val="20"/>
    <w:uiPriority w:val="99"/>
    <w:rsid w:val="00AE3F04"/>
    <w:rPr>
      <w:rFonts w:ascii="Times New Roman" w:eastAsia="黑体" w:hAnsi="仿宋_GB2312"/>
    </w:rPr>
  </w:style>
  <w:style w:type="table" w:styleId="a9">
    <w:name w:val="Table Grid"/>
    <w:basedOn w:val="a1"/>
    <w:uiPriority w:val="99"/>
    <w:qFormat/>
    <w:rsid w:val="00AE3F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AE3F04"/>
  </w:style>
  <w:style w:type="paragraph" w:customStyle="1" w:styleId="TableText">
    <w:name w:val="Table Text"/>
    <w:basedOn w:val="a"/>
    <w:semiHidden/>
    <w:qFormat/>
    <w:rsid w:val="00AE3F04"/>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0"/>
      <w:szCs w:val="20"/>
      <w:lang w:eastAsia="en-US"/>
    </w:rPr>
  </w:style>
  <w:style w:type="paragraph" w:customStyle="1" w:styleId="Style1">
    <w:name w:val="_Style 1"/>
    <w:uiPriority w:val="1"/>
    <w:qFormat/>
    <w:rsid w:val="00AE3F04"/>
    <w:pPr>
      <w:widowControl w:val="0"/>
      <w:jc w:val="both"/>
    </w:pPr>
    <w:rPr>
      <w:rFonts w:ascii="Times New Roman" w:eastAsia="宋体" w:hAnsi="Times New Roman" w:cs="Times New Roman"/>
      <w:szCs w:val="24"/>
    </w:rPr>
  </w:style>
  <w:style w:type="paragraph" w:customStyle="1" w:styleId="Bodytext1">
    <w:name w:val="Body text|1"/>
    <w:basedOn w:val="a"/>
    <w:qFormat/>
    <w:rsid w:val="00AE3F04"/>
    <w:pPr>
      <w:spacing w:line="350" w:lineRule="auto"/>
      <w:ind w:firstLine="400"/>
      <w:jc w:val="left"/>
    </w:pPr>
    <w:rPr>
      <w:rFonts w:ascii="宋体" w:hAnsi="宋体" w:cs="宋体"/>
      <w:kern w:val="0"/>
      <w:sz w:val="30"/>
      <w:szCs w:val="30"/>
    </w:rPr>
  </w:style>
  <w:style w:type="paragraph" w:styleId="ab">
    <w:name w:val="List Paragraph"/>
    <w:basedOn w:val="a"/>
    <w:link w:val="Char4"/>
    <w:qFormat/>
    <w:rsid w:val="001E61A7"/>
    <w:pPr>
      <w:ind w:firstLineChars="200" w:firstLine="420"/>
    </w:pPr>
  </w:style>
  <w:style w:type="character" w:customStyle="1" w:styleId="Char4">
    <w:name w:val="列出段落 Char"/>
    <w:link w:val="ab"/>
    <w:qFormat/>
    <w:rsid w:val="00153AAB"/>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213</Words>
  <Characters>1218</Characters>
  <Application>Microsoft Office Word</Application>
  <DocSecurity>0</DocSecurity>
  <Lines>10</Lines>
  <Paragraphs>2</Paragraphs>
  <ScaleCrop>false</ScaleCrop>
  <Company>Microsoft</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2025-06-27T08:02:00Z</dcterms:created>
  <dcterms:modified xsi:type="dcterms:W3CDTF">2025-06-27T09:45:00Z</dcterms:modified>
</cp:coreProperties>
</file>