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
        <w:tblW w:w="6019"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547"/>
        <w:gridCol w:w="1133"/>
        <w:gridCol w:w="1007"/>
        <w:gridCol w:w="6572"/>
      </w:tblGrid>
      <w:tr w14:paraId="0F4849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5000" w:type="pct"/>
            <w:gridSpan w:val="4"/>
            <w:noWrap w:val="0"/>
            <w:vAlign w:val="center"/>
          </w:tcPr>
          <w:p w14:paraId="53A138CD">
            <w:pPr>
              <w:tabs>
                <w:tab w:val="left" w:pos="180"/>
                <w:tab w:val="left" w:pos="1620"/>
              </w:tabs>
              <w:adjustRightInd w:val="0"/>
              <w:snapToGrid w:val="0"/>
              <w:spacing w:line="360" w:lineRule="exact"/>
              <w:rPr>
                <w:rFonts w:hint="eastAsia" w:ascii="宋体" w:hAnsi="宋体"/>
                <w:color w:val="auto"/>
                <w:szCs w:val="21"/>
              </w:rPr>
            </w:pPr>
            <w:r>
              <w:rPr>
                <w:rFonts w:hint="eastAsia" w:ascii="宋体" w:hAnsi="宋体" w:cs="宋体"/>
                <w:b/>
                <w:color w:val="auto"/>
                <w:szCs w:val="21"/>
              </w:rPr>
              <w:t>一、采购标的及技术需求</w:t>
            </w:r>
          </w:p>
        </w:tc>
      </w:tr>
      <w:tr w14:paraId="12955F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54" w:type="pct"/>
            <w:noWrap w:val="0"/>
            <w:vAlign w:val="center"/>
          </w:tcPr>
          <w:p w14:paraId="60EA1F3B">
            <w:pPr>
              <w:tabs>
                <w:tab w:val="left" w:pos="180"/>
                <w:tab w:val="left" w:pos="1620"/>
              </w:tabs>
              <w:adjustRightInd w:val="0"/>
              <w:snapToGrid w:val="0"/>
              <w:spacing w:line="360" w:lineRule="exact"/>
              <w:jc w:val="center"/>
              <w:rPr>
                <w:rFonts w:hint="eastAsia" w:ascii="宋体" w:hAnsi="宋体" w:cs="宋体"/>
                <w:color w:val="auto"/>
                <w:szCs w:val="21"/>
              </w:rPr>
            </w:pPr>
            <w:r>
              <w:rPr>
                <w:rFonts w:hint="eastAsia" w:ascii="宋体" w:hAnsi="宋体" w:cs="宋体"/>
                <w:color w:val="auto"/>
                <w:szCs w:val="21"/>
              </w:rPr>
              <w:t>标的的名称</w:t>
            </w:r>
          </w:p>
        </w:tc>
        <w:tc>
          <w:tcPr>
            <w:tcW w:w="552" w:type="pct"/>
            <w:noWrap w:val="0"/>
            <w:vAlign w:val="center"/>
          </w:tcPr>
          <w:p w14:paraId="755EE5FA">
            <w:pPr>
              <w:tabs>
                <w:tab w:val="left" w:pos="180"/>
                <w:tab w:val="left" w:pos="1620"/>
              </w:tabs>
              <w:adjustRightInd w:val="0"/>
              <w:snapToGrid w:val="0"/>
              <w:spacing w:line="360" w:lineRule="exact"/>
              <w:jc w:val="center"/>
              <w:rPr>
                <w:rFonts w:ascii="宋体" w:hAnsi="宋体" w:cs="宋体"/>
                <w:color w:val="auto"/>
                <w:szCs w:val="21"/>
              </w:rPr>
            </w:pPr>
            <w:r>
              <w:rPr>
                <w:rFonts w:hint="eastAsia" w:ascii="宋体" w:hAnsi="宋体" w:cs="宋体"/>
                <w:color w:val="auto"/>
                <w:szCs w:val="21"/>
              </w:rPr>
              <w:t>数量及</w:t>
            </w:r>
          </w:p>
          <w:p w14:paraId="4188E055">
            <w:pPr>
              <w:tabs>
                <w:tab w:val="left" w:pos="180"/>
                <w:tab w:val="left" w:pos="1620"/>
              </w:tabs>
              <w:adjustRightInd w:val="0"/>
              <w:snapToGrid w:val="0"/>
              <w:spacing w:line="360" w:lineRule="exact"/>
              <w:jc w:val="center"/>
              <w:rPr>
                <w:rFonts w:hint="eastAsia" w:ascii="宋体" w:hAnsi="宋体" w:cs="宋体"/>
                <w:color w:val="auto"/>
                <w:szCs w:val="21"/>
              </w:rPr>
            </w:pPr>
            <w:r>
              <w:rPr>
                <w:rFonts w:hint="eastAsia" w:ascii="宋体" w:hAnsi="宋体" w:cs="宋体"/>
                <w:color w:val="auto"/>
                <w:szCs w:val="21"/>
              </w:rPr>
              <w:t>单位</w:t>
            </w:r>
          </w:p>
        </w:tc>
        <w:tc>
          <w:tcPr>
            <w:tcW w:w="491" w:type="pct"/>
            <w:noWrap w:val="0"/>
            <w:vAlign w:val="center"/>
          </w:tcPr>
          <w:p w14:paraId="52C90F47">
            <w:pPr>
              <w:tabs>
                <w:tab w:val="left" w:pos="180"/>
                <w:tab w:val="left" w:pos="1620"/>
              </w:tabs>
              <w:adjustRightInd w:val="0"/>
              <w:snapToGrid w:val="0"/>
              <w:spacing w:line="360" w:lineRule="exact"/>
              <w:jc w:val="center"/>
              <w:rPr>
                <w:rFonts w:hint="eastAsia" w:ascii="宋体" w:hAnsi="宋体" w:eastAsia="宋体" w:cs="宋体"/>
                <w:color w:val="auto"/>
                <w:szCs w:val="21"/>
                <w:lang w:eastAsia="zh-CN"/>
              </w:rPr>
            </w:pPr>
            <w:r>
              <w:rPr>
                <w:rFonts w:hint="eastAsia" w:ascii="宋体" w:hAnsi="宋体" w:cs="宋体"/>
                <w:color w:val="auto"/>
                <w:szCs w:val="21"/>
                <w:lang w:eastAsia="zh-CN"/>
              </w:rPr>
              <w:t>单价控制价（</w:t>
            </w:r>
            <w:r>
              <w:rPr>
                <w:rFonts w:hint="eastAsia" w:ascii="宋体" w:hAnsi="宋体" w:cs="宋体"/>
                <w:color w:val="auto"/>
                <w:szCs w:val="21"/>
                <w:lang w:val="en-US" w:eastAsia="zh-CN"/>
              </w:rPr>
              <w:t>元</w:t>
            </w:r>
            <w:r>
              <w:rPr>
                <w:rFonts w:hint="eastAsia" w:ascii="宋体" w:hAnsi="宋体" w:cs="宋体"/>
                <w:color w:val="auto"/>
                <w:szCs w:val="21"/>
                <w:lang w:eastAsia="zh-CN"/>
              </w:rPr>
              <w:t>）</w:t>
            </w:r>
          </w:p>
        </w:tc>
        <w:tc>
          <w:tcPr>
            <w:tcW w:w="3200" w:type="pct"/>
            <w:noWrap w:val="0"/>
            <w:vAlign w:val="center"/>
          </w:tcPr>
          <w:p w14:paraId="5A97FB23">
            <w:pPr>
              <w:tabs>
                <w:tab w:val="left" w:pos="180"/>
                <w:tab w:val="left" w:pos="1620"/>
              </w:tabs>
              <w:adjustRightInd w:val="0"/>
              <w:snapToGrid w:val="0"/>
              <w:spacing w:line="360" w:lineRule="exact"/>
              <w:jc w:val="center"/>
              <w:rPr>
                <w:rFonts w:hint="eastAsia" w:ascii="宋体" w:hAnsi="宋体" w:cs="宋体"/>
                <w:color w:val="auto"/>
                <w:szCs w:val="21"/>
              </w:rPr>
            </w:pPr>
            <w:r>
              <w:rPr>
                <w:rFonts w:hint="eastAsia" w:ascii="宋体" w:hAnsi="宋体"/>
                <w:color w:val="auto"/>
                <w:szCs w:val="21"/>
              </w:rPr>
              <w:t>技术要求</w:t>
            </w:r>
          </w:p>
        </w:tc>
      </w:tr>
      <w:tr w14:paraId="3FAD63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754" w:type="pct"/>
            <w:noWrap w:val="0"/>
            <w:vAlign w:val="center"/>
          </w:tcPr>
          <w:p w14:paraId="185D8EBC">
            <w:pPr>
              <w:tabs>
                <w:tab w:val="left" w:pos="180"/>
                <w:tab w:val="left" w:pos="1620"/>
              </w:tabs>
              <w:adjustRightInd w:val="0"/>
              <w:snapToGrid w:val="0"/>
              <w:spacing w:line="360" w:lineRule="exact"/>
              <w:jc w:val="center"/>
              <w:rPr>
                <w:rFonts w:hint="eastAsia" w:ascii="宋体" w:hAnsi="宋体" w:eastAsia="宋体" w:cs="宋体"/>
                <w:color w:val="auto"/>
                <w:kern w:val="2"/>
                <w:sz w:val="21"/>
                <w:szCs w:val="21"/>
                <w:lang w:val="en-US" w:eastAsia="zh-CN" w:bidi="ar-SA"/>
              </w:rPr>
            </w:pPr>
            <w:r>
              <w:rPr>
                <w:rFonts w:hint="eastAsia" w:ascii="宋体" w:hAnsi="宋体" w:cs="宋体"/>
                <w:color w:val="auto"/>
                <w:szCs w:val="21"/>
                <w:lang w:val="en-US" w:eastAsia="zh-CN"/>
              </w:rPr>
              <w:t>预防艾滋病基本知识</w:t>
            </w:r>
            <w:r>
              <w:rPr>
                <w:rFonts w:hint="eastAsia" w:ascii="宋体" w:hAnsi="宋体" w:cs="宋体"/>
                <w:color w:val="auto"/>
                <w:szCs w:val="21"/>
                <w:lang w:eastAsia="zh-CN"/>
              </w:rPr>
              <w:t>宣传折页</w:t>
            </w:r>
          </w:p>
        </w:tc>
        <w:tc>
          <w:tcPr>
            <w:tcW w:w="552" w:type="pct"/>
            <w:noWrap w:val="0"/>
            <w:vAlign w:val="center"/>
          </w:tcPr>
          <w:p w14:paraId="6C1B2CE9">
            <w:pPr>
              <w:tabs>
                <w:tab w:val="left" w:pos="180"/>
                <w:tab w:val="left" w:pos="1620"/>
              </w:tabs>
              <w:adjustRightInd w:val="0"/>
              <w:snapToGrid w:val="0"/>
              <w:spacing w:line="360" w:lineRule="exact"/>
              <w:jc w:val="center"/>
              <w:rPr>
                <w:rFonts w:hint="eastAsia" w:ascii="宋体" w:hAnsi="宋体" w:eastAsia="宋体" w:cs="宋体"/>
                <w:color w:val="auto"/>
                <w:kern w:val="2"/>
                <w:sz w:val="21"/>
                <w:szCs w:val="21"/>
                <w:lang w:val="en-US" w:eastAsia="zh-CN" w:bidi="ar-SA"/>
              </w:rPr>
            </w:pPr>
            <w:r>
              <w:rPr>
                <w:rFonts w:hint="eastAsia" w:ascii="宋体" w:hAnsi="宋体" w:cs="宋体"/>
                <w:color w:val="auto"/>
                <w:szCs w:val="21"/>
                <w:lang w:val="en-US" w:eastAsia="zh-CN"/>
              </w:rPr>
              <w:t>100000张</w:t>
            </w:r>
          </w:p>
        </w:tc>
        <w:tc>
          <w:tcPr>
            <w:tcW w:w="491" w:type="pct"/>
            <w:noWrap w:val="0"/>
            <w:vAlign w:val="center"/>
          </w:tcPr>
          <w:p w14:paraId="2A740889">
            <w:pPr>
              <w:tabs>
                <w:tab w:val="left" w:pos="180"/>
                <w:tab w:val="left" w:pos="1620"/>
              </w:tabs>
              <w:adjustRightInd w:val="0"/>
              <w:snapToGrid w:val="0"/>
              <w:spacing w:line="360" w:lineRule="exact"/>
              <w:jc w:val="center"/>
              <w:rPr>
                <w:rFonts w:hint="default"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0.3</w:t>
            </w:r>
          </w:p>
        </w:tc>
        <w:tc>
          <w:tcPr>
            <w:tcW w:w="3200" w:type="pct"/>
            <w:noWrap w:val="0"/>
            <w:vAlign w:val="center"/>
          </w:tcPr>
          <w:p w14:paraId="734408CD">
            <w:pPr>
              <w:tabs>
                <w:tab w:val="left" w:pos="180"/>
                <w:tab w:val="left" w:pos="1620"/>
              </w:tabs>
              <w:adjustRightInd w:val="0"/>
              <w:snapToGrid w:val="0"/>
              <w:spacing w:line="360" w:lineRule="exact"/>
              <w:jc w:val="center"/>
              <w:rPr>
                <w:rFonts w:hint="eastAsia" w:ascii="宋体" w:hAnsi="宋体" w:cs="宋体"/>
                <w:color w:val="auto"/>
                <w:sz w:val="21"/>
                <w:szCs w:val="21"/>
                <w:shd w:val="clear" w:color="auto" w:fill="FFFFFF"/>
                <w:lang w:val="en-US" w:eastAsia="zh-CN"/>
              </w:rPr>
            </w:pPr>
            <w:r>
              <w:rPr>
                <w:rFonts w:hint="eastAsia" w:ascii="宋体" w:hAnsi="宋体" w:cs="宋体"/>
                <w:color w:val="auto"/>
                <w:sz w:val="21"/>
                <w:szCs w:val="21"/>
                <w:shd w:val="clear" w:color="auto" w:fill="FFFFFF"/>
                <w:lang w:val="en-US" w:eastAsia="zh-CN"/>
              </w:rPr>
              <w:t>材质≥210克铜版纸，规格≥21cm×28.5cm三折，每50张一扎，20扎一件。</w:t>
            </w:r>
          </w:p>
        </w:tc>
      </w:tr>
      <w:tr w14:paraId="5D58FB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000" w:type="pct"/>
            <w:gridSpan w:val="4"/>
            <w:tcBorders>
              <w:top w:val="single" w:color="auto" w:sz="4" w:space="0"/>
              <w:left w:val="single" w:color="auto" w:sz="4" w:space="0"/>
              <w:bottom w:val="single" w:color="auto" w:sz="4" w:space="0"/>
              <w:right w:val="single" w:color="auto" w:sz="4" w:space="0"/>
            </w:tcBorders>
            <w:noWrap w:val="0"/>
            <w:vAlign w:val="top"/>
          </w:tcPr>
          <w:p w14:paraId="6A36CA1E">
            <w:pPr>
              <w:adjustRightInd w:val="0"/>
              <w:snapToGrid w:val="0"/>
              <w:spacing w:line="360" w:lineRule="exact"/>
              <w:rPr>
                <w:rFonts w:ascii="宋体" w:hAnsi="宋体"/>
                <w:b/>
                <w:bCs/>
                <w:color w:val="auto"/>
                <w:szCs w:val="21"/>
              </w:rPr>
            </w:pPr>
            <w:r>
              <w:rPr>
                <w:rFonts w:hint="eastAsia" w:ascii="宋体" w:hAnsi="宋体"/>
                <w:b/>
                <w:color w:val="auto"/>
                <w:szCs w:val="21"/>
              </w:rPr>
              <w:t>二、商务要求</w:t>
            </w:r>
          </w:p>
        </w:tc>
      </w:tr>
      <w:tr w14:paraId="2AAA35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000" w:type="pct"/>
            <w:gridSpan w:val="4"/>
            <w:tcBorders>
              <w:top w:val="single" w:color="auto" w:sz="4" w:space="0"/>
              <w:left w:val="single" w:color="auto" w:sz="4" w:space="0"/>
              <w:bottom w:val="single" w:color="auto" w:sz="4" w:space="0"/>
              <w:right w:val="single" w:color="auto" w:sz="4" w:space="0"/>
            </w:tcBorders>
            <w:noWrap w:val="0"/>
            <w:vAlign w:val="center"/>
          </w:tcPr>
          <w:p w14:paraId="476E0D9C">
            <w:pPr>
              <w:numPr>
                <w:ilvl w:val="0"/>
                <w:numId w:val="0"/>
              </w:numPr>
              <w:tabs>
                <w:tab w:val="left" w:pos="180"/>
                <w:tab w:val="left" w:pos="1620"/>
              </w:tabs>
              <w:adjustRightInd w:val="0"/>
              <w:snapToGrid w:val="0"/>
              <w:spacing w:line="360" w:lineRule="exact"/>
              <w:jc w:val="left"/>
              <w:rPr>
                <w:rFonts w:hint="eastAsia" w:ascii="宋体" w:hAnsi="宋体" w:cs="宋体"/>
                <w:b/>
                <w:bCs/>
                <w:color w:val="auto"/>
                <w:szCs w:val="21"/>
                <w:lang w:val="en-US" w:eastAsia="zh-CN"/>
              </w:rPr>
            </w:pPr>
            <w:r>
              <w:rPr>
                <w:rFonts w:hint="eastAsia" w:ascii="宋体" w:hAnsi="宋体" w:cs="宋体"/>
                <w:b/>
                <w:bCs/>
                <w:color w:val="auto"/>
                <w:szCs w:val="21"/>
                <w:lang w:val="en-US" w:eastAsia="zh-CN"/>
              </w:rPr>
              <w:t>1.印刷内容为预防艾滋病基本知识宣传：</w:t>
            </w:r>
          </w:p>
          <w:p w14:paraId="652AE589">
            <w:pPr>
              <w:numPr>
                <w:ilvl w:val="0"/>
                <w:numId w:val="0"/>
              </w:numPr>
              <w:tabs>
                <w:tab w:val="left" w:pos="180"/>
                <w:tab w:val="left" w:pos="1620"/>
              </w:tabs>
              <w:adjustRightInd w:val="0"/>
              <w:snapToGrid w:val="0"/>
              <w:spacing w:line="360" w:lineRule="exact"/>
              <w:jc w:val="left"/>
              <w:rPr>
                <w:rFonts w:hint="eastAsia" w:ascii="宋体" w:hAnsi="宋体" w:cs="宋体"/>
                <w:color w:val="auto"/>
                <w:szCs w:val="21"/>
                <w:lang w:val="en-US" w:eastAsia="zh-CN"/>
              </w:rPr>
            </w:pPr>
            <w:r>
              <w:rPr>
                <w:rFonts w:hint="eastAsia" w:ascii="宋体" w:hAnsi="宋体" w:cs="宋体"/>
                <w:color w:val="auto"/>
                <w:szCs w:val="21"/>
                <w:lang w:val="en-US" w:eastAsia="zh-CN"/>
              </w:rPr>
              <w:t>①印刷内容由各供应商自行提供，内容中不得有错词、错字。若存在错词、错字等影响使用，采购人有权要求做退货处理（中标供应商应在退货后7个工作日内重新完成制作并交付使用）；</w:t>
            </w:r>
          </w:p>
          <w:p w14:paraId="56EDFA07">
            <w:pPr>
              <w:numPr>
                <w:ilvl w:val="0"/>
                <w:numId w:val="0"/>
              </w:numPr>
              <w:tabs>
                <w:tab w:val="left" w:pos="180"/>
                <w:tab w:val="left" w:pos="1620"/>
              </w:tabs>
              <w:adjustRightInd w:val="0"/>
              <w:snapToGrid w:val="0"/>
              <w:spacing w:line="360" w:lineRule="exact"/>
              <w:jc w:val="left"/>
              <w:rPr>
                <w:rFonts w:hint="eastAsia" w:ascii="宋体" w:hAnsi="宋体" w:cs="宋体"/>
                <w:color w:val="auto"/>
                <w:szCs w:val="21"/>
                <w:highlight w:val="none"/>
                <w:lang w:val="en-US" w:eastAsia="zh-CN"/>
              </w:rPr>
            </w:pPr>
            <w:r>
              <w:rPr>
                <w:rFonts w:hint="eastAsia" w:ascii="宋体" w:hAnsi="宋体" w:cs="宋体"/>
                <w:color w:val="auto"/>
                <w:szCs w:val="21"/>
                <w:lang w:val="en-US" w:eastAsia="zh-CN"/>
              </w:rPr>
              <w:t>②</w:t>
            </w:r>
            <w:r>
              <w:rPr>
                <w:rFonts w:hint="eastAsia" w:ascii="宋体" w:hAnsi="宋体" w:cs="宋体"/>
                <w:color w:val="auto"/>
                <w:szCs w:val="21"/>
                <w:highlight w:val="none"/>
                <w:lang w:val="en-US" w:eastAsia="zh-CN"/>
              </w:rPr>
              <w:t>文字、图片等所有内容要保证科学有效，不得损害、侵犯任何第三方</w:t>
            </w:r>
            <w:r>
              <w:rPr>
                <w:rFonts w:hint="eastAsia" w:ascii="宋体" w:hAnsi="宋体"/>
                <w:color w:val="auto"/>
                <w:szCs w:val="21"/>
                <w:highlight w:val="none"/>
              </w:rPr>
              <w:t>的专利权、商标权、工业设计权或其他</w:t>
            </w:r>
            <w:r>
              <w:rPr>
                <w:rFonts w:hint="eastAsia" w:ascii="宋体" w:hAnsi="宋体" w:cs="宋体"/>
                <w:color w:val="auto"/>
                <w:szCs w:val="21"/>
                <w:highlight w:val="none"/>
                <w:lang w:val="en-US" w:eastAsia="zh-CN"/>
              </w:rPr>
              <w:t>权利（若损害、侵犯任何第三方权利的，由中标供应商自行承担）。</w:t>
            </w:r>
          </w:p>
          <w:p w14:paraId="1052EF71">
            <w:pPr>
              <w:tabs>
                <w:tab w:val="left" w:pos="180"/>
                <w:tab w:val="left" w:pos="1620"/>
              </w:tabs>
              <w:adjustRightInd w:val="0"/>
              <w:snapToGrid w:val="0"/>
              <w:spacing w:line="360" w:lineRule="exact"/>
              <w:jc w:val="left"/>
              <w:rPr>
                <w:rFonts w:hint="eastAsia" w:ascii="宋体" w:hAnsi="宋体" w:cs="宋体"/>
                <w:color w:val="auto"/>
                <w:szCs w:val="21"/>
                <w:lang w:val="en-US" w:eastAsia="zh-CN"/>
              </w:rPr>
            </w:pPr>
            <w:r>
              <w:rPr>
                <w:rFonts w:hint="eastAsia" w:ascii="宋体" w:hAnsi="宋体" w:cs="宋体"/>
                <w:b/>
                <w:bCs/>
                <w:color w:val="auto"/>
                <w:szCs w:val="21"/>
                <w:lang w:val="en-US" w:eastAsia="zh-CN"/>
              </w:rPr>
              <w:t>2.合同签订：</w:t>
            </w:r>
            <w:r>
              <w:rPr>
                <w:rFonts w:hint="eastAsia" w:ascii="宋体" w:hAnsi="宋体"/>
                <w:color w:val="auto"/>
                <w:szCs w:val="21"/>
              </w:rPr>
              <w:t xml:space="preserve">自中标通知书发出之日起 </w:t>
            </w:r>
            <w:r>
              <w:rPr>
                <w:rFonts w:hint="eastAsia" w:ascii="宋体" w:hAnsi="宋体"/>
                <w:color w:val="auto"/>
                <w:szCs w:val="21"/>
                <w:lang w:val="en-US" w:eastAsia="zh-CN"/>
              </w:rPr>
              <w:t>5个工作</w:t>
            </w:r>
            <w:r>
              <w:rPr>
                <w:rFonts w:hint="eastAsia" w:ascii="宋体" w:hAnsi="宋体"/>
                <w:color w:val="auto"/>
                <w:szCs w:val="21"/>
              </w:rPr>
              <w:t>日内签订采购合同。</w:t>
            </w:r>
          </w:p>
          <w:p w14:paraId="58B61B6E">
            <w:pPr>
              <w:tabs>
                <w:tab w:val="left" w:pos="180"/>
                <w:tab w:val="left" w:pos="1620"/>
              </w:tabs>
              <w:adjustRightInd w:val="0"/>
              <w:snapToGrid w:val="0"/>
              <w:spacing w:line="360" w:lineRule="exact"/>
              <w:jc w:val="left"/>
              <w:rPr>
                <w:rFonts w:hint="eastAsia" w:ascii="宋体" w:hAnsi="宋体" w:cs="宋体"/>
                <w:b/>
                <w:bCs/>
                <w:color w:val="auto"/>
                <w:szCs w:val="21"/>
                <w:lang w:val="en-US" w:eastAsia="zh-CN"/>
              </w:rPr>
            </w:pPr>
            <w:r>
              <w:rPr>
                <w:rFonts w:hint="eastAsia" w:ascii="宋体" w:hAnsi="宋体" w:cs="宋体"/>
                <w:b/>
                <w:bCs/>
                <w:color w:val="auto"/>
                <w:szCs w:val="21"/>
                <w:lang w:val="en-US" w:eastAsia="zh-CN"/>
              </w:rPr>
              <w:t>3.交付时间：</w:t>
            </w:r>
          </w:p>
          <w:p w14:paraId="394C85C0">
            <w:pPr>
              <w:tabs>
                <w:tab w:val="left" w:pos="180"/>
                <w:tab w:val="left" w:pos="1620"/>
              </w:tabs>
              <w:adjustRightInd w:val="0"/>
              <w:snapToGrid w:val="0"/>
              <w:spacing w:line="360" w:lineRule="exact"/>
              <w:jc w:val="left"/>
              <w:rPr>
                <w:rFonts w:hint="eastAsia" w:ascii="宋体" w:hAnsi="宋体" w:cs="宋体"/>
                <w:color w:val="auto"/>
                <w:szCs w:val="21"/>
                <w:lang w:val="en-US" w:eastAsia="zh-CN"/>
              </w:rPr>
            </w:pPr>
            <w:r>
              <w:rPr>
                <w:rFonts w:hint="eastAsia" w:ascii="宋体" w:hAnsi="宋体" w:cs="宋体"/>
                <w:color w:val="auto"/>
                <w:szCs w:val="21"/>
                <w:lang w:val="en-US" w:eastAsia="zh-CN"/>
              </w:rPr>
              <w:t>①签订合同后 2个工作日内送设计文稿给采购人(中标供应商按照预防艾滋病基本知识为主题设计出两个制作方案供采购人选择)。</w:t>
            </w:r>
          </w:p>
          <w:p w14:paraId="6F61A067">
            <w:pPr>
              <w:tabs>
                <w:tab w:val="left" w:pos="180"/>
                <w:tab w:val="left" w:pos="1620"/>
              </w:tabs>
              <w:adjustRightInd w:val="0"/>
              <w:snapToGrid w:val="0"/>
              <w:spacing w:line="360" w:lineRule="exact"/>
              <w:jc w:val="left"/>
              <w:rPr>
                <w:rFonts w:hint="eastAsia" w:ascii="宋体" w:hAnsi="宋体" w:cs="宋体"/>
                <w:color w:val="auto"/>
                <w:szCs w:val="21"/>
                <w:lang w:val="en-US" w:eastAsia="zh-CN"/>
              </w:rPr>
            </w:pPr>
            <w:r>
              <w:rPr>
                <w:rFonts w:hint="eastAsia" w:ascii="宋体" w:hAnsi="宋体" w:cs="宋体"/>
                <w:color w:val="auto"/>
                <w:szCs w:val="21"/>
                <w:lang w:val="en-US" w:eastAsia="zh-CN"/>
              </w:rPr>
              <w:t>②中标供应商需在双方确定设计文稿后的 2个工作日内按照确定的设计方案递交样品货物,并经采购人认可后 7个工作日内交付全部货物。</w:t>
            </w:r>
          </w:p>
          <w:p w14:paraId="6D02DFD8">
            <w:pPr>
              <w:pStyle w:val="2"/>
              <w:rPr>
                <w:rFonts w:hint="eastAsia" w:ascii="宋体" w:hAnsi="宋体" w:cs="宋体"/>
                <w:color w:val="auto"/>
                <w:szCs w:val="21"/>
                <w:lang w:val="en-US" w:eastAsia="zh-CN"/>
              </w:rPr>
            </w:pPr>
            <w:r>
              <w:rPr>
                <w:rFonts w:hint="eastAsia" w:ascii="宋体" w:hAnsi="宋体" w:cs="宋体"/>
                <w:color w:val="auto"/>
                <w:szCs w:val="21"/>
                <w:lang w:val="en-US" w:eastAsia="zh-CN"/>
              </w:rPr>
              <w:t>③中标供应商逾期递交方案的或无法正常交付影响采购人使用的,</w:t>
            </w:r>
            <w:r>
              <w:rPr>
                <w:rFonts w:hint="eastAsia"/>
                <w:highlight w:val="none"/>
                <w:lang w:eastAsia="zh-CN"/>
              </w:rPr>
              <w:t>采购人可终止合同</w:t>
            </w:r>
            <w:r>
              <w:rPr>
                <w:rFonts w:hint="eastAsia" w:ascii="宋体" w:hAnsi="宋体" w:cs="宋体"/>
                <w:color w:val="auto"/>
                <w:szCs w:val="21"/>
                <w:highlight w:val="none"/>
                <w:lang w:val="en-US" w:eastAsia="zh-CN"/>
              </w:rPr>
              <w:t>,</w:t>
            </w:r>
            <w:r>
              <w:rPr>
                <w:rFonts w:hint="eastAsia" w:ascii="宋体" w:hAnsi="宋体" w:cs="宋体"/>
                <w:color w:val="auto"/>
                <w:szCs w:val="21"/>
                <w:lang w:val="en-US" w:eastAsia="zh-CN"/>
              </w:rPr>
              <w:t>并将依法向政采云平台举报,上报政府采购监督部门,予以禁止报价、扣除诚信分等处罚。</w:t>
            </w:r>
          </w:p>
          <w:p w14:paraId="612A951E">
            <w:pPr>
              <w:tabs>
                <w:tab w:val="left" w:pos="180"/>
                <w:tab w:val="left" w:pos="1620"/>
              </w:tabs>
              <w:adjustRightInd w:val="0"/>
              <w:snapToGrid w:val="0"/>
              <w:spacing w:line="360" w:lineRule="exact"/>
              <w:jc w:val="left"/>
              <w:rPr>
                <w:rFonts w:hint="eastAsia" w:ascii="宋体" w:hAnsi="宋体" w:cs="宋体"/>
                <w:color w:val="auto"/>
                <w:szCs w:val="21"/>
                <w:lang w:val="en-US" w:eastAsia="zh-CN"/>
              </w:rPr>
            </w:pPr>
            <w:r>
              <w:rPr>
                <w:rFonts w:hint="eastAsia" w:ascii="宋体" w:hAnsi="宋体" w:cs="宋体"/>
                <w:b/>
                <w:bCs/>
                <w:color w:val="auto"/>
                <w:szCs w:val="21"/>
                <w:lang w:val="en-US" w:eastAsia="zh-CN"/>
              </w:rPr>
              <w:t>4.交付地点：</w:t>
            </w:r>
            <w:r>
              <w:rPr>
                <w:rFonts w:hint="eastAsia" w:ascii="宋体" w:hAnsi="宋体" w:cs="宋体"/>
                <w:color w:val="auto"/>
                <w:szCs w:val="21"/>
                <w:highlight w:val="none"/>
                <w:lang w:val="en-US" w:eastAsia="zh-CN"/>
              </w:rPr>
              <w:t>广西桂林市灵川县内采购人</w:t>
            </w:r>
            <w:r>
              <w:rPr>
                <w:rFonts w:hint="eastAsia" w:ascii="宋体" w:hAnsi="宋体" w:cs="宋体"/>
                <w:color w:val="auto"/>
                <w:szCs w:val="21"/>
                <w:lang w:val="en-US" w:eastAsia="zh-CN"/>
              </w:rPr>
              <w:t>指定地点。</w:t>
            </w:r>
          </w:p>
          <w:p w14:paraId="0B1959C8">
            <w:pPr>
              <w:tabs>
                <w:tab w:val="left" w:pos="180"/>
                <w:tab w:val="left" w:pos="1620"/>
              </w:tabs>
              <w:adjustRightInd w:val="0"/>
              <w:snapToGrid w:val="0"/>
              <w:spacing w:line="360" w:lineRule="exact"/>
              <w:jc w:val="left"/>
              <w:rPr>
                <w:rFonts w:hint="eastAsia" w:ascii="宋体" w:hAnsi="宋体" w:cs="宋体"/>
                <w:color w:val="auto"/>
                <w:szCs w:val="21"/>
                <w:lang w:val="en-US" w:eastAsia="zh-CN"/>
              </w:rPr>
            </w:pPr>
            <w:r>
              <w:rPr>
                <w:rFonts w:hint="eastAsia" w:ascii="宋体" w:hAnsi="宋体" w:cs="宋体"/>
                <w:b/>
                <w:bCs/>
                <w:color w:val="auto"/>
                <w:szCs w:val="21"/>
                <w:lang w:val="en-US" w:eastAsia="zh-CN"/>
              </w:rPr>
              <w:t>5.报价：</w:t>
            </w:r>
            <w:r>
              <w:rPr>
                <w:rFonts w:hint="eastAsia" w:ascii="宋体" w:hAnsi="宋体" w:cs="宋体"/>
                <w:color w:val="auto"/>
                <w:szCs w:val="21"/>
                <w:lang w:val="en-US" w:eastAsia="zh-CN"/>
              </w:rPr>
              <w:t>报价应包含完成本项目涉及的设计、制作、排版、内容审核、文字校对、送货下货、运费、税费、材料费、印刷费、</w:t>
            </w:r>
            <w:r>
              <w:rPr>
                <w:rFonts w:hint="eastAsia" w:ascii="宋体" w:hAnsi="宋体" w:cs="宋体"/>
                <w:color w:val="auto"/>
                <w:szCs w:val="21"/>
                <w:highlight w:val="none"/>
                <w:lang w:val="en-US" w:eastAsia="zh-CN"/>
              </w:rPr>
              <w:t>验收</w:t>
            </w:r>
            <w:r>
              <w:rPr>
                <w:rFonts w:hint="eastAsia" w:ascii="宋体" w:hAnsi="宋体" w:cs="宋体"/>
                <w:color w:val="auto"/>
                <w:szCs w:val="21"/>
                <w:lang w:val="en-US" w:eastAsia="zh-CN"/>
              </w:rPr>
              <w:t xml:space="preserve">等一切相关费用。 </w:t>
            </w:r>
          </w:p>
          <w:p w14:paraId="6CBD61C7">
            <w:pPr>
              <w:tabs>
                <w:tab w:val="left" w:pos="180"/>
                <w:tab w:val="left" w:pos="1620"/>
              </w:tabs>
              <w:adjustRightInd w:val="0"/>
              <w:snapToGrid w:val="0"/>
              <w:spacing w:line="360" w:lineRule="exact"/>
              <w:jc w:val="left"/>
              <w:rPr>
                <w:rFonts w:hint="default" w:ascii="宋体" w:hAnsi="宋体" w:cs="宋体"/>
                <w:color w:val="auto"/>
                <w:szCs w:val="21"/>
                <w:lang w:val="en-US" w:eastAsia="zh-CN"/>
              </w:rPr>
            </w:pPr>
            <w:r>
              <w:rPr>
                <w:rFonts w:hint="eastAsia" w:ascii="宋体" w:hAnsi="宋体" w:cs="宋体"/>
                <w:color w:val="auto"/>
                <w:szCs w:val="21"/>
                <w:lang w:val="en-US" w:eastAsia="zh-CN"/>
              </w:rPr>
              <w:t>6.供应商必须保证产品质量和交货时间，不得擅自拖延。</w:t>
            </w:r>
          </w:p>
          <w:p w14:paraId="55A718F6">
            <w:pPr>
              <w:tabs>
                <w:tab w:val="left" w:pos="180"/>
                <w:tab w:val="left" w:pos="1620"/>
              </w:tabs>
              <w:adjustRightInd w:val="0"/>
              <w:snapToGrid w:val="0"/>
              <w:spacing w:line="360" w:lineRule="exact"/>
              <w:jc w:val="left"/>
              <w:rPr>
                <w:rFonts w:hint="eastAsia" w:ascii="宋体" w:hAnsi="宋体"/>
                <w:bCs/>
                <w:color w:val="auto"/>
                <w:szCs w:val="21"/>
              </w:rPr>
            </w:pPr>
            <w:r>
              <w:rPr>
                <w:rFonts w:hint="eastAsia" w:ascii="宋体" w:hAnsi="宋体" w:cs="宋体"/>
                <w:b/>
                <w:bCs/>
                <w:color w:val="auto"/>
                <w:szCs w:val="21"/>
                <w:lang w:val="en-US" w:eastAsia="zh-CN"/>
              </w:rPr>
              <w:t>7.</w:t>
            </w:r>
            <w:r>
              <w:rPr>
                <w:rFonts w:hint="eastAsia" w:ascii="宋体" w:hAnsi="宋体"/>
                <w:b/>
                <w:bCs/>
                <w:color w:val="auto"/>
                <w:szCs w:val="21"/>
              </w:rPr>
              <w:t>验收标准</w:t>
            </w:r>
            <w:r>
              <w:rPr>
                <w:rFonts w:hint="eastAsia" w:ascii="宋体" w:hAnsi="宋体"/>
                <w:b/>
                <w:bCs/>
                <w:color w:val="auto"/>
                <w:szCs w:val="21"/>
                <w:lang w:eastAsia="zh-CN"/>
              </w:rPr>
              <w:t>：</w:t>
            </w:r>
            <w:r>
              <w:rPr>
                <w:rFonts w:hint="eastAsia" w:ascii="宋体" w:hAnsi="宋体"/>
                <w:bCs/>
                <w:color w:val="auto"/>
                <w:szCs w:val="21"/>
              </w:rPr>
              <w:t>标的在规定的时间内到货，标的（含包装）完整、完好，与投标承诺的产品（制造商、品牌、规格型号等）一致，标的无明显瑕疵、无损坏，装箱清单；标的的技术指标与中标人的投标承诺一致或更高，且满足招标文件全部实质性要求及中标人投标承诺，视为验收合格。标的不符合上述情形的，采购人在验收后七个工作日内以书面形式向中标人提出，中标人应自收到采购人书面异议后七个工作日内及时予以解决，否则，视为验收不合格。</w:t>
            </w:r>
          </w:p>
          <w:p w14:paraId="4A77FFDA">
            <w:pPr>
              <w:rPr>
                <w:rFonts w:hint="eastAsia" w:asciiTheme="majorEastAsia" w:hAnsiTheme="majorEastAsia" w:eastAsiaTheme="majorEastAsia"/>
                <w:color w:val="auto"/>
                <w:szCs w:val="21"/>
              </w:rPr>
            </w:pPr>
            <w:r>
              <w:rPr>
                <w:rFonts w:hint="eastAsia" w:ascii="宋体" w:hAnsi="宋体"/>
                <w:b/>
                <w:bCs w:val="0"/>
                <w:color w:val="auto"/>
                <w:szCs w:val="21"/>
                <w:lang w:val="en-US" w:eastAsia="zh-CN"/>
              </w:rPr>
              <w:t>8.付款方式：</w:t>
            </w:r>
            <w:r>
              <w:rPr>
                <w:rFonts w:hint="eastAsia" w:asciiTheme="majorEastAsia" w:hAnsiTheme="majorEastAsia" w:eastAsiaTheme="majorEastAsia"/>
                <w:color w:val="auto"/>
                <w:szCs w:val="21"/>
              </w:rPr>
              <w:t>验收所有货物之后，采购人收到灵川县财政局拨付支付资金后的15个工作日内支付全部货款。</w:t>
            </w:r>
          </w:p>
          <w:p w14:paraId="1E25891E">
            <w:pPr>
              <w:rPr>
                <w:rFonts w:hint="eastAsia" w:asciiTheme="majorEastAsia" w:hAnsiTheme="majorEastAsia" w:eastAsiaTheme="majorEastAsia"/>
                <w:color w:val="auto"/>
                <w:szCs w:val="21"/>
              </w:rPr>
            </w:pPr>
            <w:r>
              <w:rPr>
                <w:rFonts w:hint="eastAsia" w:asciiTheme="majorEastAsia" w:hAnsiTheme="majorEastAsia" w:eastAsiaTheme="majorEastAsia"/>
                <w:color w:val="auto"/>
                <w:szCs w:val="21"/>
                <w:lang w:val="en-US" w:eastAsia="zh-CN"/>
              </w:rPr>
              <w:t>9.</w:t>
            </w:r>
            <w:r>
              <w:rPr>
                <w:rFonts w:hint="eastAsia" w:asciiTheme="majorEastAsia" w:hAnsiTheme="majorEastAsia" w:eastAsiaTheme="majorEastAsia"/>
                <w:color w:val="auto"/>
                <w:szCs w:val="21"/>
              </w:rPr>
              <w:t>采购标的需执行国家相关标准、行业标准等相关标准、规范。</w:t>
            </w:r>
          </w:p>
          <w:p w14:paraId="222D1601">
            <w:pPr>
              <w:rPr>
                <w:rFonts w:hint="eastAsia" w:ascii="宋体" w:hAnsi="宋体" w:cs="宋体"/>
                <w:b/>
                <w:kern w:val="0"/>
                <w:szCs w:val="21"/>
                <w:highlight w:val="none"/>
                <w:lang w:eastAsia="zh-CN"/>
              </w:rPr>
            </w:pPr>
            <w:r>
              <w:rPr>
                <w:rFonts w:hint="eastAsia"/>
                <w:color w:val="auto"/>
                <w:lang w:val="en-US" w:eastAsia="zh-CN"/>
              </w:rPr>
              <w:t>10.</w:t>
            </w:r>
            <w:r>
              <w:rPr>
                <w:rFonts w:hint="eastAsia" w:ascii="宋体" w:hAnsi="宋体" w:cs="宋体"/>
                <w:b/>
                <w:kern w:val="0"/>
                <w:szCs w:val="21"/>
                <w:highlight w:val="none"/>
              </w:rPr>
              <w:t>包装和运输</w:t>
            </w:r>
            <w:r>
              <w:rPr>
                <w:rFonts w:hint="eastAsia" w:ascii="宋体" w:hAnsi="宋体" w:cs="宋体"/>
                <w:b/>
                <w:kern w:val="0"/>
                <w:szCs w:val="21"/>
                <w:highlight w:val="none"/>
                <w:lang w:eastAsia="zh-CN"/>
              </w:rPr>
              <w:t>：</w:t>
            </w:r>
          </w:p>
          <w:p w14:paraId="77344A8A">
            <w:pPr>
              <w:adjustRightInd w:val="0"/>
              <w:snapToGrid w:val="0"/>
              <w:spacing w:line="360" w:lineRule="exact"/>
              <w:jc w:val="left"/>
              <w:rPr>
                <w:rFonts w:ascii="宋体" w:hAnsi="宋体" w:cs="宋体"/>
                <w:b w:val="0"/>
                <w:bCs/>
                <w:szCs w:val="21"/>
                <w:highlight w:val="none"/>
                <w:lang w:eastAsia="zh-Hans"/>
              </w:rPr>
            </w:pPr>
            <w:r>
              <w:rPr>
                <w:rFonts w:hint="eastAsia" w:ascii="宋体" w:hAnsi="宋体" w:cs="宋体"/>
                <w:b w:val="0"/>
                <w:bCs/>
                <w:szCs w:val="21"/>
                <w:highlight w:val="none"/>
                <w:lang w:eastAsia="zh-CN"/>
              </w:rPr>
              <w:t>①</w:t>
            </w:r>
            <w:r>
              <w:rPr>
                <w:rFonts w:hint="eastAsia" w:ascii="宋体" w:hAnsi="宋体" w:cs="宋体"/>
                <w:b w:val="0"/>
                <w:bCs/>
                <w:szCs w:val="21"/>
                <w:highlight w:val="none"/>
                <w:lang w:eastAsia="zh-Hans"/>
              </w:rPr>
              <w:t>原厂原包装，包装完好完整、无破损、未开封。</w:t>
            </w:r>
          </w:p>
          <w:p w14:paraId="0476407F">
            <w:pPr>
              <w:adjustRightInd w:val="0"/>
              <w:snapToGrid w:val="0"/>
              <w:spacing w:line="360" w:lineRule="exact"/>
              <w:jc w:val="left"/>
              <w:rPr>
                <w:rFonts w:hint="eastAsia" w:ascii="宋体" w:hAnsi="宋体" w:cs="宋体"/>
                <w:b w:val="0"/>
                <w:bCs/>
                <w:szCs w:val="21"/>
                <w:highlight w:val="none"/>
                <w:lang w:eastAsia="zh-Hans"/>
              </w:rPr>
            </w:pPr>
            <w:r>
              <w:rPr>
                <w:rFonts w:hint="eastAsia" w:ascii="宋体" w:hAnsi="宋体" w:cs="宋体"/>
                <w:b w:val="0"/>
                <w:bCs/>
                <w:szCs w:val="21"/>
                <w:highlight w:val="none"/>
                <w:lang w:eastAsia="zh-CN"/>
              </w:rPr>
              <w:t>②</w:t>
            </w:r>
            <w:r>
              <w:rPr>
                <w:rFonts w:hint="eastAsia" w:ascii="宋体" w:hAnsi="宋体" w:cs="宋体"/>
                <w:b w:val="0"/>
                <w:bCs/>
                <w:szCs w:val="21"/>
                <w:highlight w:val="none"/>
                <w:lang w:eastAsia="zh-Hans"/>
              </w:rPr>
              <w:t>包装及运输方式应综合考虑运输距离、防潮、防震、防锈和防破损装卸等要求。</w:t>
            </w:r>
          </w:p>
          <w:p w14:paraId="49A8E99D">
            <w:pPr>
              <w:adjustRightInd w:val="0"/>
              <w:snapToGrid w:val="0"/>
              <w:spacing w:line="360" w:lineRule="exact"/>
              <w:jc w:val="left"/>
              <w:rPr>
                <w:rFonts w:hint="eastAsia" w:ascii="宋体" w:hAnsi="宋体" w:cs="宋体"/>
                <w:b w:val="0"/>
                <w:bCs/>
                <w:szCs w:val="21"/>
                <w:highlight w:val="none"/>
                <w:lang w:eastAsia="zh-Hans"/>
              </w:rPr>
            </w:pPr>
            <w:r>
              <w:rPr>
                <w:rFonts w:hint="eastAsia" w:ascii="宋体" w:hAnsi="宋体" w:cs="宋体"/>
                <w:b w:val="0"/>
                <w:bCs/>
                <w:szCs w:val="21"/>
                <w:highlight w:val="none"/>
                <w:lang w:eastAsia="zh-CN"/>
              </w:rPr>
              <w:t>③</w:t>
            </w:r>
            <w:r>
              <w:rPr>
                <w:rFonts w:hint="eastAsia" w:ascii="宋体" w:hAnsi="宋体" w:cs="宋体"/>
                <w:b w:val="0"/>
                <w:bCs/>
                <w:szCs w:val="21"/>
                <w:highlight w:val="none"/>
                <w:lang w:eastAsia="zh-Hans"/>
              </w:rPr>
              <w:t>国家对包装及运输有相关强制性标准或要求的，中标</w:t>
            </w:r>
            <w:r>
              <w:rPr>
                <w:rFonts w:hint="eastAsia" w:ascii="宋体" w:hAnsi="宋体" w:cs="宋体"/>
                <w:b w:val="0"/>
                <w:bCs/>
                <w:szCs w:val="21"/>
                <w:highlight w:val="none"/>
                <w:lang w:eastAsia="zh-CN"/>
              </w:rPr>
              <w:t>供应商</w:t>
            </w:r>
            <w:r>
              <w:rPr>
                <w:rFonts w:hint="eastAsia" w:ascii="宋体" w:hAnsi="宋体" w:cs="宋体"/>
                <w:b w:val="0"/>
                <w:bCs/>
                <w:szCs w:val="21"/>
                <w:highlight w:val="none"/>
                <w:lang w:eastAsia="zh-Hans"/>
              </w:rPr>
              <w:t>应当执行。</w:t>
            </w:r>
          </w:p>
          <w:p w14:paraId="681AF7AD">
            <w:pPr>
              <w:rPr>
                <w:rFonts w:hint="eastAsia" w:ascii="宋体" w:hAnsi="宋体" w:cs="宋体"/>
                <w:b w:val="0"/>
                <w:bCs/>
                <w:szCs w:val="21"/>
                <w:highlight w:val="none"/>
                <w:lang w:eastAsia="zh-Hans"/>
              </w:rPr>
            </w:pPr>
            <w:r>
              <w:rPr>
                <w:rFonts w:hint="eastAsia" w:ascii="宋体" w:hAnsi="宋体" w:cs="宋体"/>
                <w:b w:val="0"/>
                <w:bCs/>
                <w:szCs w:val="21"/>
                <w:highlight w:val="none"/>
                <w:lang w:eastAsia="zh-CN"/>
              </w:rPr>
              <w:t>④</w:t>
            </w:r>
            <w:r>
              <w:rPr>
                <w:rFonts w:hint="eastAsia" w:ascii="宋体" w:hAnsi="宋体" w:cs="宋体"/>
                <w:b w:val="0"/>
                <w:bCs/>
                <w:szCs w:val="21"/>
                <w:highlight w:val="none"/>
                <w:lang w:eastAsia="zh-Hans"/>
              </w:rPr>
              <w:t>产品（含包装）运抵采购人指定交付地点前发生损坏、丢失等全部风险和责任均由中标</w:t>
            </w:r>
            <w:r>
              <w:rPr>
                <w:rFonts w:hint="eastAsia" w:ascii="宋体" w:hAnsi="宋体" w:cs="宋体"/>
                <w:b w:val="0"/>
                <w:bCs/>
                <w:szCs w:val="21"/>
                <w:highlight w:val="none"/>
                <w:lang w:eastAsia="zh-CN"/>
              </w:rPr>
              <w:t>供应商</w:t>
            </w:r>
            <w:r>
              <w:rPr>
                <w:rFonts w:hint="eastAsia" w:ascii="宋体" w:hAnsi="宋体" w:cs="宋体"/>
                <w:b w:val="0"/>
                <w:bCs/>
                <w:szCs w:val="21"/>
                <w:highlight w:val="none"/>
                <w:lang w:eastAsia="zh-Hans"/>
              </w:rPr>
              <w:t>自行承担。</w:t>
            </w:r>
          </w:p>
          <w:p w14:paraId="05154F1D">
            <w:pPr>
              <w:rPr>
                <w:rFonts w:hint="default" w:ascii="宋体" w:hAnsi="宋体"/>
                <w:color w:val="auto"/>
                <w:lang w:val="en-US" w:eastAsia="zh-CN"/>
              </w:rPr>
            </w:pPr>
            <w:r>
              <w:rPr>
                <w:rFonts w:hint="eastAsia"/>
                <w:color w:val="auto"/>
                <w:lang w:val="en-US" w:eastAsia="zh-CN"/>
              </w:rPr>
              <w:t>11</w:t>
            </w:r>
            <w:r>
              <w:rPr>
                <w:rFonts w:hint="eastAsia" w:ascii="宋体" w:hAnsi="宋体"/>
                <w:color w:val="auto"/>
              </w:rPr>
              <w:t>本</w:t>
            </w:r>
            <w:r>
              <w:rPr>
                <w:rFonts w:hint="eastAsia" w:ascii="宋体" w:hAnsi="宋体"/>
                <w:color w:val="auto"/>
                <w:lang w:eastAsia="zh-CN"/>
              </w:rPr>
              <w:t>项目</w:t>
            </w:r>
            <w:r>
              <w:rPr>
                <w:rFonts w:hint="eastAsia" w:ascii="宋体" w:hAnsi="宋体"/>
                <w:color w:val="auto"/>
              </w:rPr>
              <w:t>采购预算</w:t>
            </w:r>
            <w:r>
              <w:rPr>
                <w:rFonts w:hint="eastAsia" w:ascii="宋体" w:hAnsi="宋体"/>
                <w:color w:val="auto"/>
                <w:lang w:val="en-US" w:eastAsia="zh-CN"/>
              </w:rPr>
              <w:t>金额</w:t>
            </w:r>
            <w:r>
              <w:rPr>
                <w:rFonts w:hint="eastAsia" w:ascii="宋体" w:hAnsi="宋体"/>
                <w:color w:val="auto"/>
              </w:rPr>
              <w:t>为</w:t>
            </w:r>
            <w:r>
              <w:rPr>
                <w:rFonts w:hint="eastAsia" w:ascii="宋体" w:hAnsi="宋体"/>
                <w:color w:val="auto"/>
                <w:lang w:val="en-US" w:eastAsia="zh-CN"/>
              </w:rPr>
              <w:t>叁万元整</w:t>
            </w:r>
            <w:r>
              <w:rPr>
                <w:rFonts w:hint="eastAsia" w:ascii="宋体" w:hAnsi="宋体"/>
                <w:color w:val="auto"/>
              </w:rPr>
              <w:t>（￥</w:t>
            </w:r>
            <w:r>
              <w:rPr>
                <w:rFonts w:hint="eastAsia" w:ascii="宋体" w:hAnsi="宋体"/>
                <w:color w:val="auto"/>
                <w:lang w:val="en-US" w:eastAsia="zh-CN"/>
              </w:rPr>
              <w:t>30000</w:t>
            </w:r>
            <w:r>
              <w:rPr>
                <w:rFonts w:hint="eastAsia" w:ascii="宋体" w:hAnsi="宋体"/>
                <w:color w:val="auto"/>
              </w:rPr>
              <w:t>.00），投标报价超采购预算的</w:t>
            </w:r>
            <w:r>
              <w:rPr>
                <w:rFonts w:hint="eastAsia" w:ascii="宋体" w:hAnsi="宋体"/>
                <w:color w:val="auto"/>
                <w:lang w:eastAsia="zh-CN"/>
              </w:rPr>
              <w:t>或分项报价超单价控制价的</w:t>
            </w:r>
            <w:r>
              <w:rPr>
                <w:rFonts w:hint="eastAsia" w:ascii="宋体" w:hAnsi="宋体"/>
                <w:color w:val="auto"/>
              </w:rPr>
              <w:t>，作投标无效处理。</w:t>
            </w:r>
          </w:p>
        </w:tc>
      </w:tr>
    </w:tbl>
    <w:p w14:paraId="4ED722ED">
      <w:pPr>
        <w:keepNext w:val="0"/>
        <w:keepLines w:val="0"/>
        <w:pageBreakBefore w:val="0"/>
        <w:widowControl w:val="0"/>
        <w:kinsoku/>
        <w:wordWrap/>
        <w:overflowPunct/>
        <w:topLinePunct w:val="0"/>
        <w:autoSpaceDE/>
        <w:autoSpaceDN/>
        <w:bidi w:val="0"/>
        <w:adjustRightInd/>
        <w:snapToGrid/>
        <w:spacing w:line="240" w:lineRule="auto"/>
        <w:jc w:val="left"/>
        <w:textAlignment w:val="auto"/>
        <w:rPr>
          <w:lang w:val="en-US" w:eastAsia="zh-CN"/>
        </w:rPr>
      </w:pPr>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swiss"/>
    <w:pitch w:val="default"/>
    <w:sig w:usb0="E0002EFF" w:usb1="C000785B" w:usb2="00000009" w:usb3="00000000" w:csb0="400001FF" w:csb1="FFFF0000"/>
  </w:font>
  <w:font w:name="宋体">
    <w:panose1 w:val="02010600030101010101"/>
    <w:charset w:val="80"/>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MyMzlkMzVlZWYzOGJjYmJmNDRjMjIzZWFhZjBjZDMifQ=="/>
  </w:docVars>
  <w:rsids>
    <w:rsidRoot w:val="43DB53E9"/>
    <w:rsid w:val="008A7E7F"/>
    <w:rsid w:val="00E32CE3"/>
    <w:rsid w:val="02EE0353"/>
    <w:rsid w:val="030F5E84"/>
    <w:rsid w:val="04154E90"/>
    <w:rsid w:val="052E090E"/>
    <w:rsid w:val="0988663F"/>
    <w:rsid w:val="09FB6806"/>
    <w:rsid w:val="0DA16D77"/>
    <w:rsid w:val="0ED26BDC"/>
    <w:rsid w:val="0FC63CA0"/>
    <w:rsid w:val="112E6064"/>
    <w:rsid w:val="12E36BE9"/>
    <w:rsid w:val="14AB7BDB"/>
    <w:rsid w:val="16B50426"/>
    <w:rsid w:val="18A238E9"/>
    <w:rsid w:val="1DF07315"/>
    <w:rsid w:val="1E96509B"/>
    <w:rsid w:val="1F254294"/>
    <w:rsid w:val="201B5C14"/>
    <w:rsid w:val="20DD2358"/>
    <w:rsid w:val="267B2353"/>
    <w:rsid w:val="3045098A"/>
    <w:rsid w:val="306B0300"/>
    <w:rsid w:val="36657792"/>
    <w:rsid w:val="38BE0536"/>
    <w:rsid w:val="39CE4394"/>
    <w:rsid w:val="3D520A16"/>
    <w:rsid w:val="3F947BCF"/>
    <w:rsid w:val="43DB53E9"/>
    <w:rsid w:val="46F801AE"/>
    <w:rsid w:val="4913053B"/>
    <w:rsid w:val="4A2A773D"/>
    <w:rsid w:val="4BCB2428"/>
    <w:rsid w:val="4E77454C"/>
    <w:rsid w:val="4F914A14"/>
    <w:rsid w:val="50F91EA0"/>
    <w:rsid w:val="5162069F"/>
    <w:rsid w:val="549529E1"/>
    <w:rsid w:val="54CE01EF"/>
    <w:rsid w:val="58496ABB"/>
    <w:rsid w:val="59605937"/>
    <w:rsid w:val="5976622D"/>
    <w:rsid w:val="59B648E9"/>
    <w:rsid w:val="5A241684"/>
    <w:rsid w:val="5AEE7D1C"/>
    <w:rsid w:val="60E551A3"/>
    <w:rsid w:val="64570C2A"/>
    <w:rsid w:val="65423CAE"/>
    <w:rsid w:val="68421E78"/>
    <w:rsid w:val="693128C2"/>
    <w:rsid w:val="6A8D3F8A"/>
    <w:rsid w:val="6B6B1F55"/>
    <w:rsid w:val="6BBE4C73"/>
    <w:rsid w:val="703B30FC"/>
    <w:rsid w:val="70473D8B"/>
    <w:rsid w:val="70A84617"/>
    <w:rsid w:val="71A24389"/>
    <w:rsid w:val="731A5EB1"/>
    <w:rsid w:val="73EB10FB"/>
    <w:rsid w:val="7A0E5017"/>
    <w:rsid w:val="7BA525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annotation text"/>
    <w:basedOn w:val="1"/>
    <w:autoRedefine/>
    <w:unhideWhenUsed/>
    <w:qFormat/>
    <w:uiPriority w:val="0"/>
    <w:pPr>
      <w:jc w:val="left"/>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1079</Words>
  <Characters>1118</Characters>
  <Lines>0</Lines>
  <Paragraphs>0</Paragraphs>
  <TotalTime>5</TotalTime>
  <ScaleCrop>false</ScaleCrop>
  <LinksUpToDate>false</LinksUpToDate>
  <CharactersWithSpaces>1123</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2022-12-12T07:27:00Z</dcterms:created>
  <dc:creator>Administrator</dc:creator>
  <cp:lastModifiedBy>唐唐唐唐</cp:lastModifiedBy>
  <cp:lastPrinted>2024-08-05T00:42:00Z</cp:lastPrinted>
  <dcterms:modified xsi:type="dcterms:W3CDTF">2025-01-14T01:19:41Z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0C902709349342E8B89F604B54F15A96_13</vt:lpwstr>
  </property>
  <property fmtid="{D5CDD505-2E9C-101B-9397-08002B2CF9AE}" pid="4" name="KSOTemplateDocerSaveRecord">
    <vt:lpwstr>eyJoZGlkIjoiZDMyMzlkMzVlZWYzOGJjYmJmNDRjMjIzZWFhZjBjZDMiLCJ1c2VySWQiOiI1NzM2MjY4NTAifQ==</vt:lpwstr>
  </property>
</Properties>
</file>